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NN,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0" w:lineRule="exact"/>
        <w:rPr>
          <w:sz w:val="24"/>
          <w:szCs w:val="24"/>
          <w:color w:val="auto"/>
        </w:rPr>
      </w:pPr>
    </w:p>
    <w:p>
      <w:pPr>
        <w:spacing w:after="0" w:line="209"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3,527,411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3,527,411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3,527,411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w:t>
      </w:r>
    </w:p>
    <w:p>
      <w:pPr>
        <w:spacing w:after="0" w:line="238" w:lineRule="auto"/>
        <w:rPr>
          <w:sz w:val="20"/>
          <w:szCs w:val="20"/>
          <w:color w:val="auto"/>
        </w:rPr>
      </w:pPr>
      <w:r>
        <w:rPr>
          <w:rFonts w:ascii="Courier New" w:cs="Courier New" w:eastAsia="Courier New" w:hAnsi="Courier New"/>
          <w:sz w:val="18"/>
          <w:szCs w:val="18"/>
          <w:color w:val="auto"/>
        </w:rPr>
        <w:t>Charlotte, North Carolina 28277</w:t>
      </w:r>
    </w:p>
    <w:p>
      <w:pPr>
        <w:spacing w:after="0" w:line="202"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Item 2(a) Name of Person Filing:</w:t>
      </w:r>
      <w:r>
        <w:rPr>
          <w:sz w:val="20"/>
          <w:szCs w:val="20"/>
          <w:color w:val="auto"/>
        </w:rPr>
        <w:tab/>
      </w:r>
      <w:r>
        <w:rPr>
          <w:rFonts w:ascii="Courier New" w:cs="Courier New" w:eastAsia="Courier New" w:hAnsi="Courier New"/>
          <w:sz w:val="16"/>
          <w:szCs w:val="16"/>
          <w:color w:val="auto"/>
        </w:rPr>
        <w:t>Jennison Associates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629337106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ectPr>
          <w:pgSz w:w="11900" w:h="16838" w:orient="portrait"/>
          <w:cols w:equalWidth="0" w:num="1">
            <w:col w:w="10219"/>
          </w:cols>
          <w:pgMar w:left="240" w:top="136" w:right="1440" w:bottom="0" w:gutter="0" w:footer="0" w:header="0"/>
        </w:sectPr>
      </w:pPr>
    </w:p>
    <w:bookmarkStart w:id="2" w:name="page3"/>
    <w:bookmarkEnd w:id="2"/>
    <w:p>
      <w:pPr>
        <w:spacing w:after="0" w:line="104"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3,527,411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3,527,411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3,527,411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679"/>
        <w:spacing w:after="0" w:line="470"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ectPr>
          <w:pgSz w:w="11900" w:h="16942" w:orient="portrait"/>
          <w:cols w:equalWidth="0" w:num="1">
            <w:col w:w="10219"/>
          </w:cols>
          <w:pgMar w:left="240" w:top="142" w:right="1440" w:bottom="0" w:gutter="0" w:footer="0" w:header="0"/>
        </w:sectPr>
      </w:pPr>
    </w:p>
    <w:bookmarkStart w:id="3" w:name="page4"/>
    <w:bookmarkEnd w:id="3"/>
    <w:p>
      <w:pPr>
        <w:ind w:right="3779"/>
        <w:spacing w:after="0" w:line="470" w:lineRule="auto"/>
        <w:rPr>
          <w:sz w:val="20"/>
          <w:szCs w:val="20"/>
          <w:color w:val="auto"/>
        </w:rPr>
      </w:pPr>
      <w:r>
        <w:rPr>
          <w:rFonts w:ascii="Courier New" w:cs="Courier New" w:eastAsia="Courier New" w:hAnsi="Courier New"/>
          <w:sz w:val="18"/>
          <w:szCs w:val="18"/>
          <w:color w:val="auto"/>
        </w:rPr>
        <w:t>beneficial owner of more than five percent of the securities, check the following ( ).</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Early</w:t>
      </w:r>
    </w:p>
    <w:p>
      <w:pPr>
        <w:spacing w:after="0" w:line="238" w:lineRule="auto"/>
        <w:rPr>
          <w:sz w:val="20"/>
          <w:szCs w:val="20"/>
          <w:color w:val="auto"/>
        </w:rPr>
      </w:pPr>
      <w:r>
        <w:rPr>
          <w:rFonts w:ascii="Courier New" w:cs="Courier New" w:eastAsia="Courier New" w:hAnsi="Courier New"/>
          <w:sz w:val="18"/>
          <w:szCs w:val="18"/>
          <w:color w:val="auto"/>
        </w:rPr>
        <w:t>Janet Early</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2019-12-05T00:40:18Z</dcterms:created>
  <dcterms:modified xsi:type="dcterms:W3CDTF">2019-12-05T00:40:18Z</dcterms:modified>
</cp:coreProperties>
</file>