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August 3, 2017 (August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12b-2 under the Exchange Act (17 CFR 240.12b-2).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August 2, 2017, NN, Inc. (the “Company”) issued a press release announcing the Company’s financial results for the quarter June 30, 2017. The full text of the press release is furnished as Exhibit 99.1 and is incorporated herein by reference.</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9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NN, Inc., dated August 2,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7"/>
          <w:szCs w:val="17"/>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S. Heiter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740"/>
          </w:cols>
          <w:pgMar w:left="240" w:top="270" w:right="91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NN, Inc., dated August 2, 2017</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823595" cy="797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3595" cy="79756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17145</wp:posOffset>
            </wp:positionV>
            <wp:extent cx="1844040"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440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3rd Floor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Strategy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0" w:lineRule="exact"/>
        <w:rPr>
          <w:sz w:val="20"/>
          <w:szCs w:val="20"/>
          <w:color w:val="auto"/>
        </w:rPr>
      </w:pPr>
    </w:p>
    <w:p>
      <w:pPr>
        <w:sectPr>
          <w:pgSz w:w="11900" w:h="16838" w:orient="portrait"/>
          <w:cols w:equalWidth="0" w:num="2">
            <w:col w:w="3400" w:space="720"/>
            <w:col w:w="730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SECOND QUARTER 2017 RESULTS</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Johnson City, TN, August 2, 2017 –</w:t>
      </w:r>
      <w:r>
        <w:rPr>
          <w:rFonts w:ascii="Arial" w:cs="Arial" w:eastAsia="Arial" w:hAnsi="Arial"/>
          <w:sz w:val="18"/>
          <w:szCs w:val="18"/>
          <w:color w:val="auto"/>
        </w:rPr>
        <w:t>NN, Inc., (NASDAQ: NNBR), a diversified industrial company, today reported its financial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sales for the second quarter of 2017 increased $11.6 million, or 5%, to $225.9 million, compared to $214.3 million for the second quarter of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Organic growth in the medical, aerospace and CAFE end markets accounted for the increase.</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a GAAP basis, income from operations for the second quarter of 2017 was $20.6 million, compared to $16.7 million for the same period in 2016. Net loss on a GAAP basis for second quarter of 2017 was $21.5 million, or ($0.78) per diluted share. This compares to a net income of $2.0 million, or $0.07 per diluted share in the second quarter of 2016. The loss was driven by cost related to the refinance and retirement of the senior notes during the quarter.</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 GAAP basis, income from operations for second quarter 2017 in the Autocam Precision Components Group was $10.7 million compared to $7.8 million for the same period in 2016.</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 GAAP basis, income from operations for second quarter 2017 in the Precision Bearing Components Group was $8.4 million compared to $6.5 million for the same period in 2016.</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 GAAP basis, income from operations for second quarter 2017 in the Precision Engineered Products Group was $10.6 million compared to $10.8 million for the same period in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Adjusted income from operations for the second quarter of 2017 was $28.1 million, compared to $28.7 million for the same period in 2016. Adjusted net income was $13.9 million, or $0.51 per diluted share, compared to $12.4 million, or $0.46 per diluted share for the same period in 2016.</w:t>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Richard Holder, President and Chief Executive Officer, commented, “Overall operating performance in the quarter was in line with our expectations and our plan for the quarter. Sales were slightly ahead of plan as we continue to see new business wins in our medical and aerospace end markets. Adjusted earnings per share of $0.51 was also better than expected.”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Autocam Precision Components</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 sales for the second quarter of 2017 were $86.7 million, compared to $83.0 million in the second quarter of 2016, an increase of 4% or $3.7 million. Growth related to our CAFE automotive business accounted for the increase. Adjusted income from operations for the quarter increased $0.9 million to $11.6 million, compared to $10.7 million in the second quarter of 2016.</w:t>
      </w:r>
    </w:p>
    <w:p>
      <w:pPr>
        <w:spacing w:after="0" w:line="181"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Mr. Holder commented, “The APC Group continues to perform well. Our CAFE technology platform continues to drive growth and margins continue to expand as we reap the benefits of the NN Operating System.”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Bearing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second quarter of 2017 were $67.9 million, compared to $65.2 million in the second quarter of 2016, an increase of $2.7 million or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income from operations for the second quarter was $8.7 million, compared to $8.2 million in the second quarter of 2016.</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Mr. Holder commented, “The PBC Group continued to see improved performance in the second quarter, and sales and operating profit were better than the prior year, meeting our expectations for the quarter. Regarding the divestiture of PBC, we remain on track and we expect to close the transaction before year-end.”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Engineered Products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sales for the second quarter of 2017 were $71.3 million, compared to $66.1 million in the second quarter of 2016, an increase of $5.2 million, or 8%. Volume increases related to our medical and aerospace end markets were the primary drivers. Adjusted income from operations for the quarter was $15.6 million, compared to $16.3 million in 2016.</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Mr. Holder commented, “We continue to experience new program wins in both our medical and aerospace end markets and are pleased with the top line performance of the PEP Group. As these new programs reach normal production levels in the second half and we gain the benefits of the NN Operating System, we expect margins to return to normal.”</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Mr. Holder concluded, “We are pleased with the performance of the business in the second quarter and first half of the year. Our strategy continues to pay dividends as we have now seen growth in all of our segments in three consecutive quarters.”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full set of financial guidance for the second quarter and full year 2017 can be found in our supplemental presentation posted in the Investor Relations section of our website at </w:t>
      </w:r>
      <w:r>
        <w:rPr>
          <w:rFonts w:ascii="Arial" w:cs="Arial" w:eastAsia="Arial" w:hAnsi="Arial"/>
          <w:sz w:val="18"/>
          <w:szCs w:val="18"/>
          <w:u w:val="single" w:color="auto"/>
          <w:color w:val="auto"/>
        </w:rPr>
        <w:t>www.nninc.com</w:t>
      </w:r>
      <w:r>
        <w:rPr>
          <w:rFonts w:ascii="Arial" w:cs="Arial" w:eastAsia="Arial" w:hAnsi="Arial"/>
          <w:sz w:val="18"/>
          <w:szCs w:val="18"/>
          <w:color w:val="auto"/>
        </w:rPr>
        <w:t>.</w:t>
      </w:r>
    </w:p>
    <w:p>
      <w:pPr>
        <w:spacing w:after="0" w:line="170" w:lineRule="exact"/>
        <w:rPr>
          <w:sz w:val="20"/>
          <w:szCs w:val="20"/>
          <w:color w:val="auto"/>
        </w:rPr>
      </w:pPr>
    </w:p>
    <w:p>
      <w:pPr>
        <w:ind w:right="160" w:firstLine="8"/>
        <w:spacing w:after="0" w:line="312" w:lineRule="auto"/>
        <w:tabs>
          <w:tab w:leader="none" w:pos="3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tomorrow morning starting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1-888-452-4004 or 1-719-325-2108 Conference ID: 4928092. For those who are unavailable to listen to the live broadcast, a replay will be available shortly after the call for 90 days.</w:t>
      </w:r>
    </w:p>
    <w:p>
      <w:pPr>
        <w:spacing w:after="0" w:line="147" w:lineRule="exact"/>
        <w:rPr>
          <w:sz w:val="20"/>
          <w:szCs w:val="20"/>
          <w:color w:val="auto"/>
        </w:rPr>
      </w:pPr>
    </w:p>
    <w:p>
      <w:pPr>
        <w:ind w:right="60" w:firstLine="8"/>
        <w:spacing w:after="0" w:line="264"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net income and adjusted diluted earnings per share. Each of adjusted income from operations and adjusted net income provide supplementary information about the impacts of acquisition related expenses, foreign-exchange and other non-operating impacts on our business.</w:t>
      </w:r>
    </w:p>
    <w:p>
      <w:pPr>
        <w:sectPr>
          <w:pgSz w:w="11900" w:h="16838" w:orient="portrait"/>
          <w:cols w:equalWidth="0" w:num="1">
            <w:col w:w="11280"/>
          </w:cols>
          <w:pgMar w:left="240" w:top="274" w:right="379" w:bottom="1440" w:gutter="0" w:footer="0" w:header="0"/>
        </w:sectPr>
      </w:pPr>
    </w:p>
    <w:bookmarkStart w:id="6" w:name="page7"/>
    <w:bookmarkEnd w:id="6"/>
    <w:p>
      <w:pPr>
        <w:ind w:right="3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tables found later in this press release include a reconciliation of adjusted income from operations, adjusted net income and adjusted diluted earnings per share to the U.S. GAAP financial measures of income from operations, net income and diluted earnings per share.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40 manufacturing plants in North America, Western Europe, Eastern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2016. Except as required by law, we undertake no obligation to update or revise any forward-looking statements we make in our press releases, whether as a result of new information, future events or otherwise.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420" w:type="dxa"/>
            <w:vAlign w:val="bottom"/>
            <w:gridSpan w:val="4"/>
          </w:tcPr>
          <w:p>
            <w:pPr>
              <w:spacing w:after="0" w:line="158" w:lineRule="exact"/>
              <w:rPr>
                <w:sz w:val="20"/>
                <w:szCs w:val="20"/>
                <w:color w:val="auto"/>
              </w:rPr>
            </w:pPr>
            <w:r>
              <w:rPr>
                <w:rFonts w:ascii="Arial" w:cs="Arial" w:eastAsia="Arial" w:hAnsi="Arial"/>
                <w:sz w:val="14"/>
                <w:szCs w:val="14"/>
                <w:color w:val="auto"/>
              </w:rPr>
              <w:t>(in thousands, except per share data)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28"/>
              <w:spacing w:after="0" w:line="158"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sales</w:t>
            </w:r>
          </w:p>
        </w:tc>
        <w:tc>
          <w:tcPr>
            <w:tcW w:w="5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$225,875</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$214,272</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452,189</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426,498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166,040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156,794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332,994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21,592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44,530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15,900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15,136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31,468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24"/>
        </w:trPr>
        <w:tc>
          <w:tcPr>
            <w:tcW w:w="7420" w:type="dxa"/>
            <w:vAlign w:val="bottom"/>
            <w:gridSpan w:val="4"/>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42,751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12,409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16,165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27,365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39,639</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39,639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loss on change in interest rate swap fair value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Income (loss) before provision (benefit) for income taxes and share of net income from joint venture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(32,201)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(24,187)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30"/>
        </w:trPr>
        <w:tc>
          <w:tcPr>
            <w:tcW w:w="742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(21,529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(14,122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Arial" w:cs="Arial" w:eastAsia="Arial" w:hAnsi="Arial"/>
                <w:sz w:val="18"/>
                <w:szCs w:val="18"/>
                <w:color w:val="auto"/>
              </w:rPr>
              <w:t>Net income (loss)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27,468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27,358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26,923</w:t>
            </w:r>
          </w:p>
        </w:tc>
        <w:tc>
          <w:tcPr>
            <w:tcW w:w="0" w:type="dxa"/>
            <w:vAlign w:val="bottom"/>
          </w:tcPr>
          <w:p>
            <w:pPr>
              <w:spacing w:after="0"/>
              <w:rPr>
                <w:sz w:val="1"/>
                <w:szCs w:val="1"/>
                <w:color w:val="auto"/>
              </w:rPr>
            </w:pPr>
          </w:p>
        </w:tc>
      </w:tr>
      <w:tr>
        <w:trPr>
          <w:trHeight w:val="20"/>
        </w:trPr>
        <w:tc>
          <w:tcPr>
            <w:tcW w:w="7420" w:type="dxa"/>
            <w:vAlign w:val="bottom"/>
            <w:gridSpan w:val="4"/>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income (loss)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gridSpan w:val="3"/>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27,358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NN, Inc.</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5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Condensed Consolidated Balance Sheet (Unaudited)</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92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$ 19,166</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14,405</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24,748</w:t>
            </w:r>
          </w:p>
        </w:tc>
        <w:tc>
          <w:tcPr>
            <w:tcW w:w="10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12,751</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obligation under capital lease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3,762</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827,390</w:t>
            </w:r>
          </w:p>
        </w:tc>
        <w:tc>
          <w:tcPr>
            <w:tcW w:w="10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785,713</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 under capital lease, net of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5,851</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Income from Operations to Adjusted Income from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tcPr>
          <w:p>
            <w:pPr>
              <w:spacing w:after="0"/>
              <w:rPr>
                <w:sz w:val="20"/>
                <w:szCs w:val="20"/>
                <w:color w:val="auto"/>
              </w:rPr>
            </w:pPr>
            <w:r>
              <w:rPr>
                <w:rFonts w:ascii="Arial" w:cs="Arial" w:eastAsia="Arial" w:hAnsi="Arial"/>
                <w:sz w:val="14"/>
                <w:szCs w:val="14"/>
                <w:color w:val="auto"/>
              </w:rPr>
              <w:t>For the Period Ending:</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NN, Inc. Consolidated</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20,593</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5,893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Non-GAAP Adjusted Operating Margin</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GAAP Sales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225,875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214,272</w:t>
            </w:r>
          </w:p>
        </w:tc>
        <w:tc>
          <w:tcPr>
            <w:tcW w:w="0" w:type="dxa"/>
            <w:vAlign w:val="bottom"/>
          </w:tcPr>
          <w:p>
            <w:pPr>
              <w:spacing w:after="0"/>
              <w:rPr>
                <w:sz w:val="1"/>
                <w:szCs w:val="1"/>
                <w:color w:val="auto"/>
              </w:rPr>
            </w:pPr>
          </w:p>
        </w:tc>
      </w:tr>
      <w:tr>
        <w:trPr>
          <w:trHeight w:val="36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Autocam Precision Components</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10,688</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10,740</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JV Contribution</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12,812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Non-GAAP Adjusted Operating Margin</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GAAP Sales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82,991</w:t>
            </w:r>
          </w:p>
        </w:tc>
        <w:tc>
          <w:tcPr>
            <w:tcW w:w="0" w:type="dxa"/>
            <w:vAlign w:val="bottom"/>
          </w:tcPr>
          <w:p>
            <w:pPr>
              <w:spacing w:after="0"/>
              <w:rPr>
                <w:sz w:val="1"/>
                <w:szCs w:val="1"/>
                <w:color w:val="auto"/>
              </w:rPr>
            </w:pPr>
          </w:p>
        </w:tc>
      </w:tr>
      <w:tr>
        <w:trPr>
          <w:trHeight w:val="36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Precision Bearing Components</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Non-GAAP Adjusted Operating Margin</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GAAP Sales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67,928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65,157</w:t>
            </w:r>
          </w:p>
        </w:tc>
        <w:tc>
          <w:tcPr>
            <w:tcW w:w="0" w:type="dxa"/>
            <w:vAlign w:val="bottom"/>
          </w:tcPr>
          <w:p>
            <w:pPr>
              <w:spacing w:after="0"/>
              <w:rPr>
                <w:sz w:val="1"/>
                <w:szCs w:val="1"/>
                <w:color w:val="auto"/>
              </w:rPr>
            </w:pPr>
          </w:p>
        </w:tc>
      </w:tr>
      <w:tr>
        <w:trPr>
          <w:trHeight w:val="365"/>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Precision Engineered Products</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2Q17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2Q16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from Operations</w:t>
            </w:r>
          </w:p>
        </w:tc>
        <w:tc>
          <w:tcPr>
            <w:tcW w:w="2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3"/>
              </w:rPr>
              <w:t>10,600</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Restructuring &amp; impairment charges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Acquisition &amp; integration expenses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4,966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Income from Operations (a)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Non-GAAP Adjusted Operating Margin</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GAAP Sales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66,124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For the Period Ending:</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GAAP Net Income to Adjusted Net Income</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(21,529)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Pre-tax acquisition and integration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loss (gain) on inter-company loans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Pre-tax reorganization and impairment charges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39,740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Pre-tax write-off interest rate swap</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&amp; deferred financing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Tax effect of all adjustment reflected above (c)</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(b)</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13,938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12,432</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Diluted Earnings per Share to Adjusted Diluted Earnings per Share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2Q16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per Share</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Pre-tax acquisition and integration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Pre-tax foreign exchange loss (gain) on inter-company loans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Pre-tax reorganization and impairment charges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write-off of unamortized debt issuance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Pre-tax write-off interest rate swap</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Pre-tax amortization of intangibles &amp; deferred financing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Tax effect of all adjustment reflected above (c)</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Net Income per Share (b)</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Diluted Shares O/S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7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27,468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27,100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ind w:right="80"/>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discloses in this presentation the non-GAAP financial measures of adjusted income from operations, adjusted net income and adjusted diluted earnings per share. Each of these non-GAAP financial measures provide supplementary information about the impacts of acquisition and integration related expenses, foreign-exchange impacts on inter-company loans reorganizational and impairment charges. Over the past three years, we have completed six acquisitions, two of which were transformative for the Company. The costs we incurred in completing such acquisitions, including the amortization of intangibles and deferred financing costs,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such as, the write-off of our interest rate swap, are excluded as the charges on not indicative of our ongoing operating cost. We believe the presentation of adjusted income from operations, adjusted net income and adjusted diluted earnings per share provide useful information in assessing our underlying business trends and facilitates comparison of our long-term performance over given periods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net income growth derived from income amounts presented in accordance with GAAP. The Company does not consider these non-GAAP financial measures to be a substitute for, or superior to, the information provided by GAAP financial results.</w:t>
      </w:r>
    </w:p>
    <w:p>
      <w:pPr>
        <w:spacing w:after="0" w:line="188" w:lineRule="exact"/>
        <w:rPr>
          <w:sz w:val="20"/>
          <w:szCs w:val="20"/>
          <w:color w:val="auto"/>
        </w:rPr>
      </w:pPr>
    </w:p>
    <w:p>
      <w:pPr>
        <w:ind w:right="160" w:firstLine="8"/>
        <w:spacing w:after="0" w:line="291" w:lineRule="auto"/>
        <w:tabs>
          <w:tab w:leader="none" w:pos="245"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Non-GAAP Adjusted income from operations, represents GAAP income from operations, adjusted to exclude the effects of restructuring and non-cash impairment charges (related to plant closures and other charges incurred to implement our strategic goals, that do not necessarily represent a major strategic shift in operations), one-time charges related to acquisition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167" w:lineRule="exact"/>
        <w:rPr>
          <w:rFonts w:ascii="Arial" w:cs="Arial" w:eastAsia="Arial" w:hAnsi="Arial"/>
          <w:sz w:val="16"/>
          <w:szCs w:val="16"/>
          <w:color w:val="auto"/>
        </w:rPr>
      </w:pPr>
    </w:p>
    <w:p>
      <w:pPr>
        <w:ind w:firstLine="8"/>
        <w:spacing w:after="0" w:line="27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Non-GAAP adjusted net income and adjusted diluted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one-time charges related to acquisition and integration costs, amortization of intangibles costs for fair value step-up in values related to acquisitions and amortization of deferred financing costs, loss on extinguishment of debt and write-off of unamortized debt issuance costs and foreign exchange gain (loss) on inter-company loans.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net income and Non-GAAP adjusted diluted earnings per share, is not a measure of financial performance under GAAP and should not be considered as a measure of liquidity or as an alternative to GAAP net income.</w:t>
      </w:r>
    </w:p>
    <w:p>
      <w:pPr>
        <w:spacing w:after="0" w:line="178" w:lineRule="exact"/>
        <w:rPr>
          <w:rFonts w:ascii="Arial" w:cs="Arial" w:eastAsia="Arial" w:hAnsi="Arial"/>
          <w:sz w:val="17"/>
          <w:szCs w:val="17"/>
          <w:color w:val="auto"/>
        </w:rPr>
      </w:pPr>
    </w:p>
    <w:p>
      <w:pPr>
        <w:ind w:right="60" w:firstLine="8"/>
        <w:spacing w:after="0" w:line="259"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line item reflects the aggregate tax effect of all nontax adjustments reflected in the table above. In addition, the footnotes above indicate the after-tax amount of each individual adjustment item. NN, Inc. estimates the tax effect of the adjustment items identified in the reconciliation schedule above by applying NN, Inc’s. overall estimated effective tax rate to the pretax amount, unless the nature of the item and/or the tax jurisdiction in which the item has been recorded requires application of a specific tax rate or tax treatment.</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40"/>
    </w:lvl>
  </w:abstractNum>
  <w:abstractNum w:abstractNumId="2">
    <w:nsid w:val="2AE8944A"/>
    <w:multiLevelType w:val="hybridMultilevel"/>
    <w:lvl w:ilvl="0">
      <w:lvlJc w:val="left"/>
      <w:lvlText w:val="%1"/>
      <w:numFmt w:val="upperLetter"/>
      <w:start w:val="40"/>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2019-12-05T23:57:15Z</dcterms:created>
  <dcterms:modified xsi:type="dcterms:W3CDTF">2019-12-05T23:57:15Z</dcterms:modified>
</cp:coreProperties>
</file>