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Floyd David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21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05/12/2016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ind w:left="6"/>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ind w:left="366" w:hanging="366"/>
        <w:spacing w:after="0"/>
        <w:tabs>
          <w:tab w:leader="none" w:pos="366" w:val="left"/>
        </w:tabs>
        <w:numPr>
          <w:ilvl w:val="0"/>
          <w:numId w:val="1"/>
        </w:numPr>
        <w:rPr>
          <w:rFonts w:ascii="Arial" w:cs="Arial" w:eastAsia="Arial" w:hAnsi="Arial"/>
          <w:sz w:val="22"/>
          <w:szCs w:val="22"/>
          <w:color w:val="0000EE"/>
        </w:rPr>
      </w:pPr>
      <w:hyperlink r:id="rId12">
        <w:r>
          <w:rPr>
            <w:rFonts w:ascii="Arial" w:cs="Arial" w:eastAsia="Arial" w:hAnsi="Arial"/>
            <w:sz w:val="22"/>
            <w:szCs w:val="22"/>
            <w:u w:val="single" w:color="auto"/>
            <w:color w:val="0000EE"/>
          </w:rPr>
          <w:t>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NNBR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74"/>
            <w:col w:w="6226"/>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1180" w:type="dxa"/>
            <w:vAlign w:val="bottom"/>
          </w:tcPr>
          <w:p>
            <w:pPr>
              <w:ind w:left="160"/>
              <w:spacing w:after="0"/>
              <w:rPr>
                <w:sz w:val="20"/>
                <w:szCs w:val="20"/>
                <w:color w:val="auto"/>
              </w:rPr>
            </w:pPr>
            <w:r>
              <w:rPr>
                <w:rFonts w:ascii="Arial" w:cs="Arial" w:eastAsia="Arial" w:hAnsi="Arial"/>
                <w:sz w:val="14"/>
                <w:szCs w:val="14"/>
                <w:color w:val="auto"/>
              </w:rPr>
              <w:t>(First)</w:t>
            </w:r>
          </w:p>
        </w:tc>
        <w:tc>
          <w:tcPr>
            <w:tcW w:w="1100" w:type="dxa"/>
            <w:vAlign w:val="bottom"/>
          </w:tcPr>
          <w:p>
            <w:pPr>
              <w:ind w:left="6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color w:val="0000FF"/>
                <w:w w:val="97"/>
              </w:rPr>
              <w:t>207 MOCKINGBIRD LANE</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JOHNSON</w:t>
            </w:r>
          </w:p>
        </w:tc>
        <w:tc>
          <w:tcPr>
            <w:tcW w:w="1180" w:type="dxa"/>
            <w:vAlign w:val="bottom"/>
            <w:vMerge w:val="restart"/>
          </w:tcPr>
          <w:p>
            <w:pPr>
              <w:ind w:left="160"/>
              <w:spacing w:after="0"/>
              <w:rPr>
                <w:sz w:val="20"/>
                <w:szCs w:val="20"/>
                <w:color w:val="auto"/>
              </w:rPr>
            </w:pPr>
            <w:r>
              <w:rPr>
                <w:rFonts w:ascii="Arial" w:cs="Arial" w:eastAsia="Arial" w:hAnsi="Arial"/>
                <w:sz w:val="18"/>
                <w:szCs w:val="18"/>
                <w:color w:val="0000FF"/>
              </w:rPr>
              <w:t>TN</w:t>
            </w:r>
          </w:p>
        </w:tc>
        <w:tc>
          <w:tcPr>
            <w:tcW w:w="1100" w:type="dxa"/>
            <w:vAlign w:val="bottom"/>
            <w:vMerge w:val="restart"/>
          </w:tcPr>
          <w:p>
            <w:pPr>
              <w:ind w:left="60"/>
              <w:spacing w:after="0"/>
              <w:rPr>
                <w:sz w:val="20"/>
                <w:szCs w:val="20"/>
                <w:color w:val="auto"/>
              </w:rPr>
            </w:pPr>
            <w:r>
              <w:rPr>
                <w:rFonts w:ascii="Arial" w:cs="Arial" w:eastAsia="Arial" w:hAnsi="Arial"/>
                <w:sz w:val="18"/>
                <w:szCs w:val="18"/>
                <w:color w:val="0000FF"/>
              </w:rPr>
              <w:t>37604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60" w:type="dxa"/>
            <w:vAlign w:val="bottom"/>
            <w:vMerge w:val="restart"/>
          </w:tcPr>
          <w:p>
            <w:pPr>
              <w:ind w:left="20"/>
              <w:spacing w:after="0"/>
              <w:rPr>
                <w:sz w:val="20"/>
                <w:szCs w:val="20"/>
                <w:color w:val="auto"/>
              </w:rPr>
            </w:pPr>
            <w:r>
              <w:rPr>
                <w:rFonts w:ascii="Arial" w:cs="Arial" w:eastAsia="Arial" w:hAnsi="Arial"/>
                <w:sz w:val="18"/>
                <w:szCs w:val="18"/>
                <w:color w:val="0000FF"/>
              </w:rPr>
              <w:t>CITY</w:t>
            </w:r>
          </w:p>
        </w:tc>
        <w:tc>
          <w:tcPr>
            <w:tcW w:w="11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Power of Attorney is attached to this Form 3 as Exhibit 24.</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Arial" w:cs="Arial" w:eastAsia="Arial" w:hAnsi="Arial"/>
                <w:sz w:val="18"/>
                <w:szCs w:val="18"/>
                <w:color w:val="0000FF"/>
                <w:w w:val="92"/>
              </w:rPr>
              <w:t>/s/ David K. Floyd</w:t>
            </w:r>
          </w:p>
        </w:tc>
        <w:tc>
          <w:tcPr>
            <w:tcW w:w="8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05/13/2016</w:t>
            </w:r>
          </w:p>
        </w:tc>
      </w:tr>
      <w:tr>
        <w:trPr>
          <w:trHeight w:val="20"/>
        </w:trPr>
        <w:tc>
          <w:tcPr>
            <w:tcW w:w="13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Richard D. Holder, Matthew S. Heiter, Thomas C. Burwell, Jr., J. Robert Atkinson, and Andrew T. Yonchak, or either of them signing singly, and with full power of substitution, as the undersigned's true and lawful attorney-in-fact (each, individually, an "Attorney-in-Fact" and collectively, the "Attorneys-in-Fact") to:</w:t>
      </w:r>
    </w:p>
    <w:p>
      <w:pPr>
        <w:spacing w:after="0" w:line="210" w:lineRule="exact"/>
        <w:rPr>
          <w:sz w:val="20"/>
          <w:szCs w:val="20"/>
          <w:color w:val="auto"/>
        </w:rPr>
      </w:pPr>
    </w:p>
    <w:p>
      <w:pPr>
        <w:jc w:val="both"/>
        <w:ind w:right="2099" w:firstLine="219"/>
        <w:spacing w:after="0" w:line="273" w:lineRule="auto"/>
        <w:tabs>
          <w:tab w:leader="none" w:pos="94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director of NN, Inc., a Delaware corporation (the "Company"), Forms 3, 4, and 5 in accordance with Section 16(a) of the Securities Exchange Act of 1934, as amended (the "Exchange Act") and the rules and regulations of the United States Securities and Exchange Commission (the "SEC") thereunder;</w:t>
      </w:r>
    </w:p>
    <w:p>
      <w:pPr>
        <w:spacing w:after="0" w:line="184" w:lineRule="exact"/>
        <w:rPr>
          <w:rFonts w:ascii="Courier New" w:cs="Courier New" w:eastAsia="Courier New" w:hAnsi="Courier New"/>
          <w:sz w:val="16"/>
          <w:szCs w:val="16"/>
          <w:color w:val="auto"/>
        </w:rPr>
      </w:pPr>
    </w:p>
    <w:p>
      <w:pPr>
        <w:ind w:right="1779" w:firstLine="219"/>
        <w:spacing w:after="0" w:line="272" w:lineRule="auto"/>
        <w:tabs>
          <w:tab w:leader="none" w:pos="94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that may be necessary or desirable to complete and execute any such Form 3, 4, or 5, including filing and applying for and updating any accession, CCC, and CIK filing codes (including filing SEC Form ID (or any similar form)), completing and executing any amendment or amendments thereto, and timely filing any such form with the SEC and any stock exchange or similar regulatory authority; and</w:t>
      </w:r>
    </w:p>
    <w:p>
      <w:pPr>
        <w:spacing w:after="0" w:line="185" w:lineRule="exact"/>
        <w:rPr>
          <w:rFonts w:ascii="Courier New" w:cs="Courier New" w:eastAsia="Courier New" w:hAnsi="Courier New"/>
          <w:sz w:val="16"/>
          <w:szCs w:val="16"/>
          <w:color w:val="auto"/>
        </w:rPr>
      </w:pPr>
    </w:p>
    <w:p>
      <w:pPr>
        <w:ind w:right="1779" w:firstLine="219"/>
        <w:spacing w:after="0" w:line="237" w:lineRule="auto"/>
        <w:tabs>
          <w:tab w:leader="none" w:pos="9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779" w:firstLine="211"/>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 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This Power of Attorney revokes any currently existing power of attorney solely to the extent any such currently existing power of attorney gives the agent(s) designated therein the power or authority to do or perform any act or thing in the exercise of any of the rights and powers herein granted. This Power of Attorney shall not be revoked by any subsequent power of attorney I may execute, unless such subsequent power specifically refers to this Power of Attorney or specifically states that the instrument is intended to revoke all prior powers of attorney.</w:t>
      </w:r>
    </w:p>
    <w:p>
      <w:pPr>
        <w:spacing w:after="0" w:line="212"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6th day of May, 2016.</w:t>
      </w:r>
    </w:p>
    <w:p>
      <w:pPr>
        <w:spacing w:after="0" w:line="200" w:lineRule="exact"/>
        <w:rPr>
          <w:sz w:val="20"/>
          <w:szCs w:val="20"/>
          <w:color w:val="auto"/>
        </w:rPr>
      </w:pPr>
    </w:p>
    <w:p>
      <w:pPr>
        <w:spacing w:after="0" w:line="205"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David K. Floyd</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jc w:val="center"/>
        <w:ind w:right="79"/>
        <w:spacing w:after="0"/>
        <w:rPr>
          <w:sz w:val="20"/>
          <w:szCs w:val="20"/>
          <w:color w:val="auto"/>
        </w:rPr>
      </w:pPr>
      <w:r>
        <w:rPr>
          <w:rFonts w:ascii="Courier New" w:cs="Courier New" w:eastAsia="Courier New" w:hAnsi="Courier New"/>
          <w:sz w:val="18"/>
          <w:szCs w:val="18"/>
          <w:color w:val="auto"/>
        </w:rPr>
        <w:t>DAVID K. FLOYD</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40"/>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64203" TargetMode="External"/><Relationship Id="rId12"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2019-12-23T15:46:40Z</dcterms:created>
  <dcterms:modified xsi:type="dcterms:W3CDTF">2019-12-23T15:46:40Z</dcterms:modified>
</cp:coreProperties>
</file>