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As filed with the Securities and Exchange Commission on December 29, 2014</w:t>
      </w:r>
    </w:p>
    <w:p>
      <w:pPr>
        <w:spacing w:after="0" w:line="27" w:lineRule="exact"/>
        <w:rPr>
          <w:sz w:val="24"/>
          <w:szCs w:val="24"/>
          <w:color w:val="auto"/>
        </w:rPr>
      </w:pPr>
    </w:p>
    <w:p>
      <w:pPr>
        <w:ind w:left="8420"/>
        <w:spacing w:after="0"/>
        <w:rPr>
          <w:sz w:val="20"/>
          <w:szCs w:val="20"/>
          <w:color w:val="auto"/>
        </w:rPr>
      </w:pPr>
      <w:r>
        <w:rPr>
          <w:rFonts w:ascii="Arial" w:cs="Arial" w:eastAsia="Arial" w:hAnsi="Arial"/>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REGISTRATION STATEMENT</w:t>
      </w:r>
    </w:p>
    <w:p>
      <w:pPr>
        <w:jc w:val="center"/>
        <w:ind w:right="-9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80" w:type="dxa"/>
            <w:vAlign w:val="bottom"/>
          </w:tcPr>
          <w:p>
            <w:pPr>
              <w:jc w:val="center"/>
              <w:ind w:right="1962"/>
              <w:spacing w:after="0"/>
              <w:rPr>
                <w:sz w:val="20"/>
                <w:szCs w:val="20"/>
                <w:color w:val="auto"/>
              </w:rPr>
            </w:pPr>
            <w:r>
              <w:rPr>
                <w:rFonts w:ascii="Arial" w:cs="Arial" w:eastAsia="Arial" w:hAnsi="Arial"/>
                <w:sz w:val="18"/>
                <w:szCs w:val="18"/>
                <w:b w:val="1"/>
                <w:bCs w:val="1"/>
                <w:color w:val="auto"/>
                <w:w w:val="93"/>
              </w:rPr>
              <w:t>Delaware</w:t>
            </w:r>
          </w:p>
        </w:tc>
        <w:tc>
          <w:tcPr>
            <w:tcW w:w="3460" w:type="dxa"/>
            <w:vAlign w:val="bottom"/>
          </w:tcPr>
          <w:p>
            <w:pPr>
              <w:jc w:val="center"/>
              <w:ind w:left="1962"/>
              <w:spacing w:after="0"/>
              <w:rPr>
                <w:sz w:val="20"/>
                <w:szCs w:val="20"/>
                <w:color w:val="auto"/>
              </w:rPr>
            </w:pPr>
            <w:r>
              <w:rPr>
                <w:rFonts w:ascii="Arial" w:cs="Arial" w:eastAsia="Arial" w:hAnsi="Arial"/>
                <w:sz w:val="18"/>
                <w:szCs w:val="18"/>
                <w:b w:val="1"/>
                <w:bCs w:val="1"/>
                <w:color w:val="auto"/>
                <w:w w:val="89"/>
              </w:rPr>
              <w:t>62-1096725</w:t>
            </w:r>
          </w:p>
        </w:tc>
      </w:tr>
      <w:tr>
        <w:trPr>
          <w:trHeight w:val="149"/>
        </w:trPr>
        <w:tc>
          <w:tcPr>
            <w:tcW w:w="398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60" w:type="dxa"/>
            <w:vAlign w:val="bottom"/>
          </w:tcPr>
          <w:p>
            <w:pPr>
              <w:jc w:val="center"/>
              <w:ind w:left="1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1962"/>
              <w:spacing w:after="0"/>
              <w:rPr>
                <w:sz w:val="20"/>
                <w:szCs w:val="20"/>
                <w:color w:val="auto"/>
              </w:rPr>
            </w:pPr>
            <w:r>
              <w:rPr>
                <w:rFonts w:ascii="Arial" w:cs="Arial" w:eastAsia="Arial" w:hAnsi="Arial"/>
                <w:sz w:val="14"/>
                <w:szCs w:val="14"/>
                <w:b w:val="1"/>
                <w:bCs w:val="1"/>
                <w:color w:val="auto"/>
                <w:w w:val="95"/>
              </w:rPr>
              <w:t>Incorporation or Organization)</w:t>
            </w:r>
          </w:p>
        </w:tc>
        <w:tc>
          <w:tcPr>
            <w:tcW w:w="3460" w:type="dxa"/>
            <w:vAlign w:val="bottom"/>
          </w:tcPr>
          <w:p>
            <w:pPr>
              <w:jc w:val="center"/>
              <w:ind w:left="196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(423) 743-9151</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William C. Kelly, Jr.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Vice President, Chief Administrative Officer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2000 Waters Edge Drive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(423) 743-9151</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With copies to:</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Matthew S. Heiter, Esq.</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Andrew T. Yonchak, Esq.</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Baker, Donelson, Bearman, Caldwell &amp; Berkowitz, PC</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165 Madison Avenue, Suite 2000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Memphis, Tennessee 38103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(901) 577-8117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6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49" w:orient="portrait"/>
          <w:cols w:equalWidth="0" w:num="1">
            <w:col w:w="11340"/>
          </w:cols>
          <w:pgMar w:left="240" w:top="230" w:right="319" w:bottom="0" w:gutter="0" w:footer="0" w:header="0"/>
        </w:sectPr>
      </w:pPr>
    </w:p>
    <w:bookmarkStart w:id="1" w:name="page2"/>
    <w:bookmarkEnd w:id="1"/>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12b- 2 of the Exchange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restart"/>
          </w:tcPr>
          <w:p>
            <w:pPr>
              <w:jc w:val="center"/>
              <w:ind w:left="2"/>
              <w:spacing w:after="0"/>
              <w:rPr>
                <w:sz w:val="20"/>
                <w:szCs w:val="20"/>
                <w:color w:val="auto"/>
              </w:rPr>
            </w:pPr>
            <w:r>
              <w:rPr>
                <w:rFonts w:ascii="Arial" w:cs="Arial" w:eastAsia="Arial" w:hAnsi="Arial"/>
                <w:sz w:val="14"/>
                <w:szCs w:val="14"/>
                <w:b w:val="1"/>
                <w:bCs w:val="1"/>
                <w:color w:val="auto"/>
                <w:w w:val="93"/>
              </w:rPr>
              <w:t>Amount 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to be Registered (1)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(2)(3)</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6"/>
              </w:rPr>
              <w:t>Per Unit (2)</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6"/>
              </w:rPr>
              <w:t>Offering Price (2)(3)</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 (4)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Debt Securities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Preferred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Common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Warrants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Units (5)</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$200,000,000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1"/>
              </w:rPr>
              <w:t>100%</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$200,000,000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$23,240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0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also registers such indeterminate amounts of securities as may be issued upon exercise or conversion of, or in exchange for, the securities registered, and pursuant to Rule 416(a) under the Securities Act of 1933, as amended (the “Securities Act”), such indeterminable number of shares of common stock as may be issued from time to time upon exercise, conversion or exchange as a result of stock splits, stock dividends, or similar transactions.</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offering price per security and the proposed maximum aggregate offering price per class of security will be determined from time to time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respect to debt securities, excluding accrued interest and accrued amortization of discount, if any, to the date of delivery.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w:t>
      </w:r>
    </w:p>
    <w:p>
      <w:pPr>
        <w:spacing w:after="0" w:line="9"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securities, which may or may not be separable from one another.</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DE1A1E"/>
        </w:rPr>
        <w:t>The information contained in this prospectus is not complete and may be changed. We may not sell these securities until the registration statement filed with the Securities and Exchange Commission becomes effective. This prospectus is not an offer to sell these securities and we are not soliciting offers to buy these securities in any jurisdiction where such offer or sale is not permitted.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DECEMBER 29,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172085</wp:posOffset>
            </wp:positionV>
            <wp:extent cx="626110" cy="626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NN, INC.</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206"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From time to time, we may sell up to an aggregate of $200,000,000 of any combination of the securities described in this prospectus. We will specify the terms of any offering of securities by us in a prospectus supplement.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this prospectus, any prospectus supplement and the information incorporated by reference herein or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right="38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carefully consider the risk factors described in the applicable prospectus supplement and certain of our filings with the Securities and Exchange Commission, as described under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common stock is quoted and traded on The NASDAQ Global Select Market under the ticker symbol “NNBR.” On December 22, 2014, the last reported sale price of our common stock on The NASDAQ Global Select Market was $18.90. The applicable prospectus supplement will contain information, where applicable, as to any other listing on The NASDAQ Global Select Market or any securities market or exchange of the securities covered by the prospectus supplement.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securities may be offered directly by us to investors, to or through underwriters or dealers or through agents. If any underwriters are involved in the sale of any securities offered by this prospectus and any prospectus supplement, their names, and any applicable purchase price, fee, commission or discount arrangement between or among them, and any applicable options to purchase additional securities, will be set forth, or will be calculable from the information set forth, in the applicable prospectus supplement. The price to the public of such securities and the net proceeds we expect to receive from such sale will also be set forth in a prospectus supplement.</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880"/>
        <w:spacing w:after="0"/>
        <w:tabs>
          <w:tab w:leader="none" w:pos="70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2014.</w:t>
      </w:r>
    </w:p>
    <w:p>
      <w:pPr>
        <w:sectPr>
          <w:pgSz w:w="11900" w:h="16838" w:orient="portrait"/>
          <w:cols w:equalWidth="0" w:num="1">
            <w:col w:w="11400"/>
          </w:cols>
          <w:pgMar w:left="240" w:top="459" w:right="2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8"/>
            <w:vMerge w:val="restart"/>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8780" w:type="dxa"/>
            <w:vAlign w:val="bottom"/>
            <w:gridSpan w:val="10"/>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8"/>
            <w:vMerge w:val="continue"/>
          </w:tcPr>
          <w:p>
            <w:pPr>
              <w:spacing w:after="0"/>
              <w:rPr>
                <w:sz w:val="14"/>
                <w:szCs w:val="14"/>
                <w:color w:val="auto"/>
              </w:rPr>
            </w:pPr>
          </w:p>
        </w:tc>
        <w:tc>
          <w:tcPr>
            <w:tcW w:w="878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DISCLOSURE REGARDING FORWARD-LOOKING STATEMENTS</w:t>
              </w:r>
            </w:hyperlink>
          </w:p>
        </w:tc>
        <w:tc>
          <w:tcPr>
            <w:tcW w:w="58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ABOUT NN, INC.</w:t>
              </w:r>
            </w:hyperlink>
          </w:p>
        </w:tc>
        <w:tc>
          <w:tcPr>
            <w:tcW w:w="96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976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RATIO OF EARNINGS TO FIXED CHARGES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DESCRIPTION OF THE SECURITIES</w:t>
              </w:r>
            </w:hyperlink>
          </w:p>
        </w:tc>
        <w:tc>
          <w:tcPr>
            <w:tcW w:w="580" w:type="dxa"/>
            <w:vAlign w:val="bottom"/>
            <w:tcBorders>
              <w:top w:val="single" w:sz="8" w:color="0000EE"/>
            </w:tcBorders>
            <w:gridSpan w:val="4"/>
          </w:tcPr>
          <w:p>
            <w:pPr>
              <w:spacing w:after="0"/>
              <w:rPr>
                <w:sz w:val="17"/>
                <w:szCs w:val="17"/>
                <w:color w:val="auto"/>
              </w:rPr>
            </w:pPr>
          </w:p>
        </w:tc>
        <w:tc>
          <w:tcPr>
            <w:tcW w:w="75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DESCRIPTION OF DEBT SECURITIES</w:t>
              </w:r>
            </w:hyperlink>
          </w:p>
        </w:tc>
        <w:tc>
          <w:tcPr>
            <w:tcW w:w="79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DESCRIPTION OF PREFERRED STOCK</w:t>
              </w:r>
            </w:hyperlink>
          </w:p>
        </w:tc>
        <w:tc>
          <w:tcPr>
            <w:tcW w:w="78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COMMON STOCK</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WARRANTS</w:t>
              </w:r>
            </w:hyperlink>
          </w:p>
        </w:tc>
        <w:tc>
          <w:tcPr>
            <w:tcW w:w="80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UNITS</w:t>
              </w:r>
            </w:hyperlink>
          </w:p>
        </w:tc>
        <w:tc>
          <w:tcPr>
            <w:tcW w:w="85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PLAN OF DISTRIBUTION</w:t>
              </w:r>
            </w:hyperlink>
          </w:p>
        </w:tc>
        <w:tc>
          <w:tcPr>
            <w:tcW w:w="89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INFORMATION INCORPORATED BY REFERENCE</w:t>
              </w:r>
            </w:hyperlink>
          </w:p>
        </w:tc>
        <w:tc>
          <w:tcPr>
            <w:tcW w:w="69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EXPERTS</w:t>
              </w:r>
            </w:hyperlink>
          </w:p>
        </w:tc>
        <w:tc>
          <w:tcPr>
            <w:tcW w:w="3040" w:type="dxa"/>
            <w:vAlign w:val="bottom"/>
            <w:tcBorders>
              <w:top w:val="single" w:sz="8" w:color="0000EE"/>
            </w:tcBorders>
            <w:gridSpan w:val="14"/>
          </w:tcPr>
          <w:p>
            <w:pPr>
              <w:spacing w:after="0"/>
              <w:rPr>
                <w:sz w:val="17"/>
                <w:szCs w:val="17"/>
                <w:color w:val="auto"/>
              </w:rPr>
            </w:pPr>
          </w:p>
        </w:tc>
        <w:tc>
          <w:tcPr>
            <w:tcW w:w="72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prospectus supplemental shall constitute an offer to sell or a solicitation of an offer to buy offered securities in any jurisdiction in which it is unlawful for such person to make such an offering or solicitation. Neither the delivery of this prospectus or any prospectus supplement nor any sale made hereunder shall under any circumstances imply that the information contained or incorporated by reference in this prospectus or in any prospectus supplement is correct as of any date subsequent to the date of this prospectus supplement or of any prospectus supplement.</w:t>
      </w:r>
    </w:p>
    <w:p>
      <w:pPr>
        <w:spacing w:after="0" w:line="1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to “NN,” “we,” “our,” “us” or “our company” in this prospectus refer to NN, Inc., a Delaware corporation and its consolidated subsidiaries.</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prospectus is part of a registration statement filed with the Securities and Exchange Commission, or SEC, utilizing a shelf registration process. Under this shelf registration process, we may sell any combination of the securities described in this prospectus, either individually or in units, in one or more offerings, up to a total dollar amount of $200,000,000.</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specific offering. The prospectus supplement may also add, update or change information contained in this prospectus. You should read this prospectus and the applicable prospectus supplement together with the additional information described under the heading “Where You Can Find More Information.”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Except for specific historical information, many of the matters discussed in this prospectus, or the information incorporated by reference into this prospectus,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appearing in this prospectus, including the information incorporated by reference into this prospectus,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 We caution readers not to place undue reliance upon any such forward-looking statements, which speak only as of the date made and are based on our beliefs, assumptions and estimates using information available to us at the time and are not intended to be guarantees of future events or performances.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 in any prospectus supplement as well as in our Annual Report on Form 10-K for the fiscal year ended December 31, 2013 and our other reports on file with the SEC. Except as required by law, we undertake no obligation to update or revise any forward-looking statements we make in our prospectus, whether as a result of new information, future events or otherwise.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NN, INC.</w:t>
      </w:r>
    </w:p>
    <w:p>
      <w:pPr>
        <w:spacing w:after="0" w:line="229"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We are a manufacturer and supplier of high precision metal bearing components, industrial plastic and rubber products and precision metal components to a variety of markets across the globe. We have 25 manufacturing plants across the United States, Western Europe, Eastern Europe, South America and China.</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were incorporated in Delaware in October, 1980. Our principal executive offices are maintained at 2000 Waters Edge Drive, Building C, Suite 12, Johnson City, Tennessee 37604 and our telephone number is (423) 743-9151. Our common stock is listed on The NASDAQ Global Select Market under the ticker symbol “NNBR.”</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For further discussion of the material elements of our business, please refer to our Annual Report on Form 10-K for the fiscal year ended December 31, 2013 on file with the SEC, and any subsequent reports we file with the SEC, including those incorporated by reference into this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Investing in our securities involves a high degree of risk. Please see the risk factors under the heading “Risk Factors” in any prospectus supplement as well as in our Annual Report on Form 10-K for the fiscal year ended December 31, 2013 on file with the SEC, which are incorporated by reference into this prospectus and which may be amended, supplemented or superseded from time to time by other reports that we subsequently file with the SEC. Before you invest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Unless indicated otherwise in the applicable prospectus supplement, we expect to use the net proceeds for our operations and for other general corporate purposes, including, but not limited to, capital expenditures, repayment or refinancing of borrowings, working capital, investments and acquisitions. We have not allocated any portion of the net proceeds for any particular use at this time. Pending such uses, we may invest the net proceeds in demand deposits, money market accounts or short-term, investment-grade, interest-bearing securities or guaranteed obligations of the United States government or other</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securities. Additional information on the use of net proceeds may be set forth in the applicable prospectus supplement or other offering material relating to such offering. If net proceeds from a specific offering will be used to repay indebtedness, the applicable prospectus supplement or other offering material will describe the relevant terms of the debt to be repaid.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our ratio of earnings to fixed charges in each of the periods indicated. The ratios are calculated by dividing earnings by the fixed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color w:val="auto"/>
                <w:w w:val="97"/>
              </w:rPr>
              <w:t>Nine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692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months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7"/>
        </w:trPr>
        <w:tc>
          <w:tcPr>
            <w:tcW w:w="692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color w:val="auto"/>
                <w:w w:val="87"/>
              </w:rPr>
              <w:t>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7"/>
          </w:tcPr>
          <w:p>
            <w:pPr>
              <w:ind w:left="80"/>
              <w:spacing w:after="0"/>
              <w:rPr>
                <w:sz w:val="20"/>
                <w:szCs w:val="20"/>
                <w:color w:val="auto"/>
              </w:rPr>
            </w:pPr>
            <w:r>
              <w:rPr>
                <w:rFonts w:ascii="Arial" w:cs="Arial" w:eastAsia="Arial" w:hAnsi="Arial"/>
                <w:sz w:val="14"/>
                <w:szCs w:val="14"/>
                <w:color w:val="auto"/>
              </w:rPr>
              <w:t>Fiscal years ended December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23"/>
        </w:trPr>
        <w:tc>
          <w:tcPr>
            <w:tcW w:w="692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September</w:t>
            </w:r>
          </w:p>
        </w:tc>
        <w:tc>
          <w:tcPr>
            <w:tcW w:w="5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67"/>
        </w:trPr>
        <w:tc>
          <w:tcPr>
            <w:tcW w:w="69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30, 2014</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2009</w:t>
            </w:r>
          </w:p>
        </w:tc>
        <w:tc>
          <w:tcPr>
            <w:tcW w:w="220" w:type="dxa"/>
            <w:vAlign w:val="bottom"/>
            <w:tcBorders>
              <w:bottom w:val="single" w:sz="8" w:color="CCEEFF"/>
            </w:tcBorders>
          </w:tcPr>
          <w:p>
            <w:pPr>
              <w:spacing w:after="0"/>
              <w:rPr>
                <w:sz w:val="14"/>
                <w:szCs w:val="14"/>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2.49x</w:t>
            </w:r>
            <w:r>
              <w:rPr>
                <w:rFonts w:ascii="Arial" w:cs="Arial" w:eastAsia="Arial" w:hAnsi="Arial"/>
                <w:sz w:val="15"/>
                <w:szCs w:val="15"/>
                <w:color w:val="auto"/>
              </w:rPr>
              <w:t>(1)</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6.36x</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4.26x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4.31x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2.01x</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nine months ended September 30, 2014 were significantly impacted by certain costs related to four acquisitions completed in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earnings of $37.6 million would have been needed to achieve a coverage of 1:1 for the fiscal year ended December 31,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offer, from time to time, in one or more offerings, up to $200,000,000 of the following securities:</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subordinated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combination of the foregoing securities.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aggregate initial offering price of the offered securities that we may issue will not exceed $200,000,000. 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prospectus contains a summary of the general terms of the various securities that we may offer.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applicable prospectus supplement will also contain the terms of a given offering, the initial offering price and our net proceeds. Where applicable, a prospectus supplement will also describe any material United States federal income tax consequences relating to the securities offered and indicate whether the securities offered are or will be quoted or listed on any quotation system or securities exchange.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prospectus describes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offer senior or subordinated debt securities. Each series of debt securities may have different terms. The senior debt securities will be issued under a senior indenture, dated as of or prior to the date of such issuance, between us and a trustee to be named in the senior indenture, as amended or supplemented from time to time. We will refer to any such indenture throughout this prospectus as the “senior indenture.” Any subordinated debt securities will be issued under a separate indenture, dated as of or prior to the date of such issuance, between us and a trustee to be named in the subordinated indenture,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individually referred to in this prospectus as an “indenture” and collectively referred to in this prospectus as the “indentures.” The indentures will be subject to and governed by the Trust Indenture Act of 1939, as amended. We have included copies of the forms of the indentures as exhibits to our registration statement and they are incorporated into this prospectus by reference.</w:t>
      </w:r>
    </w:p>
    <w:p>
      <w:pPr>
        <w:spacing w:after="0" w:line="18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debt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debt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any other debt securities issued by us under the indentures.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Because this section is a summary of some of the terms of the indentures, it does not describe every aspect of the debt securities. You should read the applicable indentures for a complete description of their provisions and the definitions of the terms used in them, because the indentures, and not this description, will define your rights as a holder of debt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allow us to reopen a series to issue additional debt securities without the consent of the holders of the debt securities of such series;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30"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spacing w:after="0" w:line="92"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convertible, the terms on which such debt securities are convertible, including the initial conversion price or rate and the conversion period and any applicable limitations on the ownership or transferability of common stock or preferred stock received on conversion;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we will determine those 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130"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premium, or make-whole amount, and interest on, the debt securities will be payable;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w:t>
      </w:r>
    </w:p>
    <w:p>
      <w:pPr>
        <w:spacing w:after="0" w:line="86"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86"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75" w:lineRule="exact"/>
        <w:rPr>
          <w:rFonts w:ascii="Arial" w:cs="Arial" w:eastAsia="Arial" w:hAnsi="Arial"/>
          <w:sz w:val="18"/>
          <w:szCs w:val="18"/>
          <w:color w:val="auto"/>
        </w:rPr>
      </w:pPr>
    </w:p>
    <w:p>
      <w:pPr>
        <w:jc w:val="both"/>
        <w:ind w:left="900" w:right="120" w:hanging="325"/>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w:t>
      </w:r>
    </w:p>
    <w:p>
      <w:pPr>
        <w:ind w:left="900" w:right="860" w:hanging="1"/>
        <w:spacing w:after="0" w:line="261" w:lineRule="auto"/>
        <w:tabs>
          <w:tab w:leader="none" w:pos="1155"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debt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auto"/>
        </w:rPr>
      </w:pPr>
    </w:p>
    <w:p>
      <w:pPr>
        <w:ind w:left="900" w:right="120" w:hanging="325"/>
        <w:spacing w:after="0" w:line="31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identity of the depositary for debt securities in registered form, if such series are to be issuable as a global security;</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applicability, if any, of the defeasance and covenant defeasance provisions described in this prospectus or in the applicable indenture;</w:t>
      </w:r>
    </w:p>
    <w:p>
      <w:pPr>
        <w:spacing w:after="0" w:line="142" w:lineRule="exact"/>
        <w:rPr>
          <w:rFonts w:ascii="Arial" w:cs="Arial" w:eastAsia="Arial" w:hAnsi="Arial"/>
          <w:sz w:val="17"/>
          <w:szCs w:val="17"/>
          <w:color w:val="auto"/>
        </w:rPr>
      </w:pPr>
    </w:p>
    <w:p>
      <w:pPr>
        <w:ind w:left="900" w:right="96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9" w:lineRule="exact"/>
        <w:rPr>
          <w:rFonts w:ascii="Arial" w:cs="Arial" w:eastAsia="Arial" w:hAnsi="Arial"/>
          <w:sz w:val="16"/>
          <w:szCs w:val="16"/>
          <w:color w:val="auto"/>
        </w:rPr>
      </w:pPr>
    </w:p>
    <w:p>
      <w:pPr>
        <w:ind w:left="900" w:right="2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6"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and any change in the right of any trustee or any of the holders to declare the principal amount of any of such debt securities due and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(1) would limit our ability to incur indebtedness or (2)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Neither the New York State laws nor our governing instruments define the term “substantially all” as it relates to the sale of assets. Additionally, New York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4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7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$2,000 and integral multiples of $1,000.</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ind w:left="900" w:right="1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900" w:right="2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indentures provide that we may consolidate with or sell, lease or convey all or substantially all of our assets to, or merge with or into, any other entity provided that:</w:t>
      </w:r>
    </w:p>
    <w:p>
      <w:pPr>
        <w:spacing w:after="0" w:line="76" w:lineRule="exact"/>
        <w:rPr>
          <w:sz w:val="20"/>
          <w:szCs w:val="20"/>
          <w:color w:val="auto"/>
        </w:rPr>
      </w:pPr>
    </w:p>
    <w:p>
      <w:pPr>
        <w:ind w:left="900" w:right="16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(1) to pay the principal of, and any premium (or make-whole amount) and interest on, all of the debt securities, and (2) to duly perform and observe all of the covenants and conditions contained in each indenture;</w:t>
      </w:r>
    </w:p>
    <w:p>
      <w:pPr>
        <w:spacing w:after="0" w:line="86"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described under “—Merger, Consolidation or Sale of Assets,” the indentures require us to do or cause to be done all things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Payment of taxes and other claims</w:t>
      </w:r>
      <w:r>
        <w:rPr>
          <w:rFonts w:ascii="Arial" w:cs="Arial" w:eastAsia="Arial" w:hAnsi="Arial"/>
          <w:sz w:val="18"/>
          <w:szCs w:val="18"/>
          <w:color w:val="auto"/>
        </w:rPr>
        <w:t>. The indentures require us to pay, discharge or cause to be paid or discharged, before they become delinquent (1) all taxes,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and governmental charges levied or imposed on us, our subsidiaries or our subsidiaries’ income, profits or property, and (2)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Provision of financial information</w:t>
      </w:r>
      <w:r>
        <w:rPr>
          <w:rFonts w:ascii="Arial" w:cs="Arial" w:eastAsia="Arial" w:hAnsi="Arial"/>
          <w:sz w:val="18"/>
          <w:szCs w:val="18"/>
          <w:color w:val="auto"/>
        </w:rPr>
        <w:t>. The indentures require us to (1) within 15 days of each of the respective dates by which we are required to file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quarterly reports and other documents with the SEC, file with the trustee copies of the annual report, quarterly report and other documents that we file with the SEC under Section 13 or 15(d) of the Exchange Act; and (2) file with the trustee and the SEC any additional information, documents and reports regarding compliance by us with the conditions and covenants of the indentures, as required.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covenants</w:t>
      </w:r>
      <w:r>
        <w:rPr>
          <w:rFonts w:ascii="Arial" w:cs="Arial" w:eastAsia="Arial" w:hAnsi="Arial"/>
          <w:sz w:val="17"/>
          <w:szCs w:val="17"/>
          <w:color w:val="auto"/>
        </w:rPr>
        <w:t>. The applicable prospectus supplement will set forth any additional covenants of NN relating to any series of debt securities.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when it becomes due and payable at its stated maturity;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when due;</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NN continuing for 60 days after written notice as provided in the applicable indenture, but not of a covenant added to the indenture solely for the benefit of a series of debt securities issued thereunder other than such series;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117" w:lineRule="exact"/>
        <w:rPr>
          <w:rFonts w:ascii="Arial" w:cs="Arial" w:eastAsia="Arial" w:hAnsi="Arial"/>
          <w:sz w:val="18"/>
          <w:szCs w:val="18"/>
          <w:color w:val="auto"/>
        </w:rPr>
      </w:pPr>
    </w:p>
    <w:p>
      <w:pPr>
        <w:ind w:left="920" w:right="60" w:firstLine="1"/>
        <w:spacing w:after="0" w:line="272" w:lineRule="auto"/>
        <w:tabs>
          <w:tab w:leader="none" w:pos="1175" w:val="left"/>
        </w:tabs>
        <w:numPr>
          <w:ilvl w:val="1"/>
          <w:numId w:val="10"/>
        </w:numPr>
        <w:rPr>
          <w:rFonts w:ascii="Arial" w:cs="Arial" w:eastAsia="Arial" w:hAnsi="Arial"/>
          <w:sz w:val="17"/>
          <w:szCs w:val="17"/>
          <w:color w:val="auto"/>
        </w:rPr>
      </w:pPr>
      <w:r>
        <w:rPr>
          <w:rFonts w:ascii="Arial" w:cs="Arial" w:eastAsia="Arial" w:hAnsi="Arial"/>
          <w:sz w:val="17"/>
          <w:szCs w:val="17"/>
          <w:color w:val="auto"/>
        </w:rPr>
        <w:t>under which there may be issued, secured or evidenced any existing or later created indebtedness for money borrowed by us or our subsidiaries, if we are directly responsible or liable as obligor or guarantor, 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specifying such default and requiring us to cause such indebtedness to be discharged or cause such acceleration to be rescinded or annulled and shall state that such notice is a “Notice of Default” under such indenture;</w:t>
      </w:r>
    </w:p>
    <w:p>
      <w:pPr>
        <w:spacing w:after="0" w:line="83"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NN or any significant subsidiary of NN;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73" w:lineRule="exact"/>
        <w:rPr>
          <w:sz w:val="20"/>
          <w:szCs w:val="20"/>
          <w:color w:val="auto"/>
        </w:rPr>
      </w:pPr>
    </w:p>
    <w:p>
      <w:pPr>
        <w:ind w:left="900" w:right="12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9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w:t>
      </w:r>
    </w:p>
    <w:p>
      <w:pPr>
        <w:spacing w:after="0" w:line="87" w:lineRule="exact"/>
        <w:rPr>
          <w:sz w:val="20"/>
          <w:szCs w:val="20"/>
          <w:color w:val="auto"/>
        </w:rPr>
      </w:pPr>
    </w:p>
    <w:p>
      <w:pPr>
        <w:ind w:left="900" w:right="3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75" w:lineRule="exact"/>
        <w:rPr>
          <w:rFonts w:ascii="Arial" w:cs="Arial" w:eastAsia="Arial" w:hAnsi="Arial"/>
          <w:sz w:val="18"/>
          <w:szCs w:val="18"/>
          <w:color w:val="auto"/>
        </w:rPr>
      </w:pPr>
    </w:p>
    <w:p>
      <w:pPr>
        <w:ind w:left="900" w:right="560" w:hanging="325"/>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9"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30"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900" w:right="2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add or change any provisions of an indenture (1)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w:t>
      </w:r>
    </w:p>
    <w:p>
      <w:pPr>
        <w:spacing w:after="0" w:line="52" w:lineRule="exact"/>
        <w:rPr>
          <w:rFonts w:ascii="Arial" w:cs="Arial" w:eastAsia="Arial" w:hAnsi="Arial"/>
          <w:sz w:val="16"/>
          <w:szCs w:val="16"/>
          <w:color w:val="auto"/>
        </w:rPr>
      </w:pPr>
    </w:p>
    <w:p>
      <w:pPr>
        <w:ind w:left="900" w:right="220" w:hanging="325"/>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7" w:lineRule="exact"/>
        <w:rPr>
          <w:sz w:val="20"/>
          <w:szCs w:val="20"/>
          <w:color w:val="auto"/>
        </w:rPr>
      </w:pPr>
    </w:p>
    <w:p>
      <w:pPr>
        <w:ind w:left="900" w:hanging="325"/>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51" w:lineRule="exact"/>
        <w:rPr>
          <w:rFonts w:ascii="Arial" w:cs="Arial" w:eastAsia="Arial" w:hAnsi="Arial"/>
          <w:sz w:val="17"/>
          <w:szCs w:val="17"/>
          <w:color w:val="auto"/>
        </w:rPr>
      </w:pPr>
    </w:p>
    <w:p>
      <w:pPr>
        <w:jc w:val="both"/>
        <w:ind w:left="900" w:right="160" w:hanging="325"/>
        <w:spacing w:after="0" w:line="31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52" w:lineRule="exact"/>
        <w:rPr>
          <w:rFonts w:ascii="Arial" w:cs="Arial" w:eastAsia="Arial" w:hAnsi="Arial"/>
          <w:sz w:val="16"/>
          <w:szCs w:val="16"/>
          <w:color w:val="auto"/>
        </w:rPr>
      </w:pPr>
    </w:p>
    <w:p>
      <w:pPr>
        <w:ind w:left="900" w:right="4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30"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in account in determining whether such request, demand, authorization, direction, notice, consent, waiver or other action has been made, given or taken under such indenture.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NN and its subsidiaries. As a result of these subordination provisions, in the event of a distribution of assets upon insolvency, holders of subordinated debt securities may recover less, ratably, than our general creditors.</w:t>
      </w:r>
    </w:p>
    <w:p>
      <w:pPr>
        <w:spacing w:after="0" w:line="16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900" w:hanging="325"/>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94"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130"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indentures only permit us to establish the trust described in the paragraph above if, among other things, it has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131" w:lineRule="exact"/>
        <w:rPr>
          <w:sz w:val="20"/>
          <w:szCs w:val="20"/>
          <w:color w:val="auto"/>
        </w:rPr>
      </w:pPr>
    </w:p>
    <w:p>
      <w:pPr>
        <w:ind w:left="900" w:right="3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197" w:lineRule="exact"/>
        <w:rPr>
          <w:rFonts w:ascii="Arial" w:cs="Arial" w:eastAsia="Arial" w:hAnsi="Arial"/>
          <w:sz w:val="18"/>
          <w:szCs w:val="18"/>
          <w:color w:val="auto"/>
        </w:rPr>
      </w:pPr>
    </w:p>
    <w:p>
      <w:pPr>
        <w:ind w:left="900" w:right="80" w:hanging="325"/>
        <w:spacing w:after="0" w:line="290"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131" w:lineRule="exact"/>
        <w:rPr>
          <w:sz w:val="20"/>
          <w:szCs w:val="20"/>
          <w:color w:val="auto"/>
        </w:rPr>
      </w:pPr>
    </w:p>
    <w:p>
      <w:pPr>
        <w:ind w:left="900" w:right="5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event that (1) we effect covenant defeasance with respect to any debt securities, and (2)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73"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preferred stock will be set forth in the applicable prospectus supplement. The terms will include whether the debt securities are convertible into shares of common stock or preferred stock,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in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$2,000 and integral multiples of $1,000.</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Recourse</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certificate of incorporation authorizes our board of directors, without stockholder approval, to designate and issue up to 5,000,000 shares of preferred stock, par value $.01 per share,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of directors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authority to issue 200,000 shares of Series A preferred stock, par value $.01 per share, all of which shares are designated as “Series A Junior Participating Preferred Stock.” The powers, preferences, rights, qualifications, limitations and restrictions of shares of our preferred stock and our Series A preferred stock have been fixed in amendments to our certificate of incorporation. As of December 26, 2014, no shares of preferred stock or Series A preferred stock were issued and outstanding.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description of the material terms and provisions of our common stock. It may not contain all the information that is important to you. You can access complete information by referring to our certificate of incorporation and bylaws.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our certificate of incorporation, we have authority to issue 45,000,000 shares of common stock, par value $.01 per share. As of December 22, 2014, there were 18,983,549 shares of common stock issued and outstanding. All shares of common stock will, when issued, be duly authorized, fully paid and nonassessable. Thus, the full price for the outstanding shares of common stock will have been paid at issuance and any holder of our common stock will not be later required to pay us any additional money for such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Subject to preferential rights of any other class or series of preferred stock, holders of common stock may receive dividends pro rata out of assets that we can legally use to pay dividends, when, as and if they are declared by our board of directors.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Subject to the preferential rights of any other class or series of preferred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Section 203,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71" w:lineRule="exact"/>
        <w:rPr>
          <w:sz w:val="20"/>
          <w:szCs w:val="20"/>
          <w:color w:val="auto"/>
        </w:rPr>
      </w:pPr>
    </w:p>
    <w:p>
      <w:pPr>
        <w:ind w:left="900" w:right="4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29" w:lineRule="exact"/>
        <w:rPr>
          <w:rFonts w:ascii="Arial" w:cs="Arial" w:eastAsia="Arial" w:hAnsi="Arial"/>
          <w:sz w:val="16"/>
          <w:szCs w:val="16"/>
          <w:color w:val="auto"/>
        </w:rPr>
      </w:pPr>
    </w:p>
    <w:p>
      <w:pPr>
        <w:jc w:val="both"/>
        <w:ind w:left="900" w:right="60" w:hanging="325"/>
        <w:spacing w:after="0" w:line="286"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“business combination” as:</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to or with the interested stockholder;</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certain exceptions, any transaction which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owner of 15% or more of the outstanding voting stock of the corporation;</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and Other Matters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board of directors is divided into three classes, each of which serves until the third annual meeting of shareholders after their election, with one class being elected each year. Subject to the preferential rights of any other class or series of preferred stock, any director, or the entire board of directors, may be removed from office at any time, with or without cause, by the affirmative vote of the holders of at least half of the voting power of all the then outstanding voting stock of the company, voting together as a single class</w:t>
      </w:r>
      <w:r>
        <w:rPr>
          <w:rFonts w:ascii="Arial" w:cs="Arial" w:eastAsia="Arial" w:hAnsi="Arial"/>
          <w:sz w:val="17"/>
          <w:szCs w:val="17"/>
          <w:b w:val="1"/>
          <w:bCs w:val="1"/>
          <w:color w:val="auto"/>
        </w:rPr>
        <w:t>.</w:t>
      </w:r>
      <w:r>
        <w:rPr>
          <w:rFonts w:ascii="Arial" w:cs="Arial" w:eastAsia="Arial" w:hAnsi="Arial"/>
          <w:sz w:val="17"/>
          <w:szCs w:val="17"/>
          <w:color w:val="auto"/>
        </w:rPr>
        <w:t xml:space="preserve"> Our bylaws require that shareholders provide the Secretary of our company with notice of the nomination of a person for election as a director (1) with respect to an election to be held at an annual meeting of stockholders or special meeting in lieu of an annual meeting, not less than 90 nor more than 120 days prior to the anniversary date of the immediately preceding annual meeting of stockholders or special meeting in lieu of an annual meeting. Our bylaws provide that special meetings of shareholders of our company may be called only by the Chairman of the board of directors or by a majority of the board of directors. Our bylaws, as well as applicable provisions of the General Corporation Law of the State of Delaware, provide that no action required or permitted to be taken at any annual or special meeting of our shareholders may be taken without a meeting, unless the consent of two-thirds of the voting power of the then outstanding shares of stock of the company entitled to vote on the matter is obtained. These provisions may diminish the likelihood that a potential acquiror would make an offer for our common stock or that there would otherwise be a change in control of our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no warrants outstanding. We may issue warrants for the purchase of preferred stock, common stock or debt securities. Warrants may be issued independently, together with any other securities offered by any prospectus supplement or through a dividend or other distribution to our stockholders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is a description of the general terms and provisions of any warrants we may issue and may not contain all the information that is important to you. You can access complete information by referring to the applicable prospectus supplement. In the applicable prospectus supplement, we will describe the terms of the warrants and applicable warrant agreement, including, where applicable, the following:</w:t>
      </w:r>
    </w:p>
    <w:p>
      <w:pPr>
        <w:spacing w:after="0" w:line="8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warrants offered and the aggregate number of warrants outstanding as of the most practicable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at which we will issue the warrants;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stock, common stock or debt securities that can be purchased upon exercise of the warrants and the procedures and conditions relating to the exercise of the warrants;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issued and the number of warrants issued with each of those securities;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preferred stock, common stock or debt securities, if any, will be separately transferable;</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at which each share of preferred stock, common stock or debt securities that can be purchased upon exercise of such warrants may be purchased;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such right shall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warrants represented by warrant certificates will be issued in registered or bearer form, and, if registered, where they may be transferred and registered;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any book-entry procedures;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discussion of applicable United States federal income tax consequences;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 or call provisions of the debt warrants, if any; and</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such warrants, including terms and additional rights, preferences, privileges, procedures and limitations relating to the transferability, exchange and exercise of such warrants.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If so described in a particular supplement, the specific terms of any series of units may differ from the general description of terms presented below.</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issue units comprised of shares of preferred stock, shares of common stock, warrants and debt securities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may describe:</w:t>
      </w:r>
    </w:p>
    <w:p>
      <w:pPr>
        <w:spacing w:after="0" w:line="131" w:lineRule="exact"/>
        <w:rPr>
          <w:sz w:val="20"/>
          <w:szCs w:val="20"/>
          <w:color w:val="auto"/>
        </w:rPr>
      </w:pPr>
    </w:p>
    <w:p>
      <w:pPr>
        <w:ind w:left="900" w:right="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applicable U.S. federal income tax considerations relating to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Preferred Stock,” “Description of Common Stock” and “Description of Warrants” will apply to the securities included in each unit, to the extent relevant.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in Series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Most of the financial and other specific terms of your series will be described in the applicable prospectus supplement.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Agreements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900" w:right="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900" w:right="2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900" w:right="620" w:hanging="325"/>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unit agreements and the units will be governed by New York law.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will issue each unit in global form only (i.e., book-entry).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900" w:right="1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31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52"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making payments and giving notices with respect to our units, we will follow the procedures as described in the applicable prospectus supplement.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in any one or more of the following methods from time to time:</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directly to investors, directly to agents, or to investors through agents;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underwriting syndicates led by one or more managing underwriters, or through one or more underwriters acting alone, for resale to the public or investors;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a block trade (which may involve crosses) in which the broker or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transactions not involving market makers or established trading markets, including direct sales or privately negotiated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delayed delivery contracts or by remarketing firms;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transactions in options, swaps or other derivatives that may or may not be listed on an exchange;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prices may represent a discount from the prevailing market prices.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underwritten offering may be on a best efforts or a firm commitment basis. If underwriters are used in the sale, the securities acquired by the underwriters will be for their own account. The underwriters may resell the securities in one or more transactions, including without limitation negotiated transactions, at a fixed public offering price or at a varying price determined at the time of sale. The obligations, if any, of the underwriter to purchase any securities will be subject to certain conditions. We may offer the securities to the public through underwriting syndicates represented by managing underwriters or by underwriters without a syndicate. Subject to certain conditions, the underwriters will be obligated to purchase all of the securities if any are purchased, other than securities covered by any option to purchase additional securities. Any public offering price and any discounts or concessions allowed, reallowed or paid to dealers may be changed from time to time.</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 dealer is used in an offering of securities, we may sell the securities to the dealer, as principal. The dealer may then resell the securities to the public at varying prices to be determined by the dealer at the time of sale.</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may also sell securities directly to one or more purchasers without using underwriters, dealers or agents.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may also make direct sales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sale of the securities, underwriters, dealers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or commissions they receive from us and any profit on the resale of securities they realize may be deemed to be underwriting discounts and commissions under the Securities Act. The applicable prospectus supplement will, where applicable:</w:t>
      </w:r>
    </w:p>
    <w:p>
      <w:pPr>
        <w:spacing w:after="0" w:line="84"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any such underwriter or agent;</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describe any compensation in the form of discounts, concessions, commissions or otherwise received from us by each of such underwriter, dealer or agent and in the aggregate to all underwriters, dealers and agents;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purchase price and proceeds from such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amounts underwritten;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nature of the underwriter’s obligation to take the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any option under which the underwriters may purchase additional securities from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any quotation systems or securities exchanges on which the securities may be quoted or listed.</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Unless otherwise specified in the related prospectus supplement, each series of securities will be a new issue with no established trading market, other than the common stock, which is listed on The NASDAQ Global Select Market. Any common stock sold pursuant to a prospectus supplement will be listed on The NASDAQ Global Select Market, subject to applicable notices. We may elect to apply for quotation or listing of any other class or series of our securities, on a quotation system or an exchange but we are not obligated to do so. It is possible that one or more underwriters may make a market in a class or series of our securities, but such underwriters will not be obligated to do so and may discontinue any market making at any time without notice. Therefore, no assurance can be given as to the liquidity of, or the trading market for, any other class or series of our securities.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at any time.</w:t>
      </w:r>
    </w:p>
    <w:p>
      <w:pPr>
        <w:spacing w:after="0" w:line="181"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color w:val="auto"/>
        </w:rPr>
        <w:t>Under agreements into which we may enter, underwriters, dealers and agents who participate in the distribution of the securities may be entitled to indemnification by us against certain civil liabilities, including liabilities under the Securities Act, or contribution from us to payments which the underwriters, dealers or agents may be required to make.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Underwriters, dealers and agents may engage in transactions with us or perform services for us in the ordinary course of business.</w:t>
      </w:r>
    </w:p>
    <w:p>
      <w:pPr>
        <w:spacing w:after="0" w:line="225"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If indicated in the applicable prospectus supplement, securities may also be offered or sold by a “remarketing firm” in connection with a remarketing arrangement contemplated by the terms of the securities. Remarketing firms may act as principals for their own accounts or as agents. The applicable prospectus supplement will identify any remarketing firm and the terms of its agreement, if any, with us. It will also describe the remarketing firms compensation. Remarketing firms may be deemed to be underwriters in connection with the remarketing of the securities.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indicated in the applicable prospectus supplement, we will authorize underwriters, dealers or other persons acting as our agents to solicit offers by particular institutions to purchase securities from us at the public offering price set forth in such prospectus supplement pursuant to delayed delivery contracts providing for payment and delivery on such future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delayed delivery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(1) the purchase of the securities shall not at the time of delivery be prohibited under the laws of any jurisdiction in the United States to which the purchaser is subject, and (2) if the securities are being sold to underwriters, we shall have sold to the underwriters the total principal amount of the securities less the principal amount thereof covered by the delayed delivery contracts. The underwriters and such other agents will not have any responsibility in respect of the validity or performance of such delayed delivery contracts.</w:t>
      </w:r>
    </w:p>
    <w:p>
      <w:pPr>
        <w:spacing w:after="0" w:line="18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Our SEC file number is 0-23486.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after the initial filing date of the registration statement to which this prospectus relates and prior to the effectiveness of such registration statement under Sections 13(a), 13(c), 14 or 15(d) of the Exchange Act, except as to any portion of any future report or document that is not deemed filed under such provisions, until the offering of the securities is terminated:</w:t>
      </w:r>
    </w:p>
    <w:p>
      <w:pPr>
        <w:spacing w:after="0" w:line="95"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Reports on Form 10-Q for the three months ended March 31, 2014, June 30, 2014 and September 30, 2014.</w:t>
      </w:r>
    </w:p>
    <w:p>
      <w:pPr>
        <w:spacing w:after="0" w:line="130"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Current Reports on Form 8-K filed with the SEC on February 11, 2014, May 15, 2014, May 19, 2014, July 22, 2014, August 8, 2014, August 12, 2014, August 15, 2014, September 2, 2014 (as amended on October 27, 2014), September 23, 2014 and November 13, 2014.</w:t>
      </w:r>
    </w:p>
    <w:p>
      <w:pPr>
        <w:spacing w:after="0" w:line="51" w:lineRule="exact"/>
        <w:rPr>
          <w:rFonts w:ascii="Arial" w:cs="Arial" w:eastAsia="Arial" w:hAnsi="Arial"/>
          <w:sz w:val="17"/>
          <w:szCs w:val="17"/>
          <w:color w:val="auto"/>
        </w:rPr>
      </w:pPr>
    </w:p>
    <w:p>
      <w:pPr>
        <w:ind w:left="900" w:right="6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Upon request, we will provide, without charge, to each person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Building C, Suite 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(423) 743-9151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William C. Kelly, Jr., Vice President, Chief Administrative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are subject to the information requirements of the Exchange Act, and in accordance with the Exchange Act,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 Our telephone number is (423) 743-9151. Our website is located at </w:t>
      </w:r>
      <w:r>
        <w:rPr>
          <w:rFonts w:ascii="Arial" w:cs="Arial" w:eastAsia="Arial" w:hAnsi="Arial"/>
          <w:sz w:val="16"/>
          <w:szCs w:val="16"/>
          <w:i w:val="1"/>
          <w:iCs w:val="1"/>
          <w:color w:val="auto"/>
        </w:rPr>
        <w:t>www.nninc.com</w:t>
      </w:r>
      <w:r>
        <w:rPr>
          <w:rFonts w:ascii="Arial" w:cs="Arial" w:eastAsia="Arial" w:hAnsi="Arial"/>
          <w:sz w:val="16"/>
          <w:szCs w:val="16"/>
          <w:color w:val="auto"/>
        </w:rPr>
        <w:t>. Information contained on our website, other than the documents that we file with the SEC that are incorporated by reference in this prospectus, is not incorporated by reference into this prospectus and, therefore, is not part of this prospectus or any accompanying prospectus supplement.</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2013 have been so incorporated in reliance on the report of PricewaterhouseCoopers LLP, an independent registered public accounting firm, given on the authority of said firm as experts in auditing and accounting.</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consolidated financial statements of Autocam Corporation as of December 31, 2013 and 2012, and for each of the years in the three-year period ended December 31, 2013 incorporated in this Prospectus by reference from NN’s Amendment to Current Report on Form 8-K filed with the SEC on October 27, 2014, have been audited by Deloitte &amp; Touche LLP, independent auditors, as stated in their report which is incorporated herein by reference. Such consolidated financial statements have been so incorporated in reliance upon the report of such firm given upon their authority as experts in accounting and auditing.</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Baker, Donelson, Bearman, Caldwell &amp; Berkowitz, PC, Memphis, Tennessee.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3639"/>
        <w:spacing w:after="0"/>
        <w:rPr>
          <w:sz w:val="20"/>
          <w:szCs w:val="20"/>
          <w:color w:val="auto"/>
        </w:rPr>
      </w:pPr>
      <w:r>
        <w:rPr>
          <w:rFonts w:ascii="Arial" w:cs="Arial" w:eastAsia="Arial" w:hAnsi="Arial"/>
          <w:sz w:val="43"/>
          <w:szCs w:val="43"/>
          <w:b w:val="1"/>
          <w:bCs w:val="1"/>
          <w:color w:val="auto"/>
        </w:rPr>
        <w:t>NN, INC.</w:t>
      </w:r>
    </w:p>
    <w:p>
      <w:pPr>
        <w:spacing w:after="0" w:line="200" w:lineRule="exact"/>
        <w:rPr>
          <w:sz w:val="20"/>
          <w:szCs w:val="20"/>
          <w:color w:val="auto"/>
        </w:rPr>
      </w:pPr>
    </w:p>
    <w:p>
      <w:pPr>
        <w:spacing w:after="0" w:line="249" w:lineRule="exact"/>
        <w:rPr>
          <w:sz w:val="20"/>
          <w:szCs w:val="20"/>
          <w:color w:val="auto"/>
        </w:rPr>
      </w:pPr>
    </w:p>
    <w:p>
      <w:pPr>
        <w:ind w:left="4920"/>
        <w:spacing w:after="0"/>
        <w:rPr>
          <w:sz w:val="20"/>
          <w:szCs w:val="20"/>
          <w:color w:val="auto"/>
        </w:rPr>
      </w:pPr>
      <w:r>
        <w:rPr>
          <w:rFonts w:ascii="Arial" w:cs="Arial" w:eastAsia="Arial" w:hAnsi="Arial"/>
          <w:sz w:val="27"/>
          <w:szCs w:val="27"/>
          <w:b w:val="1"/>
          <w:bCs w:val="1"/>
          <w:color w:val="auto"/>
        </w:rPr>
        <w:t>$200,000,000</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Debt Securities</w:t>
      </w:r>
    </w:p>
    <w:p>
      <w:pPr>
        <w:spacing w:after="0" w:line="61"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Preferred Stock</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Common Stock</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259715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expenses in connection with the issuance and distribution of the securities being registered will be borne by NN, Inc. and are set forth in the following table. All amounts except the registration fee are estimated.</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23,240</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trustee fees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Miscellaneous</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fees depend on the securities offered and the number of issuances and cannot be estimated at this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Section 102(b)(7) of the General Corporation Law of the State of Delaware (“DGCL”), which is applicable to the company, allows a corporation to include in its certificate of incorporation a provision that limits or eliminates the personal liability of directors of a corporation or its stockholders for monetary damages for a breach of a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w:t>
      </w:r>
    </w:p>
    <w:p>
      <w:pPr>
        <w:spacing w:after="0" w:line="18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Section 145 of the DGCL authorizes a corporation to indemnify any person who was or is a party or is threatened to be made a party to any threatened, pending or completed action, suit or proceeding, other than an action by or in the right of the corporation, because such person is or was a director, officer, employee or agent of the corporation or is or was serving at the request of the corporation as a director, officer, employee or agent of another corporation or other enterprise, against expenses, including attorneys’ fees, judgments, fines and amounts paid in settlement actually and reasonably incurred by him or her in connection with such suit or proceeding if he or she acted in good faith and in a manner he reasonably believed to be in or not opposed to the best interests of the corporation, and, with respect to any criminal action or proceeding, had no reason to believe his conduct was unlawful. Similar indemnity is authorized for such persons against expenses, including attorneys’ fees, actually and reasonably incurred in defense or settlement of any such pending, completed or threatened action or suit by or in the right of the corporation if such person acted in good faith and in a manner he reasonably believed to be in or not opposed to the best interests of the corporation, and provided further that, unless a court of competent jurisdiction otherwise provides, such person shall not have been adjudged liable to the corporation. Any such indemnification may be made only as authorized in each specific case upon a determination by the stockholders or disinterested directors that indemnification is proper because the indemnitee has met the applicable standard of conduct.</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145 of the DGCL also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The company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a director or officer of the company.</w:t>
      </w:r>
    </w:p>
    <w:p>
      <w:pPr>
        <w:spacing w:after="0" w:line="1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certificate of incorporation and bylaws provide that the company will indemnify its directors and executive officers to the fullest extent provided by the DGCL and that any repeal or modification of such provisions will be prospective only and will not adversely affect the rights provided by the certificate of incorporation and bylaws in effect at the time of the alleged occurrence of any action or omission to act that is the cause of any proceeding against any agent of the company. In addition, our bylaws provide that the company is not required to indemnify any director or executive officer in connection with any proceeding initiated by such person unless the indemnification is expressly required to be made by law, the proceeding was authorized by the board of directors of the company, such indemnification is provided by the company, in its sole discretion, pursuant to the DGCL or any other applicable law. Our bylaws further provide that the company may modify the extent of indemnification of its directors and executive officers by individual contract.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100" w:firstLine="4"/>
        <w:spacing w:after="0" w:line="255" w:lineRule="auto"/>
        <w:tabs>
          <w:tab w:leader="none" w:pos="7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460" w:right="260" w:firstLine="4"/>
        <w:spacing w:after="0" w:line="277" w:lineRule="auto"/>
        <w:tabs>
          <w:tab w:leader="none" w:pos="77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right="200"/>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w:t>
      </w:r>
      <w:r>
        <w:rPr>
          <w:rFonts w:ascii="Arial" w:cs="Arial" w:eastAsia="Arial" w:hAnsi="Arial"/>
          <w:sz w:val="17"/>
          <w:szCs w:val="17"/>
          <w:i w:val="1"/>
          <w:iCs w:val="1"/>
          <w:color w:val="auto"/>
        </w:rPr>
        <w:t xml:space="preserve"> however </w:t>
      </w:r>
      <w:r>
        <w:rPr>
          <w:rFonts w:ascii="Arial" w:cs="Arial" w:eastAsia="Arial" w:hAnsi="Arial"/>
          <w:sz w:val="17"/>
          <w:szCs w:val="17"/>
          <w:color w:val="auto"/>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ind w:right="440" w:firstLine="8"/>
        <w:spacing w:after="0" w:line="26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460" w:right="360" w:firstLine="4"/>
        <w:spacing w:after="0" w:line="277" w:lineRule="auto"/>
        <w:tabs>
          <w:tab w:leader="none" w:pos="6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60" w:firstLine="4"/>
        <w:spacing w:after="0" w:line="269" w:lineRule="auto"/>
        <w:tabs>
          <w:tab w:leader="none" w:pos="725"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rFonts w:ascii="Arial" w:cs="Arial" w:eastAsia="Arial" w:hAnsi="Arial"/>
          <w:sz w:val="17"/>
          <w:szCs w:val="17"/>
          <w:color w:val="auto"/>
        </w:rPr>
      </w:pPr>
    </w:p>
    <w:p>
      <w:pPr>
        <w:jc w:val="both"/>
        <w:ind w:right="40" w:firstLine="8"/>
        <w:spacing w:after="0" w:line="302"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hanging="216"/>
        <w:spacing w:after="0"/>
        <w:tabs>
          <w:tab w:leader="none" w:pos="6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 w:firstLine="4"/>
        <w:spacing w:after="0" w:line="277" w:lineRule="auto"/>
        <w:tabs>
          <w:tab w:leader="none" w:pos="7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360" w:firstLine="4"/>
        <w:spacing w:after="0" w:line="277" w:lineRule="auto"/>
        <w:tabs>
          <w:tab w:leader="none" w:pos="7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right="200" w:firstLine="8"/>
        <w:spacing w:after="0" w:line="291"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w:t>
      </w:r>
    </w:p>
    <w:p>
      <w:pPr>
        <w:jc w:val="both"/>
        <w:ind w:right="100"/>
        <w:spacing w:after="0" w:line="323" w:lineRule="auto"/>
        <w:rPr>
          <w:rFonts w:ascii="Arial" w:cs="Arial" w:eastAsia="Arial" w:hAnsi="Arial"/>
          <w:sz w:val="16"/>
          <w:szCs w:val="16"/>
          <w:color w:val="auto"/>
        </w:rPr>
      </w:pPr>
      <w:r>
        <w:rPr>
          <w:rFonts w:ascii="Arial" w:cs="Arial" w:eastAsia="Arial" w:hAnsi="Arial"/>
          <w:sz w:val="16"/>
          <w:szCs w:val="16"/>
          <w:color w:val="auto"/>
        </w:rPr>
        <w:t>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0" w:lineRule="exact"/>
        <w:rPr>
          <w:rFonts w:ascii="Arial" w:cs="Arial" w:eastAsia="Arial" w:hAnsi="Arial"/>
          <w:sz w:val="16"/>
          <w:szCs w:val="16"/>
          <w:color w:val="auto"/>
        </w:rPr>
      </w:pPr>
    </w:p>
    <w:p>
      <w:pPr>
        <w:ind w:right="60" w:firstLine="8"/>
        <w:spacing w:after="0" w:line="259"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78" w:lineRule="exact"/>
        <w:rPr>
          <w:rFonts w:ascii="Arial" w:cs="Arial" w:eastAsia="Arial" w:hAnsi="Arial"/>
          <w:sz w:val="18"/>
          <w:szCs w:val="18"/>
          <w:color w:val="auto"/>
        </w:rPr>
      </w:pPr>
    </w:p>
    <w:p>
      <w:pPr>
        <w:ind w:firstLine="8"/>
        <w:spacing w:after="0" w:line="271"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0" w:lineRule="exact"/>
        <w:rPr>
          <w:rFonts w:ascii="Arial" w:cs="Arial" w:eastAsia="Arial" w:hAnsi="Arial"/>
          <w:sz w:val="17"/>
          <w:szCs w:val="17"/>
          <w:color w:val="auto"/>
        </w:rPr>
      </w:pPr>
    </w:p>
    <w:p>
      <w:pPr>
        <w:ind w:right="140" w:firstLine="8"/>
        <w:spacing w:after="0" w:line="286"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57" w:lineRule="exact"/>
        <w:rPr>
          <w:rFonts w:ascii="Arial" w:cs="Arial" w:eastAsia="Arial" w:hAnsi="Arial"/>
          <w:sz w:val="17"/>
          <w:szCs w:val="17"/>
          <w:color w:val="auto"/>
        </w:rPr>
      </w:pPr>
    </w:p>
    <w:p>
      <w:pPr>
        <w:ind w:right="100" w:firstLine="8"/>
        <w:spacing w:after="0" w:line="264" w:lineRule="auto"/>
        <w:tabs>
          <w:tab w:leader="none" w:pos="3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and</w:t>
      </w:r>
    </w:p>
    <w:p>
      <w:pPr>
        <w:spacing w:after="0" w:line="73" w:lineRule="exact"/>
        <w:rPr>
          <w:rFonts w:ascii="Arial" w:cs="Arial" w:eastAsia="Arial" w:hAnsi="Arial"/>
          <w:sz w:val="18"/>
          <w:szCs w:val="18"/>
          <w:color w:val="auto"/>
        </w:rPr>
      </w:pPr>
    </w:p>
    <w:p>
      <w:pPr>
        <w:ind w:right="80" w:firstLine="8"/>
        <w:spacing w:after="0" w:line="264" w:lineRule="auto"/>
        <w:tabs>
          <w:tab w:leader="none" w:pos="3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and when applicable,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Johnson City, State of Tennessee, on this 29th day of December, 2014.</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Richard D. Holder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KNOW ALL BY THESE PRESENTS, that each individual whose signature appears below hereby severally constitutes and appoints Richard D. Holder, James H. Dorton and William C. Kelly, Jr. and each of them singly,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that is to be effective upon filing pursuant to Rule 462(b) of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them, may lawfully do or cause to be done by virtue hereof.</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Signature</w:t>
            </w:r>
          </w:p>
        </w:tc>
        <w:tc>
          <w:tcPr>
            <w:tcW w:w="4980" w:type="dxa"/>
            <w:vAlign w:val="bottom"/>
          </w:tcPr>
          <w:p>
            <w:pPr>
              <w:jc w:val="center"/>
              <w:ind w:left="211"/>
              <w:spacing w:after="0"/>
              <w:rPr>
                <w:sz w:val="20"/>
                <w:szCs w:val="20"/>
                <w:color w:val="auto"/>
              </w:rPr>
            </w:pPr>
            <w:r>
              <w:rPr>
                <w:rFonts w:ascii="Arial" w:cs="Arial" w:eastAsia="Arial" w:hAnsi="Arial"/>
                <w:sz w:val="14"/>
                <w:szCs w:val="14"/>
                <w:color w:val="auto"/>
              </w:rPr>
              <w:t>Title</w:t>
            </w:r>
          </w:p>
        </w:tc>
        <w:tc>
          <w:tcPr>
            <w:tcW w:w="2000" w:type="dxa"/>
            <w:vAlign w:val="bottom"/>
          </w:tcPr>
          <w:p>
            <w:pPr>
              <w:jc w:val="center"/>
              <w:ind w:left="492"/>
              <w:spacing w:after="0"/>
              <w:rPr>
                <w:sz w:val="20"/>
                <w:szCs w:val="20"/>
                <w:color w:val="auto"/>
              </w:rPr>
            </w:pPr>
            <w:r>
              <w:rPr>
                <w:rFonts w:ascii="Arial" w:cs="Arial" w:eastAsia="Arial" w:hAnsi="Arial"/>
                <w:sz w:val="14"/>
                <w:szCs w:val="14"/>
                <w:color w:val="auto"/>
                <w:w w:val="87"/>
              </w:rPr>
              <w:t>Date</w:t>
            </w:r>
          </w:p>
        </w:tc>
      </w:tr>
      <w:tr>
        <w:trPr>
          <w:trHeight w:val="41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2"/>
              </w:rPr>
              <w:t>President, Chief Executive Officer, and Director</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Richard D. Holder</w:t>
            </w:r>
          </w:p>
        </w:tc>
        <w:tc>
          <w:tcPr>
            <w:tcW w:w="4980" w:type="dxa"/>
            <w:vAlign w:val="bottom"/>
          </w:tcPr>
          <w:p>
            <w:pPr>
              <w:jc w:val="center"/>
              <w:ind w:left="231"/>
              <w:spacing w:after="0"/>
              <w:rPr>
                <w:sz w:val="20"/>
                <w:szCs w:val="20"/>
                <w:color w:val="auto"/>
              </w:rPr>
            </w:pPr>
            <w:r>
              <w:rPr>
                <w:rFonts w:ascii="Arial" w:cs="Arial" w:eastAsia="Arial" w:hAnsi="Arial"/>
                <w:sz w:val="18"/>
                <w:szCs w:val="18"/>
                <w:color w:val="auto"/>
                <w:w w:val="94"/>
              </w:rPr>
              <w:t>(Principal Executive Officer)</w:t>
            </w:r>
          </w:p>
        </w:tc>
        <w:tc>
          <w:tcPr>
            <w:tcW w:w="20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1"/>
              </w:rPr>
              <w:t>Senior Vice President—Corporate Development</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182"/>
        </w:trPr>
        <w:tc>
          <w:tcPr>
            <w:tcW w:w="4280" w:type="dxa"/>
            <w:vAlign w:val="bottom"/>
          </w:tcPr>
          <w:p>
            <w:pPr>
              <w:spacing w:after="0" w:line="182" w:lineRule="exact"/>
              <w:rPr>
                <w:sz w:val="20"/>
                <w:szCs w:val="20"/>
                <w:color w:val="auto"/>
              </w:rPr>
            </w:pPr>
            <w:r>
              <w:rPr>
                <w:rFonts w:ascii="Arial" w:cs="Arial" w:eastAsia="Arial" w:hAnsi="Arial"/>
                <w:sz w:val="18"/>
                <w:szCs w:val="18"/>
                <w:color w:val="auto"/>
              </w:rPr>
              <w:t>James H. Dorton</w:t>
            </w:r>
          </w:p>
        </w:tc>
        <w:tc>
          <w:tcPr>
            <w:tcW w:w="4980" w:type="dxa"/>
            <w:vAlign w:val="bottom"/>
          </w:tcPr>
          <w:p>
            <w:pPr>
              <w:jc w:val="center"/>
              <w:ind w:left="231"/>
              <w:spacing w:after="0" w:line="182" w:lineRule="exact"/>
              <w:rPr>
                <w:sz w:val="20"/>
                <w:szCs w:val="20"/>
                <w:color w:val="auto"/>
              </w:rPr>
            </w:pPr>
            <w:r>
              <w:rPr>
                <w:rFonts w:ascii="Arial" w:cs="Arial" w:eastAsia="Arial" w:hAnsi="Arial"/>
                <w:sz w:val="18"/>
                <w:szCs w:val="18"/>
                <w:color w:val="auto"/>
                <w:w w:val="93"/>
              </w:rPr>
              <w:t>and Chief Financial Officer</w:t>
            </w:r>
          </w:p>
        </w:tc>
        <w:tc>
          <w:tcPr>
            <w:tcW w:w="2000" w:type="dxa"/>
            <w:vAlign w:val="bottom"/>
          </w:tcPr>
          <w:p>
            <w:pPr>
              <w:spacing w:after="0"/>
              <w:rPr>
                <w:sz w:val="15"/>
                <w:szCs w:val="15"/>
                <w:color w:val="auto"/>
              </w:rPr>
            </w:pPr>
          </w:p>
        </w:tc>
      </w:tr>
      <w:tr>
        <w:trPr>
          <w:trHeight w:val="230"/>
        </w:trPr>
        <w:tc>
          <w:tcPr>
            <w:tcW w:w="4280" w:type="dxa"/>
            <w:vAlign w:val="bottom"/>
          </w:tcPr>
          <w:p>
            <w:pPr>
              <w:spacing w:after="0"/>
              <w:rPr>
                <w:sz w:val="20"/>
                <w:szCs w:val="20"/>
                <w:color w:val="auto"/>
              </w:rPr>
            </w:pP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4"/>
              </w:rPr>
              <w:t>(Principal Financial Officer)</w:t>
            </w:r>
          </w:p>
        </w:tc>
        <w:tc>
          <w:tcPr>
            <w:tcW w:w="2000" w:type="dxa"/>
            <w:vAlign w:val="bottom"/>
          </w:tcPr>
          <w:p>
            <w:pPr>
              <w:spacing w:after="0"/>
              <w:rPr>
                <w:sz w:val="20"/>
                <w:szCs w:val="20"/>
                <w:color w:val="auto"/>
              </w:rPr>
            </w:pPr>
          </w:p>
        </w:tc>
      </w:tr>
      <w:tr>
        <w:trPr>
          <w:trHeight w:val="446"/>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Burwell, Jr.</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3"/>
              </w:rPr>
              <w:t>Vice-President—Chief Accounting Officer and</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Thomas C. Burwell, Jr.</w:t>
            </w:r>
          </w:p>
        </w:tc>
        <w:tc>
          <w:tcPr>
            <w:tcW w:w="4980" w:type="dxa"/>
            <w:vAlign w:val="bottom"/>
          </w:tcPr>
          <w:p>
            <w:pPr>
              <w:jc w:val="center"/>
              <w:ind w:left="231"/>
              <w:spacing w:after="0"/>
              <w:rPr>
                <w:sz w:val="20"/>
                <w:szCs w:val="20"/>
                <w:color w:val="auto"/>
              </w:rPr>
            </w:pPr>
            <w:r>
              <w:rPr>
                <w:rFonts w:ascii="Arial" w:cs="Arial" w:eastAsia="Arial" w:hAnsi="Arial"/>
                <w:sz w:val="18"/>
                <w:szCs w:val="18"/>
                <w:color w:val="auto"/>
                <w:w w:val="91"/>
              </w:rPr>
              <w:t>Corporate Controller</w:t>
            </w:r>
          </w:p>
        </w:tc>
        <w:tc>
          <w:tcPr>
            <w:tcW w:w="20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Ronald Morris</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2"/>
              </w:rPr>
              <w:t>Non-Executive Chairman, Director</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G. Ronald Morris</w:t>
            </w:r>
          </w:p>
        </w:tc>
        <w:tc>
          <w:tcPr>
            <w:tcW w:w="49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 Werner</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Michael E. Werner</w:t>
            </w:r>
          </w:p>
        </w:tc>
        <w:tc>
          <w:tcPr>
            <w:tcW w:w="49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T. Warshaw</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Steven T. Warshaw</w:t>
            </w:r>
          </w:p>
        </w:tc>
        <w:tc>
          <w:tcPr>
            <w:tcW w:w="49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Dries</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William Dries</w:t>
            </w:r>
          </w:p>
        </w:tc>
        <w:tc>
          <w:tcPr>
            <w:tcW w:w="49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Brunner</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Robert E. Brunner</w:t>
            </w:r>
          </w:p>
        </w:tc>
        <w:tc>
          <w:tcPr>
            <w:tcW w:w="49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Pugh</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David L. Pugh</w:t>
            </w:r>
          </w:p>
        </w:tc>
        <w:tc>
          <w:tcPr>
            <w:tcW w:w="49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Kennedy</w:t>
            </w:r>
          </w:p>
        </w:tc>
        <w:tc>
          <w:tcPr>
            <w:tcW w:w="498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jc w:val="center"/>
              <w:ind w:left="492"/>
              <w:spacing w:after="0"/>
              <w:rPr>
                <w:sz w:val="20"/>
                <w:szCs w:val="20"/>
                <w:color w:val="auto"/>
              </w:rPr>
            </w:pPr>
            <w:r>
              <w:rPr>
                <w:rFonts w:ascii="Arial" w:cs="Arial" w:eastAsia="Arial" w:hAnsi="Arial"/>
                <w:sz w:val="18"/>
                <w:szCs w:val="18"/>
                <w:color w:val="auto"/>
                <w:w w:val="89"/>
              </w:rPr>
              <w:t>December 29,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John C. Kennedy</w:t>
            </w:r>
          </w:p>
        </w:tc>
        <w:tc>
          <w:tcPr>
            <w:tcW w:w="49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4980" w:type="dxa"/>
            <w:vAlign w:val="bottom"/>
          </w:tcPr>
          <w:p>
            <w:pPr>
              <w:ind w:left="1300"/>
              <w:spacing w:after="0"/>
              <w:rPr>
                <w:sz w:val="20"/>
                <w:szCs w:val="20"/>
                <w:color w:val="auto"/>
              </w:rPr>
            </w:pPr>
            <w:r>
              <w:rPr>
                <w:rFonts w:ascii="Arial" w:cs="Arial" w:eastAsia="Arial" w:hAnsi="Arial"/>
                <w:sz w:val="18"/>
                <w:szCs w:val="18"/>
                <w:color w:val="auto"/>
              </w:rPr>
              <w:t>II-4</w:t>
            </w:r>
          </w:p>
        </w:tc>
        <w:tc>
          <w:tcPr>
            <w:tcW w:w="20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70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5320" w:type="dxa"/>
            <w:vAlign w:val="bottom"/>
          </w:tcPr>
          <w:p>
            <w:pPr>
              <w:ind w:left="660"/>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3"/>
              </w:rPr>
              <w:t>Restated Certificate of Incorporation of NN, Inc. (incorporated by reference to Exhibit 3.1 of NN, Inc.’s Registration Statement No. 333-</w:t>
            </w:r>
          </w:p>
        </w:tc>
      </w:tr>
      <w:tr>
        <w:trPr>
          <w:trHeight w:val="230"/>
        </w:trPr>
        <w:tc>
          <w:tcPr>
            <w:tcW w:w="720" w:type="dxa"/>
            <w:vAlign w:val="bottom"/>
          </w:tcPr>
          <w:p>
            <w:pPr>
              <w:spacing w:after="0"/>
              <w:rPr>
                <w:sz w:val="20"/>
                <w:szCs w:val="20"/>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89950 on Form S-3 filed June 6, 2002)</w:t>
            </w: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Restated By-Laws of NN, Inc. (incorporated by reference to Exhibit 3.2 of NN, Inc.’s Registration Statement No. 333-89950 on Form S-3</w:t>
            </w:r>
          </w:p>
        </w:tc>
      </w:tr>
      <w:tr>
        <w:trPr>
          <w:trHeight w:val="230"/>
        </w:trPr>
        <w:tc>
          <w:tcPr>
            <w:tcW w:w="720" w:type="dxa"/>
            <w:vAlign w:val="bottom"/>
          </w:tcPr>
          <w:p>
            <w:pPr>
              <w:spacing w:after="0"/>
              <w:rPr>
                <w:sz w:val="20"/>
                <w:szCs w:val="20"/>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filed June 6, 2002)</w:t>
            </w: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4.3</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5"/>
              </w:rPr>
              <w:t>Amendment to the Restated By-Laws of NN, Inc. (incorporated by reference to Exhibit 3.2 of NN, Inc.’s Form 8-K filed December 18,</w:t>
            </w:r>
          </w:p>
        </w:tc>
      </w:tr>
      <w:tr>
        <w:trPr>
          <w:trHeight w:val="230"/>
        </w:trPr>
        <w:tc>
          <w:tcPr>
            <w:tcW w:w="720" w:type="dxa"/>
            <w:vAlign w:val="bottom"/>
          </w:tcPr>
          <w:p>
            <w:pPr>
              <w:spacing w:after="0"/>
              <w:rPr>
                <w:sz w:val="20"/>
                <w:szCs w:val="20"/>
                <w:color w:val="auto"/>
              </w:rPr>
            </w:pPr>
          </w:p>
        </w:tc>
        <w:tc>
          <w:tcPr>
            <w:tcW w:w="5320" w:type="dxa"/>
            <w:vAlign w:val="bottom"/>
          </w:tcPr>
          <w:p>
            <w:pPr>
              <w:ind w:left="660"/>
              <w:spacing w:after="0"/>
              <w:rPr>
                <w:sz w:val="20"/>
                <w:szCs w:val="20"/>
                <w:color w:val="auto"/>
              </w:rPr>
            </w:pPr>
            <w:r>
              <w:rPr>
                <w:rFonts w:ascii="Arial" w:cs="Arial" w:eastAsia="Arial" w:hAnsi="Arial"/>
                <w:sz w:val="18"/>
                <w:szCs w:val="18"/>
                <w:color w:val="auto"/>
              </w:rPr>
              <w:t>2008)</w:t>
            </w:r>
          </w:p>
        </w:tc>
        <w:tc>
          <w:tcPr>
            <w:tcW w:w="7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4.4</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4"/>
              </w:rPr>
              <w:t>Amendments to the Restated By-Laws of NN, Inc. (incorporated by reference to Exhibit 3.1 of NN, Inc.’s Form 8-K filed September 2,</w:t>
            </w:r>
          </w:p>
        </w:tc>
      </w:tr>
      <w:tr>
        <w:trPr>
          <w:trHeight w:val="230"/>
        </w:trPr>
        <w:tc>
          <w:tcPr>
            <w:tcW w:w="720" w:type="dxa"/>
            <w:vAlign w:val="bottom"/>
          </w:tcPr>
          <w:p>
            <w:pPr>
              <w:spacing w:after="0"/>
              <w:rPr>
                <w:sz w:val="20"/>
                <w:szCs w:val="20"/>
                <w:color w:val="auto"/>
              </w:rPr>
            </w:pPr>
          </w:p>
        </w:tc>
        <w:tc>
          <w:tcPr>
            <w:tcW w:w="5320" w:type="dxa"/>
            <w:vAlign w:val="bottom"/>
          </w:tcPr>
          <w:p>
            <w:pPr>
              <w:ind w:left="66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4.5</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4"/>
              </w:rPr>
              <w:t>Amendments to the Restated By-Laws of NN, Inc. (incorporated by reference to Exhibit 3.1 of NN, Inc.’s Form 8-K filed November 13,</w:t>
            </w:r>
          </w:p>
        </w:tc>
      </w:tr>
      <w:tr>
        <w:trPr>
          <w:trHeight w:val="230"/>
        </w:trPr>
        <w:tc>
          <w:tcPr>
            <w:tcW w:w="720" w:type="dxa"/>
            <w:vAlign w:val="bottom"/>
          </w:tcPr>
          <w:p>
            <w:pPr>
              <w:spacing w:after="0"/>
              <w:rPr>
                <w:sz w:val="20"/>
                <w:szCs w:val="20"/>
                <w:color w:val="auto"/>
              </w:rPr>
            </w:pPr>
          </w:p>
        </w:tc>
        <w:tc>
          <w:tcPr>
            <w:tcW w:w="5320" w:type="dxa"/>
            <w:vAlign w:val="bottom"/>
          </w:tcPr>
          <w:p>
            <w:pPr>
              <w:ind w:left="66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4.6</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0"/>
              </w:rPr>
              <w:t>The specimen stock certificate representing the Company’s Common Stock, par value $0.01 per share (incorporated by reference to Exhibit</w:t>
            </w:r>
          </w:p>
        </w:tc>
      </w:tr>
      <w:tr>
        <w:trPr>
          <w:trHeight w:val="230"/>
        </w:trPr>
        <w:tc>
          <w:tcPr>
            <w:tcW w:w="720" w:type="dxa"/>
            <w:vAlign w:val="bottom"/>
          </w:tcPr>
          <w:p>
            <w:pPr>
              <w:spacing w:after="0"/>
              <w:rPr>
                <w:sz w:val="20"/>
                <w:szCs w:val="20"/>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4.1 of the Company’s Registration Statement No. 333-89950 on Form S-3 filed June 6, 2002)</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4.7†</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Indenture for Senior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4.8†</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Senior Debt Security (included in Exhibit 4.7 hereto)</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4.9†</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Subordinated Indenture for Subordinated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4.10†</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Subordinated Debt Security (included in Exhibit 4.9 hereto)</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Certificate of Designations for Preferred Stock</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Preferred Stock Certificate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4.13*</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4.14*</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Warrant Certificate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4.15*</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Unit Certificate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Legal Opinion of Baker, Donelson, Bearman, Caldwell &amp; Berkowitz, PC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Calculation of Ratios of Earnings to Fixed Charges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Consent of Baker, Donelson, Bearman, Caldwell &amp; Berkowitz, PC (included in Exhibit 5.1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Power of Attorney (incorporated by reference to the signature page of this registration statement)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Statement of Eligibility of Trustee under the Trust Indenture Act of 1939 on Form T-1 with respect to the Senior Indenture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8"/>
              </w:rPr>
              <w:t>Statement of Eligibility of Trustee under the Trust Indenture Act of 1939 on Form T-1 with respect to the 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520" w:hanging="219"/>
        <w:spacing w:after="0" w:line="258" w:lineRule="auto"/>
        <w:tabs>
          <w:tab w:leader="none" w:pos="200" w:val="left"/>
        </w:tabs>
        <w:rPr>
          <w:sz w:val="20"/>
          <w:szCs w:val="20"/>
          <w:color w:val="auto"/>
        </w:rPr>
      </w:pPr>
      <w:r>
        <w:rPr>
          <w:rFonts w:ascii="Arial" w:cs="Arial" w:eastAsia="Arial" w:hAnsi="Arial"/>
          <w:sz w:val="18"/>
          <w:szCs w:val="18"/>
          <w:color w:val="auto"/>
        </w:rPr>
        <w:t>*</w:t>
        <w:tab/>
        <w:t>To be filed by amendment or as an exhibit to a document to be incorporated or deemed to be incorporated by reference in this registration statement, including a Current Report on Form 8-K.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NN,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ind w:left="5080" w:hanging="1189"/>
        <w:spacing w:after="0"/>
        <w:tabs>
          <w:tab w:leader="none" w:pos="50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440"/>
        <w:spacing w:after="0"/>
        <w:tabs>
          <w:tab w:leader="none" w:pos="4860" w:val="left"/>
        </w:tabs>
        <w:rPr>
          <w:sz w:val="20"/>
          <w:szCs w:val="20"/>
          <w:color w:val="auto"/>
        </w:rPr>
      </w:pPr>
      <w:r>
        <w:rPr>
          <w:rFonts w:ascii="Arial" w:cs="Arial" w:eastAsia="Arial" w:hAnsi="Arial"/>
          <w:sz w:val="18"/>
          <w:szCs w:val="18"/>
          <w:b w:val="1"/>
          <w:bCs w:val="1"/>
          <w:color w:val="auto"/>
        </w:rPr>
        <w:t>Dated as of</w:t>
      </w:r>
      <w:r>
        <w:rPr>
          <w:sz w:val="20"/>
          <w:szCs w:val="20"/>
          <w:color w:val="auto"/>
        </w:rPr>
        <w:tab/>
      </w:r>
      <w:r>
        <w:rPr>
          <w:rFonts w:ascii="Arial" w:cs="Arial" w:eastAsia="Arial" w:hAnsi="Arial"/>
          <w:sz w:val="16"/>
          <w:szCs w:val="16"/>
          <w:b w:val="1"/>
          <w:bCs w:val="1"/>
          <w:color w:val="auto"/>
        </w:rPr>
        <w:t>, 201</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220"/>
          </w:cols>
          <w:pgMar w:left="1440" w:top="121" w:right="239" w:bottom="1440" w:gutter="0" w:footer="0" w:header="0"/>
        </w:sectPr>
      </w:pPr>
    </w:p>
    <w:bookmarkStart w:id="38" w:name="page39"/>
    <w:bookmarkEnd w:id="3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
            <w:vMerge w:val="restart"/>
          </w:tcPr>
          <w:p>
            <w:pPr>
              <w:spacing w:after="0"/>
              <w:rPr>
                <w:sz w:val="20"/>
                <w:szCs w:val="20"/>
                <w:color w:val="auto"/>
              </w:rPr>
            </w:pPr>
            <w:r>
              <w:rPr>
                <w:rFonts w:ascii="Arial" w:cs="Arial" w:eastAsia="Arial" w:hAnsi="Arial"/>
                <w:sz w:val="18"/>
                <w:szCs w:val="18"/>
                <w:color w:val="auto"/>
              </w:rPr>
              <w:t>ARTICLE ONE – DEFINITIONS AND OTHER PROVISIONS OF GENERAL APPLICATION</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102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26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260" w:type="dxa"/>
            <w:vAlign w:val="bottom"/>
          </w:tcPr>
          <w:p>
            <w:pPr>
              <w:ind w:left="280"/>
              <w:spacing w:after="0"/>
              <w:rPr>
                <w:sz w:val="20"/>
                <w:szCs w:val="20"/>
                <w:color w:val="auto"/>
              </w:rPr>
            </w:pPr>
            <w:r>
              <w:rPr>
                <w:rFonts w:ascii="Arial" w:cs="Arial" w:eastAsia="Arial" w:hAnsi="Arial"/>
                <w:sz w:val="18"/>
                <w:szCs w:val="18"/>
                <w:color w:val="auto"/>
              </w:rPr>
              <w:t>Compliance Certificates and Opinions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260" w:type="dxa"/>
            <w:vAlign w:val="bottom"/>
          </w:tcPr>
          <w:p>
            <w:pPr>
              <w:ind w:left="280"/>
              <w:spacing w:after="0"/>
              <w:rPr>
                <w:sz w:val="20"/>
                <w:szCs w:val="20"/>
                <w:color w:val="auto"/>
              </w:rPr>
            </w:pPr>
            <w:r>
              <w:rPr>
                <w:rFonts w:ascii="Arial" w:cs="Arial" w:eastAsia="Arial" w:hAnsi="Arial"/>
                <w:sz w:val="18"/>
                <w:szCs w:val="18"/>
                <w:color w:val="auto"/>
              </w:rPr>
              <w:t>Form of Documents Delivered to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260" w:type="dxa"/>
            <w:vAlign w:val="bottom"/>
          </w:tcPr>
          <w:p>
            <w:pPr>
              <w:ind w:left="280"/>
              <w:spacing w:after="0"/>
              <w:rPr>
                <w:sz w:val="20"/>
                <w:szCs w:val="20"/>
                <w:color w:val="auto"/>
              </w:rPr>
            </w:pPr>
            <w:r>
              <w:rPr>
                <w:rFonts w:ascii="Arial" w:cs="Arial" w:eastAsia="Arial" w:hAnsi="Arial"/>
                <w:sz w:val="18"/>
                <w:szCs w:val="18"/>
                <w:color w:val="auto"/>
              </w:rPr>
              <w:t>Acts of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260" w:type="dxa"/>
            <w:vAlign w:val="bottom"/>
          </w:tcPr>
          <w:p>
            <w:pPr>
              <w:ind w:left="280"/>
              <w:spacing w:after="0"/>
              <w:rPr>
                <w:sz w:val="20"/>
                <w:szCs w:val="20"/>
                <w:color w:val="auto"/>
              </w:rPr>
            </w:pPr>
            <w:r>
              <w:rPr>
                <w:rFonts w:ascii="Arial" w:cs="Arial" w:eastAsia="Arial" w:hAnsi="Arial"/>
                <w:sz w:val="18"/>
                <w:szCs w:val="18"/>
                <w:color w:val="auto"/>
              </w:rPr>
              <w:t>Notices, etc., to Trustee and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260" w:type="dxa"/>
            <w:vAlign w:val="bottom"/>
          </w:tcPr>
          <w:p>
            <w:pPr>
              <w:ind w:left="280"/>
              <w:spacing w:after="0"/>
              <w:rPr>
                <w:sz w:val="20"/>
                <w:szCs w:val="20"/>
                <w:color w:val="auto"/>
              </w:rPr>
            </w:pPr>
            <w:r>
              <w:rPr>
                <w:rFonts w:ascii="Arial" w:cs="Arial" w:eastAsia="Arial" w:hAnsi="Arial"/>
                <w:sz w:val="18"/>
                <w:szCs w:val="18"/>
                <w:color w:val="auto"/>
              </w:rPr>
              <w:t>Notice to Holders;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9260" w:type="dxa"/>
            <w:vAlign w:val="bottom"/>
          </w:tcPr>
          <w:p>
            <w:pPr>
              <w:ind w:left="280"/>
              <w:spacing w:after="0"/>
              <w:rPr>
                <w:sz w:val="20"/>
                <w:szCs w:val="20"/>
                <w:color w:val="auto"/>
              </w:rPr>
            </w:pPr>
            <w:r>
              <w:rPr>
                <w:rFonts w:ascii="Arial" w:cs="Arial" w:eastAsia="Arial" w:hAnsi="Arial"/>
                <w:sz w:val="18"/>
                <w:szCs w:val="18"/>
                <w:color w:val="auto"/>
              </w:rPr>
              <w:t>Counterparts; Effect of Headings and Table of Contents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926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9260" w:type="dxa"/>
            <w:vAlign w:val="bottom"/>
          </w:tcPr>
          <w:p>
            <w:pPr>
              <w:ind w:left="280"/>
              <w:spacing w:after="0"/>
              <w:rPr>
                <w:sz w:val="20"/>
                <w:szCs w:val="20"/>
                <w:color w:val="auto"/>
              </w:rPr>
            </w:pPr>
            <w:r>
              <w:rPr>
                <w:rFonts w:ascii="Arial" w:cs="Arial" w:eastAsia="Arial" w:hAnsi="Arial"/>
                <w:sz w:val="18"/>
                <w:szCs w:val="18"/>
                <w:color w:val="auto"/>
              </w:rPr>
              <w:t>Severability Clause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9260" w:type="dxa"/>
            <w:vAlign w:val="bottom"/>
          </w:tcPr>
          <w:p>
            <w:pPr>
              <w:ind w:left="280"/>
              <w:spacing w:after="0"/>
              <w:rPr>
                <w:sz w:val="20"/>
                <w:szCs w:val="20"/>
                <w:color w:val="auto"/>
              </w:rPr>
            </w:pPr>
            <w:r>
              <w:rPr>
                <w:rFonts w:ascii="Arial" w:cs="Arial" w:eastAsia="Arial" w:hAnsi="Arial"/>
                <w:sz w:val="18"/>
                <w:szCs w:val="18"/>
                <w:color w:val="auto"/>
              </w:rPr>
              <w:t>Benefits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26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260" w:type="dxa"/>
            <w:vAlign w:val="bottom"/>
          </w:tcPr>
          <w:p>
            <w:pPr>
              <w:ind w:left="280"/>
              <w:spacing w:after="0"/>
              <w:rPr>
                <w:sz w:val="20"/>
                <w:szCs w:val="20"/>
                <w:color w:val="auto"/>
              </w:rPr>
            </w:pPr>
            <w:r>
              <w:rPr>
                <w:rFonts w:ascii="Arial" w:cs="Arial" w:eastAsia="Arial" w:hAnsi="Arial"/>
                <w:sz w:val="18"/>
                <w:szCs w:val="18"/>
                <w:color w:val="auto"/>
              </w:rPr>
              <w:t>Legal Holidays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260" w:type="dxa"/>
            <w:vAlign w:val="bottom"/>
          </w:tcPr>
          <w:p>
            <w:pPr>
              <w:ind w:left="280"/>
              <w:spacing w:after="0"/>
              <w:rPr>
                <w:sz w:val="20"/>
                <w:szCs w:val="20"/>
                <w:color w:val="auto"/>
              </w:rPr>
            </w:pPr>
            <w:r>
              <w:rPr>
                <w:rFonts w:ascii="Arial" w:cs="Arial" w:eastAsia="Arial" w:hAnsi="Arial"/>
                <w:sz w:val="18"/>
                <w:szCs w:val="18"/>
                <w:color w:val="auto"/>
              </w:rPr>
              <w:t>Limited Liability; Immunity of Stockholders, Directors, Officers and Agents of the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260" w:type="dxa"/>
            <w:vAlign w:val="bottom"/>
          </w:tcPr>
          <w:p>
            <w:pPr>
              <w:ind w:left="280"/>
              <w:spacing w:after="0"/>
              <w:rPr>
                <w:sz w:val="20"/>
                <w:szCs w:val="20"/>
                <w:color w:val="auto"/>
              </w:rPr>
            </w:pPr>
            <w:r>
              <w:rPr>
                <w:rFonts w:ascii="Arial" w:cs="Arial" w:eastAsia="Arial" w:hAnsi="Arial"/>
                <w:sz w:val="18"/>
                <w:szCs w:val="18"/>
                <w:color w:val="auto"/>
              </w:rPr>
              <w:t>Conflict with Trust Indenture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11020" w:type="dxa"/>
            <w:vAlign w:val="bottom"/>
            <w:gridSpan w:val="2"/>
          </w:tcPr>
          <w:p>
            <w:pPr>
              <w:spacing w:after="0"/>
              <w:rPr>
                <w:sz w:val="20"/>
                <w:szCs w:val="20"/>
                <w:color w:val="auto"/>
              </w:rPr>
            </w:pPr>
            <w:r>
              <w:rPr>
                <w:rFonts w:ascii="Arial" w:cs="Arial" w:eastAsia="Arial" w:hAnsi="Arial"/>
                <w:sz w:val="18"/>
                <w:szCs w:val="18"/>
                <w:color w:val="auto"/>
              </w:rPr>
              <w:t>ARTICLE TWO – SECURITIES FORMS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260" w:type="dxa"/>
            <w:vAlign w:val="bottom"/>
          </w:tcPr>
          <w:p>
            <w:pPr>
              <w:ind w:left="280"/>
              <w:spacing w:after="0"/>
              <w:rPr>
                <w:sz w:val="20"/>
                <w:szCs w:val="20"/>
                <w:color w:val="auto"/>
              </w:rPr>
            </w:pPr>
            <w:r>
              <w:rPr>
                <w:rFonts w:ascii="Arial" w:cs="Arial" w:eastAsia="Arial" w:hAnsi="Arial"/>
                <w:sz w:val="18"/>
                <w:szCs w:val="18"/>
                <w:color w:val="auto"/>
              </w:rPr>
              <w:t>Forms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260" w:type="dxa"/>
            <w:vAlign w:val="bottom"/>
          </w:tcPr>
          <w:p>
            <w:pPr>
              <w:ind w:left="280"/>
              <w:spacing w:after="0"/>
              <w:rPr>
                <w:sz w:val="20"/>
                <w:szCs w:val="20"/>
                <w:color w:val="auto"/>
              </w:rPr>
            </w:pPr>
            <w:r>
              <w:rPr>
                <w:rFonts w:ascii="Arial" w:cs="Arial" w:eastAsia="Arial" w:hAnsi="Arial"/>
                <w:sz w:val="18"/>
                <w:szCs w:val="18"/>
                <w:color w:val="auto"/>
              </w:rPr>
              <w:t>Form of Trustee’s Certificate of Authentication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260" w:type="dxa"/>
            <w:vAlign w:val="bottom"/>
          </w:tcPr>
          <w:p>
            <w:pPr>
              <w:ind w:left="280"/>
              <w:spacing w:after="0"/>
              <w:rPr>
                <w:sz w:val="20"/>
                <w:szCs w:val="20"/>
                <w:color w:val="auto"/>
              </w:rPr>
            </w:pPr>
            <w:r>
              <w:rPr>
                <w:rFonts w:ascii="Arial" w:cs="Arial" w:eastAsia="Arial" w:hAnsi="Arial"/>
                <w:sz w:val="18"/>
                <w:szCs w:val="18"/>
                <w:color w:val="auto"/>
              </w:rPr>
              <w:t>Securities Issuable in Global Form</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20" w:type="dxa"/>
            <w:vAlign w:val="bottom"/>
            <w:gridSpan w:val="2"/>
          </w:tcPr>
          <w:p>
            <w:pPr>
              <w:spacing w:after="0"/>
              <w:rPr>
                <w:sz w:val="20"/>
                <w:szCs w:val="20"/>
                <w:color w:val="auto"/>
              </w:rPr>
            </w:pPr>
            <w:r>
              <w:rPr>
                <w:rFonts w:ascii="Arial" w:cs="Arial" w:eastAsia="Arial" w:hAnsi="Arial"/>
                <w:sz w:val="18"/>
                <w:szCs w:val="18"/>
                <w:color w:val="auto"/>
              </w:rPr>
              <w:t>ARTICLE THREE – THE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260" w:type="dxa"/>
            <w:vAlign w:val="bottom"/>
          </w:tcPr>
          <w:p>
            <w:pPr>
              <w:ind w:left="280"/>
              <w:spacing w:after="0"/>
              <w:rPr>
                <w:sz w:val="20"/>
                <w:szCs w:val="20"/>
                <w:color w:val="auto"/>
              </w:rPr>
            </w:pPr>
            <w:r>
              <w:rPr>
                <w:rFonts w:ascii="Arial" w:cs="Arial" w:eastAsia="Arial" w:hAnsi="Arial"/>
                <w:sz w:val="18"/>
                <w:szCs w:val="18"/>
                <w:color w:val="auto"/>
              </w:rPr>
              <w:t>Amount Unlimited; Issuable in Series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260" w:type="dxa"/>
            <w:vAlign w:val="bottom"/>
          </w:tcPr>
          <w:p>
            <w:pPr>
              <w:ind w:left="280"/>
              <w:spacing w:after="0"/>
              <w:rPr>
                <w:sz w:val="20"/>
                <w:szCs w:val="20"/>
                <w:color w:val="auto"/>
              </w:rPr>
            </w:pPr>
            <w:r>
              <w:rPr>
                <w:rFonts w:ascii="Arial" w:cs="Arial" w:eastAsia="Arial" w:hAnsi="Arial"/>
                <w:sz w:val="18"/>
                <w:szCs w:val="18"/>
                <w:color w:val="auto"/>
              </w:rPr>
              <w:t>Denominations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260" w:type="dxa"/>
            <w:vAlign w:val="bottom"/>
          </w:tcPr>
          <w:p>
            <w:pPr>
              <w:ind w:left="280"/>
              <w:spacing w:after="0"/>
              <w:rPr>
                <w:sz w:val="20"/>
                <w:szCs w:val="20"/>
                <w:color w:val="auto"/>
              </w:rPr>
            </w:pPr>
            <w:r>
              <w:rPr>
                <w:rFonts w:ascii="Arial" w:cs="Arial" w:eastAsia="Arial" w:hAnsi="Arial"/>
                <w:sz w:val="18"/>
                <w:szCs w:val="18"/>
                <w:color w:val="auto"/>
              </w:rPr>
              <w:t>Execution, Authentication, Delivery and Dating</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26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9260" w:type="dxa"/>
            <w:vAlign w:val="bottom"/>
          </w:tcPr>
          <w:p>
            <w:pPr>
              <w:ind w:left="280"/>
              <w:spacing w:after="0"/>
              <w:rPr>
                <w:sz w:val="20"/>
                <w:szCs w:val="20"/>
                <w:color w:val="auto"/>
              </w:rPr>
            </w:pPr>
            <w:r>
              <w:rPr>
                <w:rFonts w:ascii="Arial" w:cs="Arial" w:eastAsia="Arial" w:hAnsi="Arial"/>
                <w:sz w:val="18"/>
                <w:szCs w:val="18"/>
                <w:color w:val="auto"/>
              </w:rPr>
              <w:t>Registration, Registration of Transfer, Conversion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9260" w:type="dxa"/>
            <w:vAlign w:val="bottom"/>
          </w:tcPr>
          <w:p>
            <w:pPr>
              <w:ind w:left="28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9260" w:type="dxa"/>
            <w:vAlign w:val="bottom"/>
          </w:tcPr>
          <w:p>
            <w:pPr>
              <w:ind w:left="28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9260" w:type="dxa"/>
            <w:vAlign w:val="bottom"/>
          </w:tcPr>
          <w:p>
            <w:pPr>
              <w:ind w:left="280"/>
              <w:spacing w:after="0"/>
              <w:rPr>
                <w:sz w:val="20"/>
                <w:szCs w:val="20"/>
                <w:color w:val="auto"/>
              </w:rPr>
            </w:pPr>
            <w:r>
              <w:rPr>
                <w:rFonts w:ascii="Arial" w:cs="Arial" w:eastAsia="Arial" w:hAnsi="Arial"/>
                <w:sz w:val="18"/>
                <w:szCs w:val="18"/>
                <w:color w:val="auto"/>
              </w:rPr>
              <w:t>Persons Deemed Owners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926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260" w:type="dxa"/>
            <w:vAlign w:val="bottom"/>
          </w:tcPr>
          <w:p>
            <w:pPr>
              <w:ind w:left="280"/>
              <w:spacing w:after="0"/>
              <w:rPr>
                <w:sz w:val="20"/>
                <w:szCs w:val="20"/>
                <w:color w:val="auto"/>
              </w:rPr>
            </w:pPr>
            <w:r>
              <w:rPr>
                <w:rFonts w:ascii="Arial" w:cs="Arial" w:eastAsia="Arial" w:hAnsi="Arial"/>
                <w:sz w:val="18"/>
                <w:szCs w:val="18"/>
                <w:color w:val="auto"/>
              </w:rPr>
              <w:t>Computation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260" w:type="dxa"/>
            <w:vAlign w:val="bottom"/>
          </w:tcPr>
          <w:p>
            <w:pPr>
              <w:ind w:left="280"/>
              <w:spacing w:after="0"/>
              <w:rPr>
                <w:sz w:val="20"/>
                <w:szCs w:val="20"/>
                <w:color w:val="auto"/>
              </w:rPr>
            </w:pPr>
            <w:r>
              <w:rPr>
                <w:rFonts w:ascii="Arial" w:cs="Arial" w:eastAsia="Arial" w:hAnsi="Arial"/>
                <w:sz w:val="18"/>
                <w:szCs w:val="18"/>
                <w:color w:val="auto"/>
              </w:rPr>
              <w:t>CUSIP Numbers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20" w:type="dxa"/>
            <w:vAlign w:val="bottom"/>
            <w:gridSpan w:val="2"/>
          </w:tcPr>
          <w:p>
            <w:pPr>
              <w:spacing w:after="0"/>
              <w:rPr>
                <w:sz w:val="20"/>
                <w:szCs w:val="20"/>
                <w:color w:val="auto"/>
              </w:rPr>
            </w:pPr>
            <w:r>
              <w:rPr>
                <w:rFonts w:ascii="Arial" w:cs="Arial" w:eastAsia="Arial" w:hAnsi="Arial"/>
                <w:sz w:val="18"/>
                <w:szCs w:val="18"/>
                <w:color w:val="auto"/>
              </w:rPr>
              <w:t>ARTICLE FOUR – SATISFACTION AND DISCHARGE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9260" w:type="dxa"/>
            <w:vAlign w:val="bottom"/>
          </w:tcPr>
          <w:p>
            <w:pPr>
              <w:ind w:left="28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9260" w:type="dxa"/>
            <w:vAlign w:val="bottom"/>
          </w:tcPr>
          <w:p>
            <w:pPr>
              <w:ind w:left="280"/>
              <w:spacing w:after="0"/>
              <w:rPr>
                <w:sz w:val="20"/>
                <w:szCs w:val="20"/>
                <w:color w:val="auto"/>
              </w:rPr>
            </w:pPr>
            <w:r>
              <w:rPr>
                <w:rFonts w:ascii="Arial" w:cs="Arial" w:eastAsia="Arial" w:hAnsi="Arial"/>
                <w:sz w:val="18"/>
                <w:szCs w:val="18"/>
                <w:color w:val="auto"/>
              </w:rPr>
              <w:t>Application of Trust Funds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20" w:type="dxa"/>
            <w:vAlign w:val="bottom"/>
            <w:gridSpan w:val="2"/>
          </w:tcPr>
          <w:p>
            <w:pPr>
              <w:spacing w:after="0"/>
              <w:rPr>
                <w:sz w:val="20"/>
                <w:szCs w:val="20"/>
                <w:color w:val="auto"/>
              </w:rPr>
            </w:pPr>
            <w:r>
              <w:rPr>
                <w:rFonts w:ascii="Arial" w:cs="Arial" w:eastAsia="Arial" w:hAnsi="Arial"/>
                <w:sz w:val="18"/>
                <w:szCs w:val="18"/>
                <w:color w:val="auto"/>
              </w:rPr>
              <w:t>ARTICLE FIVE – 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926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9260" w:type="dxa"/>
            <w:vAlign w:val="bottom"/>
          </w:tcPr>
          <w:p>
            <w:pPr>
              <w:ind w:left="280"/>
              <w:spacing w:after="0"/>
              <w:rPr>
                <w:sz w:val="20"/>
                <w:szCs w:val="20"/>
                <w:color w:val="auto"/>
              </w:rPr>
            </w:pPr>
            <w:r>
              <w:rPr>
                <w:rFonts w:ascii="Arial" w:cs="Arial" w:eastAsia="Arial" w:hAnsi="Arial"/>
                <w:sz w:val="18"/>
                <w:szCs w:val="18"/>
                <w:color w:val="auto"/>
              </w:rPr>
              <w:t>Acceleration of Maturity; Rescission and Annulment</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9080" w:type="dxa"/>
            <w:vAlign w:val="bottom"/>
          </w:tcPr>
          <w:p>
            <w:pPr>
              <w:ind w:left="340"/>
              <w:spacing w:after="0"/>
              <w:rPr>
                <w:sz w:val="20"/>
                <w:szCs w:val="20"/>
                <w:color w:val="auto"/>
              </w:rPr>
            </w:pPr>
            <w:r>
              <w:rPr>
                <w:rFonts w:ascii="Arial" w:cs="Arial" w:eastAsia="Arial" w:hAnsi="Arial"/>
                <w:sz w:val="18"/>
                <w:szCs w:val="18"/>
                <w:color w:val="auto"/>
              </w:rPr>
              <w:t>Collection of Indebtedness and Suits for Enforcement by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9080" w:type="dxa"/>
            <w:vAlign w:val="bottom"/>
          </w:tcPr>
          <w:p>
            <w:pPr>
              <w:ind w:left="340"/>
              <w:spacing w:after="0"/>
              <w:rPr>
                <w:sz w:val="20"/>
                <w:szCs w:val="20"/>
                <w:color w:val="auto"/>
              </w:rPr>
            </w:pPr>
            <w:r>
              <w:rPr>
                <w:rFonts w:ascii="Arial" w:cs="Arial" w:eastAsia="Arial" w:hAnsi="Arial"/>
                <w:sz w:val="18"/>
                <w:szCs w:val="18"/>
                <w:color w:val="auto"/>
              </w:rPr>
              <w:t>Trustee May File Proofs of Claim</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9080" w:type="dxa"/>
            <w:vAlign w:val="bottom"/>
          </w:tcPr>
          <w:p>
            <w:pPr>
              <w:ind w:left="34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9080" w:type="dxa"/>
            <w:vAlign w:val="bottom"/>
          </w:tcPr>
          <w:p>
            <w:pPr>
              <w:ind w:left="340"/>
              <w:spacing w:after="0"/>
              <w:rPr>
                <w:sz w:val="20"/>
                <w:szCs w:val="20"/>
                <w:color w:val="auto"/>
              </w:rPr>
            </w:pPr>
            <w:r>
              <w:rPr>
                <w:rFonts w:ascii="Arial" w:cs="Arial" w:eastAsia="Arial" w:hAnsi="Arial"/>
                <w:sz w:val="18"/>
                <w:szCs w:val="18"/>
                <w:color w:val="auto"/>
              </w:rPr>
              <w:t>Application of Money Collected</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9080" w:type="dxa"/>
            <w:vAlign w:val="bottom"/>
          </w:tcPr>
          <w:p>
            <w:pPr>
              <w:ind w:left="340"/>
              <w:spacing w:after="0"/>
              <w:rPr>
                <w:sz w:val="20"/>
                <w:szCs w:val="20"/>
                <w:color w:val="auto"/>
              </w:rPr>
            </w:pPr>
            <w:r>
              <w:rPr>
                <w:rFonts w:ascii="Arial" w:cs="Arial" w:eastAsia="Arial" w:hAnsi="Arial"/>
                <w:sz w:val="18"/>
                <w:szCs w:val="18"/>
                <w:color w:val="auto"/>
              </w:rPr>
              <w:t>Limitation on Suits</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9080" w:type="dxa"/>
            <w:vAlign w:val="bottom"/>
          </w:tcPr>
          <w:p>
            <w:pPr>
              <w:ind w:left="340"/>
              <w:spacing w:after="0"/>
              <w:rPr>
                <w:sz w:val="20"/>
                <w:szCs w:val="20"/>
                <w:color w:val="auto"/>
              </w:rPr>
            </w:pPr>
            <w:r>
              <w:rPr>
                <w:rFonts w:ascii="Arial" w:cs="Arial" w:eastAsia="Arial" w:hAnsi="Arial"/>
                <w:sz w:val="18"/>
                <w:szCs w:val="18"/>
                <w:color w:val="auto"/>
              </w:rPr>
              <w:t>Unconditional Right of Holders to Receive Principal, Premium or Make-Whole Amount, if any, and Interest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9080" w:type="dxa"/>
            <w:vAlign w:val="bottom"/>
          </w:tcPr>
          <w:p>
            <w:pPr>
              <w:ind w:left="340"/>
              <w:spacing w:after="0"/>
              <w:rPr>
                <w:sz w:val="20"/>
                <w:szCs w:val="20"/>
                <w:color w:val="auto"/>
              </w:rPr>
            </w:pPr>
            <w:r>
              <w:rPr>
                <w:rFonts w:ascii="Arial" w:cs="Arial" w:eastAsia="Arial" w:hAnsi="Arial"/>
                <w:sz w:val="18"/>
                <w:szCs w:val="18"/>
                <w:color w:val="auto"/>
              </w:rPr>
              <w:t>Restoration of Rights and Remedies</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9080" w:type="dxa"/>
            <w:vAlign w:val="bottom"/>
          </w:tcPr>
          <w:p>
            <w:pPr>
              <w:ind w:left="340"/>
              <w:spacing w:after="0"/>
              <w:rPr>
                <w:sz w:val="20"/>
                <w:szCs w:val="20"/>
                <w:color w:val="auto"/>
              </w:rPr>
            </w:pPr>
            <w:r>
              <w:rPr>
                <w:rFonts w:ascii="Arial" w:cs="Arial" w:eastAsia="Arial" w:hAnsi="Arial"/>
                <w:sz w:val="18"/>
                <w:szCs w:val="18"/>
                <w:color w:val="auto"/>
              </w:rPr>
              <w:t>Rights and Remedies Cumulative</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9080" w:type="dxa"/>
            <w:vAlign w:val="bottom"/>
          </w:tcPr>
          <w:p>
            <w:pPr>
              <w:ind w:left="340"/>
              <w:spacing w:after="0"/>
              <w:rPr>
                <w:sz w:val="20"/>
                <w:szCs w:val="20"/>
                <w:color w:val="auto"/>
              </w:rPr>
            </w:pPr>
            <w:r>
              <w:rPr>
                <w:rFonts w:ascii="Arial" w:cs="Arial" w:eastAsia="Arial" w:hAnsi="Arial"/>
                <w:sz w:val="18"/>
                <w:szCs w:val="18"/>
                <w:color w:val="auto"/>
              </w:rPr>
              <w:t>Delay or Omission Not Waiver</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9080" w:type="dxa"/>
            <w:vAlign w:val="bottom"/>
          </w:tcPr>
          <w:p>
            <w:pPr>
              <w:ind w:left="340"/>
              <w:spacing w:after="0"/>
              <w:rPr>
                <w:sz w:val="20"/>
                <w:szCs w:val="20"/>
                <w:color w:val="auto"/>
              </w:rPr>
            </w:pPr>
            <w:r>
              <w:rPr>
                <w:rFonts w:ascii="Arial" w:cs="Arial" w:eastAsia="Arial" w:hAnsi="Arial"/>
                <w:sz w:val="18"/>
                <w:szCs w:val="18"/>
                <w:color w:val="auto"/>
              </w:rPr>
              <w:t>Control by Holders of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9080" w:type="dxa"/>
            <w:vAlign w:val="bottom"/>
          </w:tcPr>
          <w:p>
            <w:pPr>
              <w:ind w:left="340"/>
              <w:spacing w:after="0"/>
              <w:rPr>
                <w:sz w:val="20"/>
                <w:szCs w:val="20"/>
                <w:color w:val="auto"/>
              </w:rPr>
            </w:pPr>
            <w:r>
              <w:rPr>
                <w:rFonts w:ascii="Arial" w:cs="Arial" w:eastAsia="Arial" w:hAnsi="Arial"/>
                <w:sz w:val="18"/>
                <w:szCs w:val="18"/>
                <w:color w:val="auto"/>
              </w:rPr>
              <w:t>Waiver of Past Defaults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9080" w:type="dxa"/>
            <w:vAlign w:val="bottom"/>
          </w:tcPr>
          <w:p>
            <w:pPr>
              <w:ind w:left="340"/>
              <w:spacing w:after="0"/>
              <w:rPr>
                <w:sz w:val="20"/>
                <w:szCs w:val="20"/>
                <w:color w:val="auto"/>
              </w:rPr>
            </w:pPr>
            <w:r>
              <w:rPr>
                <w:rFonts w:ascii="Arial" w:cs="Arial" w:eastAsia="Arial" w:hAnsi="Arial"/>
                <w:sz w:val="18"/>
                <w:szCs w:val="18"/>
                <w:color w:val="auto"/>
              </w:rPr>
              <w:t>Waiver of Usury, Stay or Extension Laws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9080" w:type="dxa"/>
            <w:vAlign w:val="bottom"/>
          </w:tcPr>
          <w:p>
            <w:pPr>
              <w:ind w:left="340"/>
              <w:spacing w:after="0"/>
              <w:rPr>
                <w:sz w:val="20"/>
                <w:szCs w:val="20"/>
                <w:color w:val="auto"/>
              </w:rPr>
            </w:pPr>
            <w:r>
              <w:rPr>
                <w:rFonts w:ascii="Arial" w:cs="Arial" w:eastAsia="Arial" w:hAnsi="Arial"/>
                <w:sz w:val="18"/>
                <w:szCs w:val="18"/>
                <w:color w:val="auto"/>
              </w:rPr>
              <w:t>Undertaking for Costs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0900" w:type="dxa"/>
            <w:vAlign w:val="bottom"/>
            <w:gridSpan w:val="2"/>
          </w:tcPr>
          <w:p>
            <w:pPr>
              <w:spacing w:after="0"/>
              <w:rPr>
                <w:sz w:val="20"/>
                <w:szCs w:val="20"/>
                <w:color w:val="auto"/>
              </w:rPr>
            </w:pPr>
            <w:r>
              <w:rPr>
                <w:rFonts w:ascii="Arial" w:cs="Arial" w:eastAsia="Arial" w:hAnsi="Arial"/>
                <w:sz w:val="18"/>
                <w:szCs w:val="18"/>
                <w:color w:val="auto"/>
              </w:rPr>
              <w:t>ARTICLE SIX – THE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9080" w:type="dxa"/>
            <w:vAlign w:val="bottom"/>
          </w:tcPr>
          <w:p>
            <w:pPr>
              <w:ind w:left="340"/>
              <w:spacing w:after="0"/>
              <w:rPr>
                <w:sz w:val="20"/>
                <w:szCs w:val="20"/>
                <w:color w:val="auto"/>
              </w:rPr>
            </w:pPr>
            <w:r>
              <w:rPr>
                <w:rFonts w:ascii="Arial" w:cs="Arial" w:eastAsia="Arial" w:hAnsi="Arial"/>
                <w:sz w:val="18"/>
                <w:szCs w:val="18"/>
                <w:color w:val="auto"/>
              </w:rPr>
              <w:t>Notice of Defaults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9080" w:type="dxa"/>
            <w:vAlign w:val="bottom"/>
          </w:tcPr>
          <w:p>
            <w:pPr>
              <w:ind w:left="340"/>
              <w:spacing w:after="0"/>
              <w:rPr>
                <w:sz w:val="20"/>
                <w:szCs w:val="20"/>
                <w:color w:val="auto"/>
              </w:rPr>
            </w:pPr>
            <w:r>
              <w:rPr>
                <w:rFonts w:ascii="Arial" w:cs="Arial" w:eastAsia="Arial" w:hAnsi="Arial"/>
                <w:sz w:val="18"/>
                <w:szCs w:val="18"/>
                <w:color w:val="auto"/>
              </w:rPr>
              <w:t>Certain Rights of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9080" w:type="dxa"/>
            <w:vAlign w:val="bottom"/>
          </w:tcPr>
          <w:p>
            <w:pPr>
              <w:ind w:left="340"/>
              <w:spacing w:after="0"/>
              <w:rPr>
                <w:sz w:val="20"/>
                <w:szCs w:val="20"/>
                <w:color w:val="auto"/>
              </w:rPr>
            </w:pPr>
            <w:r>
              <w:rPr>
                <w:rFonts w:ascii="Arial" w:cs="Arial" w:eastAsia="Arial" w:hAnsi="Arial"/>
                <w:sz w:val="18"/>
                <w:szCs w:val="18"/>
                <w:color w:val="auto"/>
              </w:rPr>
              <w:t>Not Responsible for Recitals or Issuance of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9080" w:type="dxa"/>
            <w:vAlign w:val="bottom"/>
          </w:tcPr>
          <w:p>
            <w:pPr>
              <w:ind w:left="340"/>
              <w:spacing w:after="0"/>
              <w:rPr>
                <w:sz w:val="20"/>
                <w:szCs w:val="20"/>
                <w:color w:val="auto"/>
              </w:rPr>
            </w:pPr>
            <w:r>
              <w:rPr>
                <w:rFonts w:ascii="Arial" w:cs="Arial" w:eastAsia="Arial" w:hAnsi="Arial"/>
                <w:sz w:val="18"/>
                <w:szCs w:val="18"/>
                <w:color w:val="auto"/>
              </w:rPr>
              <w:t>May Hold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9080" w:type="dxa"/>
            <w:vAlign w:val="bottom"/>
          </w:tcPr>
          <w:p>
            <w:pPr>
              <w:ind w:left="340"/>
              <w:spacing w:after="0"/>
              <w:rPr>
                <w:sz w:val="20"/>
                <w:szCs w:val="20"/>
                <w:color w:val="auto"/>
              </w:rPr>
            </w:pPr>
            <w:r>
              <w:rPr>
                <w:rFonts w:ascii="Arial" w:cs="Arial" w:eastAsia="Arial" w:hAnsi="Arial"/>
                <w:sz w:val="18"/>
                <w:szCs w:val="18"/>
                <w:color w:val="auto"/>
              </w:rPr>
              <w:t>Money Held in Trust</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9080" w:type="dxa"/>
            <w:vAlign w:val="bottom"/>
          </w:tcPr>
          <w:p>
            <w:pPr>
              <w:ind w:left="340"/>
              <w:spacing w:after="0"/>
              <w:rPr>
                <w:sz w:val="20"/>
                <w:szCs w:val="20"/>
                <w:color w:val="auto"/>
              </w:rPr>
            </w:pPr>
            <w:r>
              <w:rPr>
                <w:rFonts w:ascii="Arial" w:cs="Arial" w:eastAsia="Arial" w:hAnsi="Arial"/>
                <w:sz w:val="18"/>
                <w:szCs w:val="18"/>
                <w:color w:val="auto"/>
              </w:rPr>
              <w:t>Compensation and Reimbursement</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9080" w:type="dxa"/>
            <w:vAlign w:val="bottom"/>
          </w:tcPr>
          <w:p>
            <w:pPr>
              <w:ind w:left="340"/>
              <w:spacing w:after="0"/>
              <w:rPr>
                <w:sz w:val="20"/>
                <w:szCs w:val="20"/>
                <w:color w:val="auto"/>
              </w:rPr>
            </w:pPr>
            <w:r>
              <w:rPr>
                <w:rFonts w:ascii="Arial" w:cs="Arial" w:eastAsia="Arial" w:hAnsi="Arial"/>
                <w:sz w:val="18"/>
                <w:szCs w:val="18"/>
                <w:color w:val="auto"/>
              </w:rPr>
              <w:t>Corporate Trustee Required; Eligibility; Conflicting Interests</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9080" w:type="dxa"/>
            <w:vAlign w:val="bottom"/>
          </w:tcPr>
          <w:p>
            <w:pPr>
              <w:ind w:left="340"/>
              <w:spacing w:after="0"/>
              <w:rPr>
                <w:sz w:val="20"/>
                <w:szCs w:val="20"/>
                <w:color w:val="auto"/>
              </w:rPr>
            </w:pPr>
            <w:r>
              <w:rPr>
                <w:rFonts w:ascii="Arial" w:cs="Arial" w:eastAsia="Arial" w:hAnsi="Arial"/>
                <w:sz w:val="18"/>
                <w:szCs w:val="18"/>
                <w:color w:val="auto"/>
              </w:rPr>
              <w:t>Resignation and Removal; Appointment of Successor</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9080" w:type="dxa"/>
            <w:vAlign w:val="bottom"/>
          </w:tcPr>
          <w:p>
            <w:pPr>
              <w:ind w:left="340"/>
              <w:spacing w:after="0"/>
              <w:rPr>
                <w:sz w:val="20"/>
                <w:szCs w:val="20"/>
                <w:color w:val="auto"/>
              </w:rPr>
            </w:pPr>
            <w:r>
              <w:rPr>
                <w:rFonts w:ascii="Arial" w:cs="Arial" w:eastAsia="Arial" w:hAnsi="Arial"/>
                <w:sz w:val="18"/>
                <w:szCs w:val="18"/>
                <w:color w:val="auto"/>
              </w:rPr>
              <w:t>Acceptance of Appointment by Successor</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9080" w:type="dxa"/>
            <w:vAlign w:val="bottom"/>
          </w:tcPr>
          <w:p>
            <w:pPr>
              <w:ind w:left="340"/>
              <w:spacing w:after="0"/>
              <w:rPr>
                <w:sz w:val="20"/>
                <w:szCs w:val="20"/>
                <w:color w:val="auto"/>
              </w:rPr>
            </w:pPr>
            <w:r>
              <w:rPr>
                <w:rFonts w:ascii="Arial" w:cs="Arial" w:eastAsia="Arial" w:hAnsi="Arial"/>
                <w:sz w:val="18"/>
                <w:szCs w:val="18"/>
                <w:color w:val="auto"/>
              </w:rPr>
              <w:t>Merger, Conversion, Consolidation or Succession to Business</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9080" w:type="dxa"/>
            <w:vAlign w:val="bottom"/>
          </w:tcPr>
          <w:p>
            <w:pPr>
              <w:ind w:left="340"/>
              <w:spacing w:after="0"/>
              <w:rPr>
                <w:sz w:val="20"/>
                <w:szCs w:val="20"/>
                <w:color w:val="auto"/>
              </w:rPr>
            </w:pPr>
            <w:r>
              <w:rPr>
                <w:rFonts w:ascii="Arial" w:cs="Arial" w:eastAsia="Arial" w:hAnsi="Arial"/>
                <w:sz w:val="18"/>
                <w:szCs w:val="18"/>
                <w:color w:val="auto"/>
              </w:rPr>
              <w:t>Appointment of Authenticating Agent</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9080" w:type="dxa"/>
            <w:vAlign w:val="bottom"/>
          </w:tcPr>
          <w:p>
            <w:pPr>
              <w:ind w:left="340"/>
              <w:spacing w:after="0"/>
              <w:rPr>
                <w:sz w:val="20"/>
                <w:szCs w:val="20"/>
                <w:color w:val="auto"/>
              </w:rPr>
            </w:pPr>
            <w:r>
              <w:rPr>
                <w:rFonts w:ascii="Arial" w:cs="Arial" w:eastAsia="Arial" w:hAnsi="Arial"/>
                <w:sz w:val="18"/>
                <w:szCs w:val="18"/>
                <w:color w:val="auto"/>
              </w:rPr>
              <w:t>Certain Duties and Responsibilities of the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0900" w:type="dxa"/>
            <w:vAlign w:val="bottom"/>
            <w:gridSpan w:val="2"/>
          </w:tcPr>
          <w:p>
            <w:pPr>
              <w:spacing w:after="0"/>
              <w:rPr>
                <w:sz w:val="20"/>
                <w:szCs w:val="20"/>
                <w:color w:val="auto"/>
              </w:rPr>
            </w:pPr>
            <w:r>
              <w:rPr>
                <w:rFonts w:ascii="Arial" w:cs="Arial" w:eastAsia="Arial" w:hAnsi="Arial"/>
                <w:sz w:val="18"/>
                <w:szCs w:val="18"/>
                <w:color w:val="auto"/>
              </w:rPr>
              <w:t>ARTICLE SEVEN – HOLDERS’ LISTS AND REPORTS BY TRUSTEE AND COMPANY</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9080" w:type="dxa"/>
            <w:vAlign w:val="bottom"/>
          </w:tcPr>
          <w:p>
            <w:pPr>
              <w:ind w:left="340"/>
              <w:spacing w:after="0"/>
              <w:rPr>
                <w:sz w:val="20"/>
                <w:szCs w:val="20"/>
                <w:color w:val="auto"/>
              </w:rPr>
            </w:pPr>
            <w:r>
              <w:rPr>
                <w:rFonts w:ascii="Arial" w:cs="Arial" w:eastAsia="Arial" w:hAnsi="Arial"/>
                <w:sz w:val="18"/>
                <w:szCs w:val="18"/>
                <w:color w:val="auto"/>
              </w:rPr>
              <w:t>Disclosure of Names and Addresses of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9080" w:type="dxa"/>
            <w:vAlign w:val="bottom"/>
          </w:tcPr>
          <w:p>
            <w:pPr>
              <w:ind w:left="340"/>
              <w:spacing w:after="0"/>
              <w:rPr>
                <w:sz w:val="20"/>
                <w:szCs w:val="20"/>
                <w:color w:val="auto"/>
              </w:rPr>
            </w:pPr>
            <w:r>
              <w:rPr>
                <w:rFonts w:ascii="Arial" w:cs="Arial" w:eastAsia="Arial" w:hAnsi="Arial"/>
                <w:sz w:val="18"/>
                <w:szCs w:val="18"/>
                <w:color w:val="auto"/>
              </w:rPr>
              <w:t>Reports by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9080" w:type="dxa"/>
            <w:vAlign w:val="bottom"/>
          </w:tcPr>
          <w:p>
            <w:pPr>
              <w:ind w:left="340"/>
              <w:spacing w:after="0"/>
              <w:rPr>
                <w:sz w:val="20"/>
                <w:szCs w:val="20"/>
                <w:color w:val="auto"/>
              </w:rPr>
            </w:pPr>
            <w:r>
              <w:rPr>
                <w:rFonts w:ascii="Arial" w:cs="Arial" w:eastAsia="Arial" w:hAnsi="Arial"/>
                <w:sz w:val="18"/>
                <w:szCs w:val="18"/>
                <w:color w:val="auto"/>
              </w:rPr>
              <w:t>Reports by Company</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9080" w:type="dxa"/>
            <w:vAlign w:val="bottom"/>
          </w:tcPr>
          <w:p>
            <w:pPr>
              <w:ind w:left="340"/>
              <w:spacing w:after="0"/>
              <w:rPr>
                <w:sz w:val="20"/>
                <w:szCs w:val="20"/>
                <w:color w:val="auto"/>
              </w:rPr>
            </w:pPr>
            <w:r>
              <w:rPr>
                <w:rFonts w:ascii="Arial" w:cs="Arial" w:eastAsia="Arial" w:hAnsi="Arial"/>
                <w:sz w:val="18"/>
                <w:szCs w:val="18"/>
                <w:color w:val="auto"/>
              </w:rPr>
              <w:t>Company to Furnish Trustee Names and Addresses of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10900" w:type="dxa"/>
            <w:vAlign w:val="bottom"/>
            <w:gridSpan w:val="2"/>
          </w:tcPr>
          <w:p>
            <w:pPr>
              <w:spacing w:after="0"/>
              <w:rPr>
                <w:sz w:val="20"/>
                <w:szCs w:val="20"/>
                <w:color w:val="auto"/>
              </w:rPr>
            </w:pPr>
            <w:r>
              <w:rPr>
                <w:rFonts w:ascii="Arial" w:cs="Arial" w:eastAsia="Arial" w:hAnsi="Arial"/>
                <w:sz w:val="18"/>
                <w:szCs w:val="18"/>
                <w:color w:val="auto"/>
              </w:rPr>
              <w:t>ARTICLE EIGHT – CONSOLIDATION, MERGER, SALE, LEASE OR CONVEYANCE</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9080" w:type="dxa"/>
            <w:vAlign w:val="bottom"/>
          </w:tcPr>
          <w:p>
            <w:pPr>
              <w:ind w:left="340"/>
              <w:spacing w:after="0"/>
              <w:rPr>
                <w:sz w:val="20"/>
                <w:szCs w:val="20"/>
                <w:color w:val="auto"/>
              </w:rPr>
            </w:pPr>
            <w:r>
              <w:rPr>
                <w:rFonts w:ascii="Arial" w:cs="Arial" w:eastAsia="Arial" w:hAnsi="Arial"/>
                <w:sz w:val="18"/>
                <w:szCs w:val="18"/>
                <w:color w:val="auto"/>
                <w:w w:val="91"/>
              </w:rPr>
              <w:t>Consolidations and Mergers of Company and Sales, Leases and Conveyances Permitted Subject to Certain Conditions</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9080" w:type="dxa"/>
            <w:vAlign w:val="bottom"/>
          </w:tcPr>
          <w:p>
            <w:pPr>
              <w:ind w:left="340"/>
              <w:spacing w:after="0"/>
              <w:rPr>
                <w:sz w:val="20"/>
                <w:szCs w:val="20"/>
                <w:color w:val="auto"/>
              </w:rPr>
            </w:pPr>
            <w:r>
              <w:rPr>
                <w:rFonts w:ascii="Arial" w:cs="Arial" w:eastAsia="Arial" w:hAnsi="Arial"/>
                <w:sz w:val="18"/>
                <w:szCs w:val="18"/>
                <w:color w:val="auto"/>
              </w:rPr>
              <w:t>Rights and Duties of Successor Corporation</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9080" w:type="dxa"/>
            <w:vAlign w:val="bottom"/>
          </w:tcPr>
          <w:p>
            <w:pPr>
              <w:ind w:left="340"/>
              <w:spacing w:after="0"/>
              <w:rPr>
                <w:sz w:val="20"/>
                <w:szCs w:val="20"/>
                <w:color w:val="auto"/>
              </w:rPr>
            </w:pPr>
            <w:r>
              <w:rPr>
                <w:rFonts w:ascii="Arial" w:cs="Arial" w:eastAsia="Arial" w:hAnsi="Arial"/>
                <w:sz w:val="18"/>
                <w:szCs w:val="18"/>
                <w:color w:val="auto"/>
              </w:rPr>
              <w:t>Officers’ Certificate and Opinion of Counsel</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0900" w:type="dxa"/>
            <w:vAlign w:val="bottom"/>
            <w:gridSpan w:val="2"/>
          </w:tcPr>
          <w:p>
            <w:pPr>
              <w:spacing w:after="0"/>
              <w:rPr>
                <w:sz w:val="20"/>
                <w:szCs w:val="20"/>
                <w:color w:val="auto"/>
              </w:rPr>
            </w:pPr>
            <w:r>
              <w:rPr>
                <w:rFonts w:ascii="Arial" w:cs="Arial" w:eastAsia="Arial" w:hAnsi="Arial"/>
                <w:sz w:val="18"/>
                <w:szCs w:val="18"/>
                <w:color w:val="auto"/>
              </w:rPr>
              <w:t>ARTICLE NINE – SUPPLEMENTAL INDENTURES</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9080" w:type="dxa"/>
            <w:vAlign w:val="bottom"/>
          </w:tcPr>
          <w:p>
            <w:pPr>
              <w:ind w:left="340"/>
              <w:spacing w:after="0"/>
              <w:rPr>
                <w:sz w:val="20"/>
                <w:szCs w:val="20"/>
                <w:color w:val="auto"/>
              </w:rPr>
            </w:pPr>
            <w:r>
              <w:rPr>
                <w:rFonts w:ascii="Arial" w:cs="Arial" w:eastAsia="Arial" w:hAnsi="Arial"/>
                <w:sz w:val="18"/>
                <w:szCs w:val="18"/>
                <w:color w:val="auto"/>
              </w:rPr>
              <w:t>Supplemental Indentures Without Consent of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9080" w:type="dxa"/>
            <w:vAlign w:val="bottom"/>
          </w:tcPr>
          <w:p>
            <w:pPr>
              <w:ind w:left="340"/>
              <w:spacing w:after="0"/>
              <w:rPr>
                <w:sz w:val="20"/>
                <w:szCs w:val="20"/>
                <w:color w:val="auto"/>
              </w:rPr>
            </w:pPr>
            <w:r>
              <w:rPr>
                <w:rFonts w:ascii="Arial" w:cs="Arial" w:eastAsia="Arial" w:hAnsi="Arial"/>
                <w:sz w:val="18"/>
                <w:szCs w:val="18"/>
                <w:color w:val="auto"/>
              </w:rPr>
              <w:t>Supplemental Indentures with Consent of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9080" w:type="dxa"/>
            <w:vAlign w:val="bottom"/>
          </w:tcPr>
          <w:p>
            <w:pPr>
              <w:ind w:left="340"/>
              <w:spacing w:after="0"/>
              <w:rPr>
                <w:sz w:val="20"/>
                <w:szCs w:val="20"/>
                <w:color w:val="auto"/>
              </w:rPr>
            </w:pPr>
            <w:r>
              <w:rPr>
                <w:rFonts w:ascii="Arial" w:cs="Arial" w:eastAsia="Arial" w:hAnsi="Arial"/>
                <w:sz w:val="18"/>
                <w:szCs w:val="18"/>
                <w:color w:val="auto"/>
              </w:rPr>
              <w:t>Execution of Supplemental Indentures</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9080" w:type="dxa"/>
            <w:vAlign w:val="bottom"/>
          </w:tcPr>
          <w:p>
            <w:pPr>
              <w:ind w:left="340"/>
              <w:spacing w:after="0"/>
              <w:rPr>
                <w:sz w:val="20"/>
                <w:szCs w:val="20"/>
                <w:color w:val="auto"/>
              </w:rPr>
            </w:pPr>
            <w:r>
              <w:rPr>
                <w:rFonts w:ascii="Arial" w:cs="Arial" w:eastAsia="Arial" w:hAnsi="Arial"/>
                <w:sz w:val="18"/>
                <w:szCs w:val="18"/>
                <w:color w:val="auto"/>
              </w:rPr>
              <w:t>Effect of Supplemental Indentures</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905.</w:t>
            </w:r>
          </w:p>
        </w:tc>
        <w:tc>
          <w:tcPr>
            <w:tcW w:w="8340" w:type="dxa"/>
            <w:vAlign w:val="bottom"/>
          </w:tcPr>
          <w:p>
            <w:pPr>
              <w:ind w:left="240"/>
              <w:spacing w:after="0"/>
              <w:rPr>
                <w:sz w:val="20"/>
                <w:szCs w:val="20"/>
                <w:color w:val="auto"/>
              </w:rPr>
            </w:pPr>
            <w:r>
              <w:rPr>
                <w:rFonts w:ascii="Arial" w:cs="Arial" w:eastAsia="Arial" w:hAnsi="Arial"/>
                <w:sz w:val="18"/>
                <w:szCs w:val="18"/>
                <w:color w:val="auto"/>
              </w:rPr>
              <w:t>Conformity with Trust Indenture Act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920" w:type="dxa"/>
            <w:vAlign w:val="bottom"/>
          </w:tcPr>
          <w:p>
            <w:pPr>
              <w:ind w:left="460"/>
              <w:spacing w:after="0"/>
              <w:rPr>
                <w:sz w:val="20"/>
                <w:szCs w:val="20"/>
                <w:color w:val="auto"/>
              </w:rPr>
            </w:pPr>
            <w:r>
              <w:rPr>
                <w:rFonts w:ascii="Arial" w:cs="Arial" w:eastAsia="Arial" w:hAnsi="Arial"/>
                <w:sz w:val="18"/>
                <w:szCs w:val="18"/>
                <w:color w:val="auto"/>
              </w:rPr>
              <w:t>SECTION 906.</w:t>
            </w:r>
          </w:p>
        </w:tc>
        <w:tc>
          <w:tcPr>
            <w:tcW w:w="8340" w:type="dxa"/>
            <w:vAlign w:val="bottom"/>
          </w:tcPr>
          <w:p>
            <w:pPr>
              <w:ind w:left="240"/>
              <w:spacing w:after="0"/>
              <w:rPr>
                <w:sz w:val="20"/>
                <w:szCs w:val="20"/>
                <w:color w:val="auto"/>
              </w:rPr>
            </w:pPr>
            <w:r>
              <w:rPr>
                <w:rFonts w:ascii="Arial" w:cs="Arial" w:eastAsia="Arial" w:hAnsi="Arial"/>
                <w:sz w:val="18"/>
                <w:szCs w:val="18"/>
                <w:color w:val="auto"/>
              </w:rPr>
              <w:t>Reference in Securities to Supplemental Indentures</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TEN – COVENANTS</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1001.</w:t>
            </w:r>
          </w:p>
        </w:tc>
        <w:tc>
          <w:tcPr>
            <w:tcW w:w="8340" w:type="dxa"/>
            <w:vAlign w:val="bottom"/>
          </w:tcPr>
          <w:p>
            <w:pPr>
              <w:ind w:left="240"/>
              <w:spacing w:after="0"/>
              <w:rPr>
                <w:sz w:val="20"/>
                <w:szCs w:val="20"/>
                <w:color w:val="auto"/>
              </w:rPr>
            </w:pPr>
            <w:r>
              <w:rPr>
                <w:rFonts w:ascii="Arial" w:cs="Arial" w:eastAsia="Arial" w:hAnsi="Arial"/>
                <w:sz w:val="18"/>
                <w:szCs w:val="18"/>
                <w:color w:val="auto"/>
              </w:rPr>
              <w:t>Payment of Principal, Premium or Make-Whole Amount, if any; and Interest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1002.</w:t>
            </w:r>
          </w:p>
        </w:tc>
        <w:tc>
          <w:tcPr>
            <w:tcW w:w="8340" w:type="dxa"/>
            <w:vAlign w:val="bottom"/>
          </w:tcPr>
          <w:p>
            <w:pPr>
              <w:ind w:left="240"/>
              <w:spacing w:after="0"/>
              <w:rPr>
                <w:sz w:val="20"/>
                <w:szCs w:val="20"/>
                <w:color w:val="auto"/>
              </w:rPr>
            </w:pPr>
            <w:r>
              <w:rPr>
                <w:rFonts w:ascii="Arial" w:cs="Arial" w:eastAsia="Arial" w:hAnsi="Arial"/>
                <w:sz w:val="18"/>
                <w:szCs w:val="18"/>
                <w:color w:val="auto"/>
              </w:rPr>
              <w:t>Maintenance of Office or Agency</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1003.</w:t>
            </w:r>
          </w:p>
        </w:tc>
        <w:tc>
          <w:tcPr>
            <w:tcW w:w="8340" w:type="dxa"/>
            <w:vAlign w:val="bottom"/>
          </w:tcPr>
          <w:p>
            <w:pPr>
              <w:ind w:left="240"/>
              <w:spacing w:after="0"/>
              <w:rPr>
                <w:sz w:val="20"/>
                <w:szCs w:val="20"/>
                <w:color w:val="auto"/>
              </w:rPr>
            </w:pPr>
            <w:r>
              <w:rPr>
                <w:rFonts w:ascii="Arial" w:cs="Arial" w:eastAsia="Arial" w:hAnsi="Arial"/>
                <w:sz w:val="18"/>
                <w:szCs w:val="18"/>
                <w:color w:val="auto"/>
              </w:rPr>
              <w:t>Money for Securities Payments to Be Held in Trust</w:t>
            </w: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1004.</w:t>
            </w:r>
          </w:p>
        </w:tc>
        <w:tc>
          <w:tcPr>
            <w:tcW w:w="8340" w:type="dxa"/>
            <w:vAlign w:val="bottom"/>
          </w:tcPr>
          <w:p>
            <w:pPr>
              <w:ind w:left="240"/>
              <w:spacing w:after="0"/>
              <w:rPr>
                <w:sz w:val="20"/>
                <w:szCs w:val="20"/>
                <w:color w:val="auto"/>
              </w:rPr>
            </w:pPr>
            <w:r>
              <w:rPr>
                <w:rFonts w:ascii="Arial" w:cs="Arial" w:eastAsia="Arial" w:hAnsi="Arial"/>
                <w:sz w:val="18"/>
                <w:szCs w:val="18"/>
                <w:color w:val="auto"/>
              </w:rPr>
              <w:t>Existence</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1005.</w:t>
            </w:r>
          </w:p>
        </w:tc>
        <w:tc>
          <w:tcPr>
            <w:tcW w:w="834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1006.</w:t>
            </w:r>
          </w:p>
        </w:tc>
        <w:tc>
          <w:tcPr>
            <w:tcW w:w="834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1007.</w:t>
            </w:r>
          </w:p>
        </w:tc>
        <w:tc>
          <w:tcPr>
            <w:tcW w:w="8340" w:type="dxa"/>
            <w:vAlign w:val="bottom"/>
          </w:tcPr>
          <w:p>
            <w:pPr>
              <w:ind w:left="240"/>
              <w:spacing w:after="0"/>
              <w:rPr>
                <w:sz w:val="20"/>
                <w:szCs w:val="20"/>
                <w:color w:val="auto"/>
              </w:rPr>
            </w:pPr>
            <w:r>
              <w:rPr>
                <w:rFonts w:ascii="Arial" w:cs="Arial" w:eastAsia="Arial" w:hAnsi="Arial"/>
                <w:sz w:val="18"/>
                <w:szCs w:val="18"/>
                <w:color w:val="auto"/>
              </w:rPr>
              <w:t>Payment of Taxes and Other Claims</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1008.</w:t>
            </w:r>
          </w:p>
        </w:tc>
        <w:tc>
          <w:tcPr>
            <w:tcW w:w="8340" w:type="dxa"/>
            <w:vAlign w:val="bottom"/>
          </w:tcPr>
          <w:p>
            <w:pPr>
              <w:ind w:left="240"/>
              <w:spacing w:after="0"/>
              <w:rPr>
                <w:sz w:val="20"/>
                <w:szCs w:val="20"/>
                <w:color w:val="auto"/>
              </w:rPr>
            </w:pPr>
            <w:r>
              <w:rPr>
                <w:rFonts w:ascii="Arial" w:cs="Arial" w:eastAsia="Arial" w:hAnsi="Arial"/>
                <w:sz w:val="18"/>
                <w:szCs w:val="18"/>
                <w:color w:val="auto"/>
              </w:rPr>
              <w:t>Statement as to Compliance</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920" w:type="dxa"/>
            <w:vAlign w:val="bottom"/>
          </w:tcPr>
          <w:p>
            <w:pPr>
              <w:ind w:left="460"/>
              <w:spacing w:after="0"/>
              <w:rPr>
                <w:sz w:val="20"/>
                <w:szCs w:val="20"/>
                <w:color w:val="auto"/>
              </w:rPr>
            </w:pPr>
            <w:r>
              <w:rPr>
                <w:rFonts w:ascii="Arial" w:cs="Arial" w:eastAsia="Arial" w:hAnsi="Arial"/>
                <w:sz w:val="18"/>
                <w:szCs w:val="18"/>
                <w:color w:val="auto"/>
              </w:rPr>
              <w:t>SECTION 1009.</w:t>
            </w:r>
          </w:p>
        </w:tc>
        <w:tc>
          <w:tcPr>
            <w:tcW w:w="8340" w:type="dxa"/>
            <w:vAlign w:val="bottom"/>
          </w:tcPr>
          <w:p>
            <w:pPr>
              <w:ind w:left="240"/>
              <w:spacing w:after="0"/>
              <w:rPr>
                <w:sz w:val="20"/>
                <w:szCs w:val="20"/>
                <w:color w:val="auto"/>
              </w:rPr>
            </w:pPr>
            <w:r>
              <w:rPr>
                <w:rFonts w:ascii="Arial" w:cs="Arial" w:eastAsia="Arial" w:hAnsi="Arial"/>
                <w:sz w:val="18"/>
                <w:szCs w:val="18"/>
                <w:color w:val="auto"/>
              </w:rPr>
              <w:t>Waiver of Certain Covenants</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ELEVEN – REDEMPTION OF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1101.</w:t>
            </w:r>
          </w:p>
        </w:tc>
        <w:tc>
          <w:tcPr>
            <w:tcW w:w="834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1102.</w:t>
            </w:r>
          </w:p>
        </w:tc>
        <w:tc>
          <w:tcPr>
            <w:tcW w:w="8340" w:type="dxa"/>
            <w:vAlign w:val="bottom"/>
          </w:tcPr>
          <w:p>
            <w:pPr>
              <w:ind w:left="240"/>
              <w:spacing w:after="0"/>
              <w:rPr>
                <w:sz w:val="20"/>
                <w:szCs w:val="20"/>
                <w:color w:val="auto"/>
              </w:rPr>
            </w:pPr>
            <w:r>
              <w:rPr>
                <w:rFonts w:ascii="Arial" w:cs="Arial" w:eastAsia="Arial" w:hAnsi="Arial"/>
                <w:sz w:val="18"/>
                <w:szCs w:val="18"/>
                <w:color w:val="auto"/>
              </w:rPr>
              <w:t>Election to Redeem; Notice to Trustee</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1103.</w:t>
            </w:r>
          </w:p>
        </w:tc>
        <w:tc>
          <w:tcPr>
            <w:tcW w:w="8340" w:type="dxa"/>
            <w:vAlign w:val="bottom"/>
          </w:tcPr>
          <w:p>
            <w:pPr>
              <w:ind w:left="240"/>
              <w:spacing w:after="0"/>
              <w:rPr>
                <w:sz w:val="20"/>
                <w:szCs w:val="20"/>
                <w:color w:val="auto"/>
              </w:rPr>
            </w:pPr>
            <w:r>
              <w:rPr>
                <w:rFonts w:ascii="Arial" w:cs="Arial" w:eastAsia="Arial" w:hAnsi="Arial"/>
                <w:sz w:val="18"/>
                <w:szCs w:val="18"/>
                <w:color w:val="auto"/>
              </w:rPr>
              <w:t>Selection by Trustee of Securities to Be Redeemed</w:t>
            </w: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1104.</w:t>
            </w:r>
          </w:p>
        </w:tc>
        <w:tc>
          <w:tcPr>
            <w:tcW w:w="8340" w:type="dxa"/>
            <w:vAlign w:val="bottom"/>
          </w:tcPr>
          <w:p>
            <w:pPr>
              <w:ind w:left="240"/>
              <w:spacing w:after="0"/>
              <w:rPr>
                <w:sz w:val="20"/>
                <w:szCs w:val="20"/>
                <w:color w:val="auto"/>
              </w:rPr>
            </w:pPr>
            <w:r>
              <w:rPr>
                <w:rFonts w:ascii="Arial" w:cs="Arial" w:eastAsia="Arial" w:hAnsi="Arial"/>
                <w:sz w:val="18"/>
                <w:szCs w:val="18"/>
                <w:color w:val="auto"/>
              </w:rPr>
              <w:t>Notice of Redemption</w:t>
            </w: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1105.</w:t>
            </w:r>
          </w:p>
        </w:tc>
        <w:tc>
          <w:tcPr>
            <w:tcW w:w="8340" w:type="dxa"/>
            <w:vAlign w:val="bottom"/>
          </w:tcPr>
          <w:p>
            <w:pPr>
              <w:ind w:left="240"/>
              <w:spacing w:after="0"/>
              <w:rPr>
                <w:sz w:val="20"/>
                <w:szCs w:val="20"/>
                <w:color w:val="auto"/>
              </w:rPr>
            </w:pPr>
            <w:r>
              <w:rPr>
                <w:rFonts w:ascii="Arial" w:cs="Arial" w:eastAsia="Arial" w:hAnsi="Arial"/>
                <w:sz w:val="18"/>
                <w:szCs w:val="18"/>
                <w:color w:val="auto"/>
              </w:rPr>
              <w:t>Deposit of Redemption Price</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1106.</w:t>
            </w:r>
          </w:p>
        </w:tc>
        <w:tc>
          <w:tcPr>
            <w:tcW w:w="8340" w:type="dxa"/>
            <w:vAlign w:val="bottom"/>
          </w:tcPr>
          <w:p>
            <w:pPr>
              <w:ind w:left="240"/>
              <w:spacing w:after="0"/>
              <w:rPr>
                <w:sz w:val="20"/>
                <w:szCs w:val="20"/>
                <w:color w:val="auto"/>
              </w:rPr>
            </w:pPr>
            <w:r>
              <w:rPr>
                <w:rFonts w:ascii="Arial" w:cs="Arial" w:eastAsia="Arial" w:hAnsi="Arial"/>
                <w:sz w:val="18"/>
                <w:szCs w:val="18"/>
                <w:color w:val="auto"/>
              </w:rPr>
              <w:t>Securities Payable on Redemption Date</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920" w:type="dxa"/>
            <w:vAlign w:val="bottom"/>
          </w:tcPr>
          <w:p>
            <w:pPr>
              <w:ind w:left="460"/>
              <w:spacing w:after="0"/>
              <w:rPr>
                <w:sz w:val="20"/>
                <w:szCs w:val="20"/>
                <w:color w:val="auto"/>
              </w:rPr>
            </w:pPr>
            <w:r>
              <w:rPr>
                <w:rFonts w:ascii="Arial" w:cs="Arial" w:eastAsia="Arial" w:hAnsi="Arial"/>
                <w:sz w:val="18"/>
                <w:szCs w:val="18"/>
                <w:color w:val="auto"/>
              </w:rPr>
              <w:t>SECTION 1107.</w:t>
            </w:r>
          </w:p>
        </w:tc>
        <w:tc>
          <w:tcPr>
            <w:tcW w:w="8340" w:type="dxa"/>
            <w:vAlign w:val="bottom"/>
          </w:tcPr>
          <w:p>
            <w:pPr>
              <w:ind w:left="240"/>
              <w:spacing w:after="0"/>
              <w:rPr>
                <w:sz w:val="20"/>
                <w:szCs w:val="20"/>
                <w:color w:val="auto"/>
              </w:rPr>
            </w:pPr>
            <w:r>
              <w:rPr>
                <w:rFonts w:ascii="Arial" w:cs="Arial" w:eastAsia="Arial" w:hAnsi="Arial"/>
                <w:sz w:val="18"/>
                <w:szCs w:val="18"/>
                <w:color w:val="auto"/>
              </w:rPr>
              <w:t>Securities Redeemed in Part</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TWELVE – SINKING FUNDS</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1201.</w:t>
            </w:r>
          </w:p>
        </w:tc>
        <w:tc>
          <w:tcPr>
            <w:tcW w:w="834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1202.</w:t>
            </w:r>
          </w:p>
        </w:tc>
        <w:tc>
          <w:tcPr>
            <w:tcW w:w="8340" w:type="dxa"/>
            <w:vAlign w:val="bottom"/>
          </w:tcPr>
          <w:p>
            <w:pPr>
              <w:ind w:left="240"/>
              <w:spacing w:after="0"/>
              <w:rPr>
                <w:sz w:val="20"/>
                <w:szCs w:val="20"/>
                <w:color w:val="auto"/>
              </w:rPr>
            </w:pPr>
            <w:r>
              <w:rPr>
                <w:rFonts w:ascii="Arial" w:cs="Arial" w:eastAsia="Arial" w:hAnsi="Arial"/>
                <w:sz w:val="18"/>
                <w:szCs w:val="18"/>
                <w:color w:val="auto"/>
              </w:rPr>
              <w:t>Satisfaction of Sinking Fund Payments with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920" w:type="dxa"/>
            <w:vAlign w:val="bottom"/>
          </w:tcPr>
          <w:p>
            <w:pPr>
              <w:ind w:left="460"/>
              <w:spacing w:after="0"/>
              <w:rPr>
                <w:sz w:val="20"/>
                <w:szCs w:val="20"/>
                <w:color w:val="auto"/>
              </w:rPr>
            </w:pPr>
            <w:r>
              <w:rPr>
                <w:rFonts w:ascii="Arial" w:cs="Arial" w:eastAsia="Arial" w:hAnsi="Arial"/>
                <w:sz w:val="18"/>
                <w:szCs w:val="18"/>
                <w:color w:val="auto"/>
              </w:rPr>
              <w:t>SECTION 1203.</w:t>
            </w:r>
          </w:p>
        </w:tc>
        <w:tc>
          <w:tcPr>
            <w:tcW w:w="8340" w:type="dxa"/>
            <w:vAlign w:val="bottom"/>
          </w:tcPr>
          <w:p>
            <w:pPr>
              <w:ind w:left="240"/>
              <w:spacing w:after="0"/>
              <w:rPr>
                <w:sz w:val="20"/>
                <w:szCs w:val="20"/>
                <w:color w:val="auto"/>
              </w:rPr>
            </w:pPr>
            <w:r>
              <w:rPr>
                <w:rFonts w:ascii="Arial" w:cs="Arial" w:eastAsia="Arial" w:hAnsi="Arial"/>
                <w:sz w:val="18"/>
                <w:szCs w:val="18"/>
                <w:color w:val="auto"/>
              </w:rPr>
              <w:t>Redemption of Securities for Sinking Fund</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THIRTEEN – REPAYMENT AT THE OPTION OF HOLDERS</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1301.</w:t>
            </w:r>
          </w:p>
        </w:tc>
        <w:tc>
          <w:tcPr>
            <w:tcW w:w="834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1302.</w:t>
            </w:r>
          </w:p>
        </w:tc>
        <w:tc>
          <w:tcPr>
            <w:tcW w:w="8340" w:type="dxa"/>
            <w:vAlign w:val="bottom"/>
          </w:tcPr>
          <w:p>
            <w:pPr>
              <w:ind w:left="240"/>
              <w:spacing w:after="0"/>
              <w:rPr>
                <w:sz w:val="20"/>
                <w:szCs w:val="20"/>
                <w:color w:val="auto"/>
              </w:rPr>
            </w:pPr>
            <w:r>
              <w:rPr>
                <w:rFonts w:ascii="Arial" w:cs="Arial" w:eastAsia="Arial" w:hAnsi="Arial"/>
                <w:sz w:val="18"/>
                <w:szCs w:val="18"/>
                <w:color w:val="auto"/>
              </w:rPr>
              <w:t>Repayment of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1303.</w:t>
            </w:r>
          </w:p>
        </w:tc>
        <w:tc>
          <w:tcPr>
            <w:tcW w:w="8340" w:type="dxa"/>
            <w:vAlign w:val="bottom"/>
          </w:tcPr>
          <w:p>
            <w:pPr>
              <w:ind w:left="240"/>
              <w:spacing w:after="0"/>
              <w:rPr>
                <w:sz w:val="20"/>
                <w:szCs w:val="20"/>
                <w:color w:val="auto"/>
              </w:rPr>
            </w:pPr>
            <w:r>
              <w:rPr>
                <w:rFonts w:ascii="Arial" w:cs="Arial" w:eastAsia="Arial" w:hAnsi="Arial"/>
                <w:sz w:val="18"/>
                <w:szCs w:val="18"/>
                <w:color w:val="auto"/>
              </w:rPr>
              <w:t>Exercise of Option</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1304.</w:t>
            </w:r>
          </w:p>
        </w:tc>
        <w:tc>
          <w:tcPr>
            <w:tcW w:w="8340" w:type="dxa"/>
            <w:vAlign w:val="bottom"/>
          </w:tcPr>
          <w:p>
            <w:pPr>
              <w:ind w:left="240"/>
              <w:spacing w:after="0"/>
              <w:rPr>
                <w:sz w:val="20"/>
                <w:szCs w:val="20"/>
                <w:color w:val="auto"/>
              </w:rPr>
            </w:pPr>
            <w:r>
              <w:rPr>
                <w:rFonts w:ascii="Arial" w:cs="Arial" w:eastAsia="Arial" w:hAnsi="Arial"/>
                <w:sz w:val="18"/>
                <w:szCs w:val="18"/>
                <w:color w:val="auto"/>
              </w:rPr>
              <w:t>When Securities Presented for Repayment Become Due and Payable</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920" w:type="dxa"/>
            <w:vAlign w:val="bottom"/>
          </w:tcPr>
          <w:p>
            <w:pPr>
              <w:ind w:left="460"/>
              <w:spacing w:after="0"/>
              <w:rPr>
                <w:sz w:val="20"/>
                <w:szCs w:val="20"/>
                <w:color w:val="auto"/>
              </w:rPr>
            </w:pPr>
            <w:r>
              <w:rPr>
                <w:rFonts w:ascii="Arial" w:cs="Arial" w:eastAsia="Arial" w:hAnsi="Arial"/>
                <w:sz w:val="18"/>
                <w:szCs w:val="18"/>
                <w:color w:val="auto"/>
              </w:rPr>
              <w:t>SECTION 1305.</w:t>
            </w:r>
          </w:p>
        </w:tc>
        <w:tc>
          <w:tcPr>
            <w:tcW w:w="8340" w:type="dxa"/>
            <w:vAlign w:val="bottom"/>
          </w:tcPr>
          <w:p>
            <w:pPr>
              <w:ind w:left="240"/>
              <w:spacing w:after="0"/>
              <w:rPr>
                <w:sz w:val="20"/>
                <w:szCs w:val="20"/>
                <w:color w:val="auto"/>
              </w:rPr>
            </w:pPr>
            <w:r>
              <w:rPr>
                <w:rFonts w:ascii="Arial" w:cs="Arial" w:eastAsia="Arial" w:hAnsi="Arial"/>
                <w:sz w:val="18"/>
                <w:szCs w:val="18"/>
                <w:color w:val="auto"/>
              </w:rPr>
              <w:t>Securities Repaid in Part</w:t>
            </w: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FOURTEEN – DEFEASANCE AND COVENANT DEFEASANCE</w:t>
            </w: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1401.</w:t>
            </w:r>
          </w:p>
        </w:tc>
        <w:tc>
          <w:tcPr>
            <w:tcW w:w="8340" w:type="dxa"/>
            <w:vAlign w:val="bottom"/>
          </w:tcPr>
          <w:p>
            <w:pPr>
              <w:ind w:left="24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1402.</w:t>
            </w:r>
          </w:p>
        </w:tc>
        <w:tc>
          <w:tcPr>
            <w:tcW w:w="8340" w:type="dxa"/>
            <w:vAlign w:val="bottom"/>
          </w:tcPr>
          <w:p>
            <w:pPr>
              <w:ind w:left="240"/>
              <w:spacing w:after="0"/>
              <w:rPr>
                <w:sz w:val="20"/>
                <w:szCs w:val="20"/>
                <w:color w:val="auto"/>
              </w:rPr>
            </w:pPr>
            <w:r>
              <w:rPr>
                <w:rFonts w:ascii="Arial" w:cs="Arial" w:eastAsia="Arial" w:hAnsi="Arial"/>
                <w:sz w:val="18"/>
                <w:szCs w:val="18"/>
                <w:color w:val="auto"/>
              </w:rPr>
              <w:t>Defeasance and Discharge</w:t>
            </w: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1403.</w:t>
            </w:r>
          </w:p>
        </w:tc>
        <w:tc>
          <w:tcPr>
            <w:tcW w:w="8340" w:type="dxa"/>
            <w:vAlign w:val="bottom"/>
          </w:tcPr>
          <w:p>
            <w:pPr>
              <w:ind w:left="240"/>
              <w:spacing w:after="0"/>
              <w:rPr>
                <w:sz w:val="20"/>
                <w:szCs w:val="20"/>
                <w:color w:val="auto"/>
              </w:rPr>
            </w:pPr>
            <w:r>
              <w:rPr>
                <w:rFonts w:ascii="Arial" w:cs="Arial" w:eastAsia="Arial" w:hAnsi="Arial"/>
                <w:sz w:val="18"/>
                <w:szCs w:val="18"/>
                <w:color w:val="auto"/>
              </w:rPr>
              <w:t>Covenant Defeasance</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920" w:type="dxa"/>
            <w:vAlign w:val="bottom"/>
          </w:tcPr>
          <w:p>
            <w:pPr>
              <w:ind w:left="460"/>
              <w:spacing w:after="0"/>
              <w:rPr>
                <w:sz w:val="20"/>
                <w:szCs w:val="20"/>
                <w:color w:val="auto"/>
              </w:rPr>
            </w:pPr>
            <w:r>
              <w:rPr>
                <w:rFonts w:ascii="Arial" w:cs="Arial" w:eastAsia="Arial" w:hAnsi="Arial"/>
                <w:sz w:val="18"/>
                <w:szCs w:val="18"/>
                <w:color w:val="auto"/>
              </w:rPr>
              <w:t>SECTION 1404.</w:t>
            </w:r>
          </w:p>
        </w:tc>
        <w:tc>
          <w:tcPr>
            <w:tcW w:w="8340" w:type="dxa"/>
            <w:vAlign w:val="bottom"/>
          </w:tcPr>
          <w:p>
            <w:pPr>
              <w:ind w:left="240"/>
              <w:spacing w:after="0"/>
              <w:rPr>
                <w:sz w:val="20"/>
                <w:szCs w:val="20"/>
                <w:color w:val="auto"/>
              </w:rPr>
            </w:pPr>
            <w:r>
              <w:rPr>
                <w:rFonts w:ascii="Arial" w:cs="Arial" w:eastAsia="Arial" w:hAnsi="Arial"/>
                <w:sz w:val="18"/>
                <w:szCs w:val="18"/>
                <w:color w:val="auto"/>
              </w:rPr>
              <w:t>Conditions to Defeasance or Covenant Defeasance</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920" w:type="dxa"/>
            <w:vAlign w:val="bottom"/>
          </w:tcPr>
          <w:p>
            <w:pPr>
              <w:ind w:left="460"/>
              <w:spacing w:after="0"/>
              <w:rPr>
                <w:sz w:val="20"/>
                <w:szCs w:val="20"/>
                <w:color w:val="auto"/>
              </w:rPr>
            </w:pPr>
            <w:r>
              <w:rPr>
                <w:rFonts w:ascii="Arial" w:cs="Arial" w:eastAsia="Arial" w:hAnsi="Arial"/>
                <w:sz w:val="18"/>
                <w:szCs w:val="18"/>
                <w:color w:val="auto"/>
              </w:rPr>
              <w:t>SECTION 1405.</w:t>
            </w:r>
          </w:p>
        </w:tc>
        <w:tc>
          <w:tcPr>
            <w:tcW w:w="8340" w:type="dxa"/>
            <w:vAlign w:val="bottom"/>
          </w:tcPr>
          <w:p>
            <w:pPr>
              <w:ind w:left="24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FIFTEEN – MEETINGS OF HOLDERS OF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920" w:type="dxa"/>
            <w:vAlign w:val="bottom"/>
          </w:tcPr>
          <w:p>
            <w:pPr>
              <w:ind w:left="460"/>
              <w:spacing w:after="0"/>
              <w:rPr>
                <w:sz w:val="20"/>
                <w:szCs w:val="20"/>
                <w:color w:val="auto"/>
              </w:rPr>
            </w:pPr>
            <w:r>
              <w:rPr>
                <w:rFonts w:ascii="Arial" w:cs="Arial" w:eastAsia="Arial" w:hAnsi="Arial"/>
                <w:sz w:val="18"/>
                <w:szCs w:val="18"/>
                <w:color w:val="auto"/>
              </w:rPr>
              <w:t>SECTION 1501.</w:t>
            </w:r>
          </w:p>
        </w:tc>
        <w:tc>
          <w:tcPr>
            <w:tcW w:w="8340" w:type="dxa"/>
            <w:vAlign w:val="bottom"/>
          </w:tcPr>
          <w:p>
            <w:pPr>
              <w:ind w:left="240"/>
              <w:spacing w:after="0"/>
              <w:rPr>
                <w:sz w:val="20"/>
                <w:szCs w:val="20"/>
                <w:color w:val="auto"/>
              </w:rPr>
            </w:pPr>
            <w:r>
              <w:rPr>
                <w:rFonts w:ascii="Arial" w:cs="Arial" w:eastAsia="Arial" w:hAnsi="Arial"/>
                <w:sz w:val="18"/>
                <w:szCs w:val="18"/>
                <w:color w:val="auto"/>
              </w:rPr>
              <w:t>Purposes for Which Meetings May Be Called</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7820" w:type="dxa"/>
            <w:vAlign w:val="bottom"/>
          </w:tcPr>
          <w:p>
            <w:pPr>
              <w:ind w:left="280"/>
              <w:spacing w:after="0"/>
              <w:rPr>
                <w:sz w:val="20"/>
                <w:szCs w:val="20"/>
                <w:color w:val="auto"/>
              </w:rPr>
            </w:pPr>
            <w:r>
              <w:rPr>
                <w:rFonts w:ascii="Arial" w:cs="Arial" w:eastAsia="Arial" w:hAnsi="Arial"/>
                <w:sz w:val="18"/>
                <w:szCs w:val="18"/>
                <w:color w:val="auto"/>
              </w:rPr>
              <w:t>Call, Notice and Place of Meetings</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7820" w:type="dxa"/>
            <w:vAlign w:val="bottom"/>
          </w:tcPr>
          <w:p>
            <w:pPr>
              <w:ind w:left="280"/>
              <w:spacing w:after="0"/>
              <w:rPr>
                <w:sz w:val="20"/>
                <w:szCs w:val="20"/>
                <w:color w:val="auto"/>
              </w:rPr>
            </w:pPr>
            <w:r>
              <w:rPr>
                <w:rFonts w:ascii="Arial" w:cs="Arial" w:eastAsia="Arial" w:hAnsi="Arial"/>
                <w:sz w:val="18"/>
                <w:szCs w:val="18"/>
                <w:color w:val="auto"/>
              </w:rPr>
              <w:t>Persons Entitled to Vote at Meetings</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7820" w:type="dxa"/>
            <w:vAlign w:val="bottom"/>
          </w:tcPr>
          <w:p>
            <w:pPr>
              <w:ind w:left="280"/>
              <w:spacing w:after="0"/>
              <w:rPr>
                <w:sz w:val="20"/>
                <w:szCs w:val="20"/>
                <w:color w:val="auto"/>
              </w:rPr>
            </w:pPr>
            <w:r>
              <w:rPr>
                <w:rFonts w:ascii="Arial" w:cs="Arial" w:eastAsia="Arial" w:hAnsi="Arial"/>
                <w:sz w:val="18"/>
                <w:szCs w:val="18"/>
                <w:color w:val="auto"/>
              </w:rPr>
              <w:t>Quorum; Action</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7820" w:type="dxa"/>
            <w:vAlign w:val="bottom"/>
          </w:tcPr>
          <w:p>
            <w:pPr>
              <w:ind w:left="28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86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7820" w:type="dxa"/>
            <w:vAlign w:val="bottom"/>
          </w:tcPr>
          <w:p>
            <w:pPr>
              <w:ind w:left="280"/>
              <w:spacing w:after="0"/>
              <w:rPr>
                <w:sz w:val="20"/>
                <w:szCs w:val="20"/>
                <w:color w:val="auto"/>
              </w:rPr>
            </w:pPr>
            <w:r>
              <w:rPr>
                <w:rFonts w:ascii="Arial" w:cs="Arial" w:eastAsia="Arial" w:hAnsi="Arial"/>
                <w:sz w:val="18"/>
                <w:szCs w:val="18"/>
                <w:color w:val="auto"/>
              </w:rPr>
              <w:t>Counting Votes and Recording Action of Meetings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9680" w:type="dxa"/>
            <w:vAlign w:val="bottom"/>
            <w:gridSpan w:val="2"/>
          </w:tcPr>
          <w:p>
            <w:pPr>
              <w:spacing w:after="0"/>
              <w:rPr>
                <w:sz w:val="20"/>
                <w:szCs w:val="20"/>
                <w:color w:val="auto"/>
              </w:rPr>
            </w:pPr>
            <w:r>
              <w:rPr>
                <w:rFonts w:ascii="Arial" w:cs="Arial" w:eastAsia="Arial" w:hAnsi="Arial"/>
                <w:sz w:val="18"/>
                <w:szCs w:val="18"/>
                <w:color w:val="auto"/>
              </w:rPr>
              <w:t>ARTICLE SIXTEEN – CONVERSION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1601.</w:t>
            </w:r>
          </w:p>
        </w:tc>
        <w:tc>
          <w:tcPr>
            <w:tcW w:w="7820" w:type="dxa"/>
            <w:vAlign w:val="bottom"/>
          </w:tcPr>
          <w:p>
            <w:pPr>
              <w:ind w:left="280"/>
              <w:spacing w:after="0"/>
              <w:rPr>
                <w:sz w:val="20"/>
                <w:szCs w:val="20"/>
                <w:color w:val="auto"/>
              </w:rPr>
            </w:pPr>
            <w:r>
              <w:rPr>
                <w:rFonts w:ascii="Arial" w:cs="Arial" w:eastAsia="Arial" w:hAnsi="Arial"/>
                <w:sz w:val="18"/>
                <w:szCs w:val="18"/>
                <w:color w:val="auto"/>
              </w:rPr>
              <w:t>Applicability of Article; Conversion Privilege and Conversion Price</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1602.</w:t>
            </w:r>
          </w:p>
        </w:tc>
        <w:tc>
          <w:tcPr>
            <w:tcW w:w="7820" w:type="dxa"/>
            <w:vAlign w:val="bottom"/>
          </w:tcPr>
          <w:p>
            <w:pPr>
              <w:ind w:left="280"/>
              <w:spacing w:after="0"/>
              <w:rPr>
                <w:sz w:val="20"/>
                <w:szCs w:val="20"/>
                <w:color w:val="auto"/>
              </w:rPr>
            </w:pPr>
            <w:r>
              <w:rPr>
                <w:rFonts w:ascii="Arial" w:cs="Arial" w:eastAsia="Arial" w:hAnsi="Arial"/>
                <w:sz w:val="18"/>
                <w:szCs w:val="18"/>
                <w:color w:val="auto"/>
              </w:rPr>
              <w:t>Exercise of Conversion Privilege</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1603.</w:t>
            </w:r>
          </w:p>
        </w:tc>
        <w:tc>
          <w:tcPr>
            <w:tcW w:w="7820" w:type="dxa"/>
            <w:vAlign w:val="bottom"/>
          </w:tcPr>
          <w:p>
            <w:pPr>
              <w:ind w:left="280"/>
              <w:spacing w:after="0"/>
              <w:rPr>
                <w:sz w:val="20"/>
                <w:szCs w:val="20"/>
                <w:color w:val="auto"/>
              </w:rPr>
            </w:pPr>
            <w:r>
              <w:rPr>
                <w:rFonts w:ascii="Arial" w:cs="Arial" w:eastAsia="Arial" w:hAnsi="Arial"/>
                <w:sz w:val="18"/>
                <w:szCs w:val="18"/>
                <w:color w:val="auto"/>
              </w:rPr>
              <w:t>Fractions of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1604.</w:t>
            </w:r>
          </w:p>
        </w:tc>
        <w:tc>
          <w:tcPr>
            <w:tcW w:w="7820" w:type="dxa"/>
            <w:vAlign w:val="bottom"/>
          </w:tcPr>
          <w:p>
            <w:pPr>
              <w:ind w:left="280"/>
              <w:spacing w:after="0"/>
              <w:rPr>
                <w:sz w:val="20"/>
                <w:szCs w:val="20"/>
                <w:color w:val="auto"/>
              </w:rPr>
            </w:pPr>
            <w:r>
              <w:rPr>
                <w:rFonts w:ascii="Arial" w:cs="Arial" w:eastAsia="Arial" w:hAnsi="Arial"/>
                <w:sz w:val="18"/>
                <w:szCs w:val="18"/>
                <w:color w:val="auto"/>
              </w:rPr>
              <w:t>Adjustment of Conversion Price</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1605.</w:t>
            </w:r>
          </w:p>
        </w:tc>
        <w:tc>
          <w:tcPr>
            <w:tcW w:w="7820" w:type="dxa"/>
            <w:vAlign w:val="bottom"/>
          </w:tcPr>
          <w:p>
            <w:pPr>
              <w:ind w:left="280"/>
              <w:spacing w:after="0"/>
              <w:rPr>
                <w:sz w:val="20"/>
                <w:szCs w:val="20"/>
                <w:color w:val="auto"/>
              </w:rPr>
            </w:pPr>
            <w:r>
              <w:rPr>
                <w:rFonts w:ascii="Arial" w:cs="Arial" w:eastAsia="Arial" w:hAnsi="Arial"/>
                <w:sz w:val="18"/>
                <w:szCs w:val="18"/>
                <w:color w:val="auto"/>
              </w:rPr>
              <w:t>Notice of Adjustments of Conversion Price</w:t>
            </w: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1606.</w:t>
            </w:r>
          </w:p>
        </w:tc>
        <w:tc>
          <w:tcPr>
            <w:tcW w:w="7820" w:type="dxa"/>
            <w:vAlign w:val="bottom"/>
          </w:tcPr>
          <w:p>
            <w:pPr>
              <w:ind w:left="280"/>
              <w:spacing w:after="0"/>
              <w:rPr>
                <w:sz w:val="20"/>
                <w:szCs w:val="20"/>
                <w:color w:val="auto"/>
              </w:rPr>
            </w:pPr>
            <w:r>
              <w:rPr>
                <w:rFonts w:ascii="Arial" w:cs="Arial" w:eastAsia="Arial" w:hAnsi="Arial"/>
                <w:sz w:val="18"/>
                <w:szCs w:val="18"/>
                <w:color w:val="auto"/>
              </w:rPr>
              <w:t>Notice of Certain Corporate Action</w:t>
            </w: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1607.</w:t>
            </w:r>
          </w:p>
        </w:tc>
        <w:tc>
          <w:tcPr>
            <w:tcW w:w="7820" w:type="dxa"/>
            <w:vAlign w:val="bottom"/>
          </w:tcPr>
          <w:p>
            <w:pPr>
              <w:ind w:left="280"/>
              <w:spacing w:after="0"/>
              <w:rPr>
                <w:sz w:val="20"/>
                <w:szCs w:val="20"/>
                <w:color w:val="auto"/>
              </w:rPr>
            </w:pPr>
            <w:r>
              <w:rPr>
                <w:rFonts w:ascii="Arial" w:cs="Arial" w:eastAsia="Arial" w:hAnsi="Arial"/>
                <w:sz w:val="18"/>
                <w:szCs w:val="18"/>
                <w:color w:val="auto"/>
              </w:rPr>
              <w:t>Company to Reserve Common Stock</w:t>
            </w: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1608.</w:t>
            </w:r>
          </w:p>
        </w:tc>
        <w:tc>
          <w:tcPr>
            <w:tcW w:w="7820" w:type="dxa"/>
            <w:vAlign w:val="bottom"/>
          </w:tcPr>
          <w:p>
            <w:pPr>
              <w:ind w:left="280"/>
              <w:spacing w:after="0"/>
              <w:rPr>
                <w:sz w:val="20"/>
                <w:szCs w:val="20"/>
                <w:color w:val="auto"/>
              </w:rPr>
            </w:pPr>
            <w:r>
              <w:rPr>
                <w:rFonts w:ascii="Arial" w:cs="Arial" w:eastAsia="Arial" w:hAnsi="Arial"/>
                <w:sz w:val="18"/>
                <w:szCs w:val="18"/>
                <w:color w:val="auto"/>
              </w:rPr>
              <w:t>Taxes on Conversion</w:t>
            </w: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1609.</w:t>
            </w:r>
          </w:p>
        </w:tc>
        <w:tc>
          <w:tcPr>
            <w:tcW w:w="7820" w:type="dxa"/>
            <w:vAlign w:val="bottom"/>
          </w:tcPr>
          <w:p>
            <w:pPr>
              <w:ind w:left="280"/>
              <w:spacing w:after="0"/>
              <w:rPr>
                <w:sz w:val="20"/>
                <w:szCs w:val="20"/>
                <w:color w:val="auto"/>
              </w:rPr>
            </w:pPr>
            <w:r>
              <w:rPr>
                <w:rFonts w:ascii="Arial" w:cs="Arial" w:eastAsia="Arial" w:hAnsi="Arial"/>
                <w:sz w:val="18"/>
                <w:szCs w:val="18"/>
                <w:color w:val="auto"/>
              </w:rPr>
              <w:t>Covenants as to Common Stock</w:t>
            </w: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1610.</w:t>
            </w:r>
          </w:p>
        </w:tc>
        <w:tc>
          <w:tcPr>
            <w:tcW w:w="7820" w:type="dxa"/>
            <w:vAlign w:val="bottom"/>
          </w:tcPr>
          <w:p>
            <w:pPr>
              <w:ind w:left="280"/>
              <w:spacing w:after="0"/>
              <w:rPr>
                <w:sz w:val="20"/>
                <w:szCs w:val="20"/>
                <w:color w:val="auto"/>
              </w:rPr>
            </w:pPr>
            <w:r>
              <w:rPr>
                <w:rFonts w:ascii="Arial" w:cs="Arial" w:eastAsia="Arial" w:hAnsi="Arial"/>
                <w:sz w:val="18"/>
                <w:szCs w:val="18"/>
                <w:color w:val="auto"/>
              </w:rPr>
              <w:t>Cancellation of Converted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1611.</w:t>
            </w:r>
          </w:p>
        </w:tc>
        <w:tc>
          <w:tcPr>
            <w:tcW w:w="7820" w:type="dxa"/>
            <w:vAlign w:val="bottom"/>
          </w:tcPr>
          <w:p>
            <w:pPr>
              <w:ind w:left="280"/>
              <w:spacing w:after="0"/>
              <w:rPr>
                <w:sz w:val="20"/>
                <w:szCs w:val="20"/>
                <w:color w:val="auto"/>
              </w:rPr>
            </w:pPr>
            <w:r>
              <w:rPr>
                <w:rFonts w:ascii="Arial" w:cs="Arial" w:eastAsia="Arial" w:hAnsi="Arial"/>
                <w:sz w:val="18"/>
                <w:szCs w:val="18"/>
                <w:color w:val="auto"/>
              </w:rPr>
              <w:t>Provisions in Case of Consolidation, Merger or Sale of Assets; Special Distributions</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1612.</w:t>
            </w:r>
          </w:p>
        </w:tc>
        <w:tc>
          <w:tcPr>
            <w:tcW w:w="7820" w:type="dxa"/>
            <w:vAlign w:val="bottom"/>
          </w:tcPr>
          <w:p>
            <w:pPr>
              <w:ind w:left="280"/>
              <w:spacing w:after="0"/>
              <w:rPr>
                <w:sz w:val="20"/>
                <w:szCs w:val="20"/>
                <w:color w:val="auto"/>
              </w:rPr>
            </w:pPr>
            <w:r>
              <w:rPr>
                <w:rFonts w:ascii="Arial" w:cs="Arial" w:eastAsia="Arial" w:hAnsi="Arial"/>
                <w:sz w:val="18"/>
                <w:szCs w:val="18"/>
                <w:color w:val="auto"/>
              </w:rPr>
              <w:t>Trustee Adjustment Disclaimer; Company Determination Final</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860" w:type="dxa"/>
            <w:vAlign w:val="bottom"/>
          </w:tcPr>
          <w:p>
            <w:pPr>
              <w:ind w:left="360"/>
              <w:spacing w:after="0"/>
              <w:rPr>
                <w:sz w:val="20"/>
                <w:szCs w:val="20"/>
                <w:color w:val="auto"/>
              </w:rPr>
            </w:pPr>
            <w:r>
              <w:rPr>
                <w:rFonts w:ascii="Arial" w:cs="Arial" w:eastAsia="Arial" w:hAnsi="Arial"/>
                <w:sz w:val="18"/>
                <w:szCs w:val="18"/>
                <w:color w:val="auto"/>
              </w:rPr>
              <w:t>SECTION 1613.</w:t>
            </w:r>
          </w:p>
        </w:tc>
        <w:tc>
          <w:tcPr>
            <w:tcW w:w="7820" w:type="dxa"/>
            <w:vAlign w:val="bottom"/>
          </w:tcPr>
          <w:p>
            <w:pPr>
              <w:ind w:left="280"/>
              <w:spacing w:after="0"/>
              <w:rPr>
                <w:sz w:val="20"/>
                <w:szCs w:val="20"/>
                <w:color w:val="auto"/>
              </w:rPr>
            </w:pPr>
            <w:r>
              <w:rPr>
                <w:rFonts w:ascii="Arial" w:cs="Arial" w:eastAsia="Arial" w:hAnsi="Arial"/>
                <w:sz w:val="18"/>
                <w:szCs w:val="18"/>
                <w:color w:val="auto"/>
              </w:rPr>
              <w:t>When No Adjustment Required</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860" w:type="dxa"/>
            <w:vAlign w:val="bottom"/>
          </w:tcPr>
          <w:p>
            <w:pPr>
              <w:ind w:left="360"/>
              <w:spacing w:after="0"/>
              <w:rPr>
                <w:sz w:val="20"/>
                <w:szCs w:val="20"/>
                <w:color w:val="auto"/>
              </w:rPr>
            </w:pPr>
            <w:r>
              <w:rPr>
                <w:rFonts w:ascii="Arial" w:cs="Arial" w:eastAsia="Arial" w:hAnsi="Arial"/>
                <w:sz w:val="18"/>
                <w:szCs w:val="18"/>
                <w:color w:val="auto"/>
              </w:rPr>
              <w:t>SECTION 1614.</w:t>
            </w:r>
          </w:p>
        </w:tc>
        <w:tc>
          <w:tcPr>
            <w:tcW w:w="7820" w:type="dxa"/>
            <w:vAlign w:val="bottom"/>
          </w:tcPr>
          <w:p>
            <w:pPr>
              <w:ind w:left="280"/>
              <w:spacing w:after="0"/>
              <w:rPr>
                <w:sz w:val="20"/>
                <w:szCs w:val="20"/>
                <w:color w:val="auto"/>
              </w:rPr>
            </w:pPr>
            <w:r>
              <w:rPr>
                <w:rFonts w:ascii="Arial" w:cs="Arial" w:eastAsia="Arial" w:hAnsi="Arial"/>
                <w:sz w:val="18"/>
                <w:szCs w:val="18"/>
                <w:color w:val="auto"/>
              </w:rPr>
              <w:t>Equivalent Adjustments</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100" w:type="dxa"/>
            <w:vAlign w:val="bottom"/>
            <w:gridSpan w:val="2"/>
          </w:tcPr>
          <w:p>
            <w:pPr>
              <w:ind w:left="3620"/>
              <w:spacing w:after="0"/>
              <w:rPr>
                <w:sz w:val="20"/>
                <w:szCs w:val="20"/>
                <w:color w:val="auto"/>
              </w:rPr>
            </w:pPr>
            <w:r>
              <w:rPr>
                <w:rFonts w:ascii="Arial" w:cs="Arial" w:eastAsia="Arial" w:hAnsi="Arial"/>
                <w:sz w:val="18"/>
                <w:szCs w:val="18"/>
                <w:color w:val="auto"/>
              </w:rPr>
              <w:t>NN, INC.</w:t>
            </w:r>
          </w:p>
        </w:tc>
        <w:tc>
          <w:tcPr>
            <w:tcW w:w="580" w:type="dxa"/>
            <w:vAlign w:val="bottom"/>
          </w:tcPr>
          <w:p>
            <w:pPr>
              <w:spacing w:after="0"/>
              <w:rPr>
                <w:sz w:val="20"/>
                <w:szCs w:val="20"/>
                <w:color w:val="auto"/>
              </w:rPr>
            </w:pPr>
          </w:p>
        </w:tc>
      </w:tr>
      <w:tr>
        <w:trPr>
          <w:trHeight w:val="418"/>
        </w:trPr>
        <w:tc>
          <w:tcPr>
            <w:tcW w:w="10840" w:type="dxa"/>
            <w:vAlign w:val="bottom"/>
            <w:gridSpan w:val="4"/>
          </w:tcPr>
          <w:p>
            <w:pPr>
              <w:spacing w:after="0"/>
              <w:rPr>
                <w:sz w:val="20"/>
                <w:szCs w:val="20"/>
                <w:color w:val="auto"/>
              </w:rPr>
            </w:pPr>
            <w:r>
              <w:rPr>
                <w:rFonts w:ascii="Arial" w:cs="Arial" w:eastAsia="Arial" w:hAnsi="Arial"/>
                <w:sz w:val="18"/>
                <w:szCs w:val="18"/>
                <w:color w:val="auto"/>
                <w:w w:val="95"/>
              </w:rPr>
              <w:t>Reconciliation and tie between the Trust Indenture Act of 1939, as amended (the “Trust Indenture Act” or “TIA”) and the Indenture, dated as of</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201</w:t>
            </w:r>
          </w:p>
        </w:tc>
        <w:tc>
          <w:tcPr>
            <w:tcW w:w="1100" w:type="dxa"/>
            <w:vAlign w:val="bottom"/>
          </w:tcPr>
          <w:p>
            <w:pPr>
              <w:jc w:val="right"/>
              <w:ind w:right="1010"/>
              <w:spacing w:after="0"/>
              <w:rPr>
                <w:sz w:val="20"/>
                <w:szCs w:val="20"/>
                <w:color w:val="auto"/>
              </w:rPr>
            </w:pPr>
            <w:r>
              <w:rPr>
                <w:rFonts w:ascii="Arial" w:cs="Arial" w:eastAsia="Arial" w:hAnsi="Arial"/>
                <w:sz w:val="10"/>
                <w:szCs w:val="10"/>
                <w:color w:val="auto"/>
                <w:w w:val="70"/>
              </w:rPr>
              <w:t>.</w:t>
            </w:r>
          </w:p>
        </w:tc>
        <w:tc>
          <w:tcPr>
            <w:tcW w:w="6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2"/>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Trust Indenture Act Section</w:t>
            </w:r>
          </w:p>
        </w:tc>
        <w:tc>
          <w:tcPr>
            <w:tcW w:w="6160" w:type="dxa"/>
            <w:vAlign w:val="bottom"/>
          </w:tcPr>
          <w:p>
            <w:pPr>
              <w:spacing w:after="0"/>
              <w:rPr>
                <w:sz w:val="24"/>
                <w:szCs w:val="24"/>
                <w:color w:val="auto"/>
              </w:rPr>
            </w:pPr>
          </w:p>
        </w:tc>
        <w:tc>
          <w:tcPr>
            <w:tcW w:w="29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Indenture Section</w:t>
            </w:r>
          </w:p>
        </w:tc>
        <w:tc>
          <w:tcPr>
            <w:tcW w:w="580" w:type="dxa"/>
            <w:vAlign w:val="bottom"/>
            <w:tcBorders>
              <w:bottom w:val="single" w:sz="8" w:color="auto"/>
            </w:tcBorders>
          </w:tcPr>
          <w:p>
            <w:pPr>
              <w:spacing w:after="0"/>
              <w:rPr>
                <w:sz w:val="24"/>
                <w:szCs w:val="24"/>
                <w:color w:val="auto"/>
              </w:rPr>
            </w:pPr>
          </w:p>
        </w:tc>
      </w:tr>
      <w:tr>
        <w:trPr>
          <w:trHeight w:val="189"/>
        </w:trPr>
        <w:tc>
          <w:tcPr>
            <w:tcW w:w="1740" w:type="dxa"/>
            <w:vAlign w:val="bottom"/>
            <w:gridSpan w:val="2"/>
          </w:tcPr>
          <w:p>
            <w:pPr>
              <w:spacing w:after="0" w:line="189" w:lineRule="exact"/>
              <w:rPr>
                <w:sz w:val="20"/>
                <w:szCs w:val="20"/>
                <w:color w:val="auto"/>
              </w:rPr>
            </w:pPr>
            <w:r>
              <w:rPr>
                <w:rFonts w:ascii="Arial" w:cs="Arial" w:eastAsia="Arial" w:hAnsi="Arial"/>
                <w:sz w:val="18"/>
                <w:szCs w:val="18"/>
                <w:color w:val="auto"/>
              </w:rPr>
              <w:t>§ 310(a)(1)</w:t>
            </w:r>
          </w:p>
        </w:tc>
        <w:tc>
          <w:tcPr>
            <w:tcW w:w="6160" w:type="dxa"/>
            <w:vAlign w:val="bottom"/>
          </w:tcPr>
          <w:p>
            <w:pPr>
              <w:spacing w:after="0"/>
              <w:rPr>
                <w:sz w:val="16"/>
                <w:szCs w:val="16"/>
                <w:color w:val="auto"/>
              </w:rPr>
            </w:pPr>
          </w:p>
        </w:tc>
        <w:tc>
          <w:tcPr>
            <w:tcW w:w="2940" w:type="dxa"/>
            <w:vAlign w:val="bottom"/>
          </w:tcPr>
          <w:p>
            <w:pPr>
              <w:ind w:left="540"/>
              <w:spacing w:after="0" w:line="189" w:lineRule="exact"/>
              <w:rPr>
                <w:sz w:val="20"/>
                <w:szCs w:val="20"/>
                <w:color w:val="auto"/>
              </w:rPr>
            </w:pPr>
            <w:r>
              <w:rPr>
                <w:rFonts w:ascii="Arial" w:cs="Arial" w:eastAsia="Arial" w:hAnsi="Arial"/>
                <w:sz w:val="18"/>
                <w:szCs w:val="18"/>
                <w:color w:val="auto"/>
              </w:rPr>
              <w:t>607</w:t>
            </w:r>
          </w:p>
        </w:tc>
        <w:tc>
          <w:tcPr>
            <w:tcW w:w="58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(a)(2)</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607</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607, 608</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w w:val="93"/>
              </w:rPr>
              <w:t>§ 312(c)</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701</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w w:val="92"/>
              </w:rPr>
              <w:t>§ 313(a)</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702</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(c)</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702</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w w:val="92"/>
              </w:rPr>
              <w:t>§ 314(a)</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703</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(a)(4)</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1008</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(c)(1)</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(c)(2)</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(e)</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w w:val="92"/>
              </w:rPr>
              <w:t>§ 315(b)</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601</w:t>
            </w:r>
          </w:p>
        </w:tc>
        <w:tc>
          <w:tcPr>
            <w:tcW w:w="580" w:type="dxa"/>
            <w:vAlign w:val="bottom"/>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0"/>
              </w:rPr>
              <w:t>§ 316(a) (last sentence)</w:t>
            </w:r>
          </w:p>
        </w:tc>
        <w:tc>
          <w:tcPr>
            <w:tcW w:w="6160" w:type="dxa"/>
            <w:vAlign w:val="bottom"/>
          </w:tcPr>
          <w:p>
            <w:pPr>
              <w:spacing w:after="0"/>
              <w:rPr>
                <w:sz w:val="18"/>
                <w:szCs w:val="18"/>
                <w:color w:val="auto"/>
              </w:rPr>
            </w:pPr>
          </w:p>
        </w:tc>
        <w:tc>
          <w:tcPr>
            <w:tcW w:w="2940" w:type="dxa"/>
            <w:vAlign w:val="bottom"/>
          </w:tcPr>
          <w:p>
            <w:pPr>
              <w:ind w:left="540"/>
              <w:spacing w:after="0"/>
              <w:rPr>
                <w:sz w:val="20"/>
                <w:szCs w:val="20"/>
                <w:color w:val="auto"/>
              </w:rPr>
            </w:pPr>
            <w:r>
              <w:rPr>
                <w:rFonts w:ascii="Arial" w:cs="Arial" w:eastAsia="Arial" w:hAnsi="Arial"/>
                <w:sz w:val="18"/>
                <w:szCs w:val="18"/>
                <w:color w:val="auto"/>
              </w:rPr>
              <w:t>101(“Outstanding”)</w:t>
            </w:r>
          </w:p>
        </w:tc>
        <w:tc>
          <w:tcPr>
            <w:tcW w:w="580" w:type="dxa"/>
            <w:vAlign w:val="bottom"/>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(a)(1)(A)</w:t>
            </w: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502, 512</w:t>
            </w:r>
          </w:p>
        </w:tc>
        <w:tc>
          <w:tcPr>
            <w:tcW w:w="580" w:type="dxa"/>
            <w:vAlign w:val="bottom"/>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(a)(1)(B)</w:t>
            </w: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513</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508</w:t>
            </w:r>
          </w:p>
        </w:tc>
        <w:tc>
          <w:tcPr>
            <w:tcW w:w="580" w:type="dxa"/>
            <w:vAlign w:val="bottom"/>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 317(a)(1)</w:t>
            </w: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503</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(a)(2)</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504</w:t>
            </w:r>
          </w:p>
        </w:tc>
        <w:tc>
          <w:tcPr>
            <w:tcW w:w="5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w w:val="92"/>
              </w:rPr>
              <w:t>§ 318(a)</w:t>
            </w:r>
          </w:p>
        </w:tc>
        <w:tc>
          <w:tcPr>
            <w:tcW w:w="1100" w:type="dxa"/>
            <w:vAlign w:val="bottom"/>
          </w:tcPr>
          <w:p>
            <w:pPr>
              <w:spacing w:after="0"/>
              <w:rPr>
                <w:sz w:val="18"/>
                <w:szCs w:val="18"/>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111</w:t>
            </w:r>
          </w:p>
        </w:tc>
        <w:tc>
          <w:tcPr>
            <w:tcW w:w="58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(c)</w:t>
            </w:r>
          </w:p>
        </w:tc>
        <w:tc>
          <w:tcPr>
            <w:tcW w:w="1100" w:type="dxa"/>
            <w:vAlign w:val="bottom"/>
          </w:tcPr>
          <w:p>
            <w:pPr>
              <w:spacing w:after="0"/>
              <w:rPr>
                <w:sz w:val="20"/>
                <w:szCs w:val="20"/>
                <w:color w:val="auto"/>
              </w:rPr>
            </w:pPr>
          </w:p>
        </w:tc>
        <w:tc>
          <w:tcPr>
            <w:tcW w:w="9100" w:type="dxa"/>
            <w:vAlign w:val="bottom"/>
            <w:gridSpan w:val="2"/>
          </w:tcPr>
          <w:p>
            <w:pPr>
              <w:ind w:left="6700"/>
              <w:spacing w:after="0"/>
              <w:rPr>
                <w:sz w:val="20"/>
                <w:szCs w:val="20"/>
                <w:color w:val="auto"/>
              </w:rPr>
            </w:pPr>
            <w:r>
              <w:rPr>
                <w:rFonts w:ascii="Arial" w:cs="Arial" w:eastAsia="Arial" w:hAnsi="Arial"/>
                <w:sz w:val="18"/>
                <w:szCs w:val="18"/>
                <w:color w:val="auto"/>
              </w:rPr>
              <w:t>111</w:t>
            </w:r>
          </w:p>
        </w:tc>
        <w:tc>
          <w:tcPr>
            <w:tcW w:w="5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274" w:right="239" w:bottom="1440" w:gutter="0" w:footer="0" w:header="0"/>
        </w:sectPr>
      </w:pPr>
    </w:p>
    <w:bookmarkStart w:id="43" w:name="page44"/>
    <w:bookmarkEnd w:id="43"/>
    <w:p>
      <w:pPr>
        <w:ind w:right="3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is dated as of , 201 , between NN, INC., a corporation organized under the laws of the State of Delaware (hereinafter called the “Company”), having its principal office at 2000 Waters Edge Drive Johnson City, Tennessee 37604, and [ ], as Trustee hereunder (hereinafter called the “Trustee”), having a Corporate Trust Office at [ ].</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ONE – 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Indenture, except as otherwise expressly provided or unless the context otherwise requires:</w:t>
      </w:r>
    </w:p>
    <w:p>
      <w:pPr>
        <w:spacing w:after="0" w:line="117"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right="40" w:firstLine="8"/>
        <w:spacing w:after="0" w:line="264"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117" w:lineRule="exact"/>
        <w:rPr>
          <w:rFonts w:ascii="Arial" w:cs="Arial" w:eastAsia="Arial" w:hAnsi="Arial"/>
          <w:sz w:val="18"/>
          <w:szCs w:val="18"/>
          <w:color w:val="auto"/>
        </w:rPr>
      </w:pPr>
    </w:p>
    <w:p>
      <w:pPr>
        <w:ind w:right="560" w:firstLine="8"/>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611 hereof to act on behalf of the Trustee to authenticate Securities of one or more Series.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the bearer.</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Resolution</w:t>
      </w:r>
      <w:r>
        <w:rPr>
          <w:rFonts w:ascii="Arial" w:cs="Arial" w:eastAsia="Arial" w:hAnsi="Arial"/>
          <w:sz w:val="17"/>
          <w:szCs w:val="17"/>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Luxembourg, société anonyme, or its successor.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the closing price of a share of Common Stock of the Company as reported on the NASDAQ Global Select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thereunder.</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xml:space="preserve"> “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has the meaning specified in Section 1611.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5" w:name="page46"/>
    <w:bookmarkEnd w:id="4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has the meaning specified in Section 1601.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 which</w:t>
      </w:r>
    </w:p>
    <w:p>
      <w:pPr>
        <w:spacing w:after="0" w:line="46"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office at the date hereof is located at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Record Date</w:t>
      </w:r>
      <w:r>
        <w:rPr>
          <w:rFonts w:ascii="Arial" w:cs="Arial" w:eastAsia="Arial" w:hAnsi="Arial"/>
          <w:sz w:val="18"/>
          <w:szCs w:val="18"/>
          <w:color w:val="auto"/>
        </w:rPr>
        <w:t>” has the meaning specified in Section 1611.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the sign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Morgan Guaranty Trust Company of New York, Brussels office, or its successor, as operator of the Euroclear System.</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Communities</w:t>
      </w:r>
      <w:r>
        <w:rPr>
          <w:rFonts w:ascii="Arial" w:cs="Arial" w:eastAsia="Arial" w:hAnsi="Arial"/>
          <w:sz w:val="18"/>
          <w:szCs w:val="18"/>
          <w:color w:val="auto"/>
        </w:rPr>
        <w:t>” means the European Economic Community, the European Coal and Steel Community and the European Atomic Energy Community.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 as in force at the date as of which this Indenture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Exchange Act is amended after such date, “Exchange Act” means to the extent required by any such amendment, the Exchange Act as so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Currency</w:t>
      </w:r>
      <w:r>
        <w:rPr>
          <w:rFonts w:ascii="Arial" w:cs="Arial" w:eastAsia="Arial" w:hAnsi="Arial"/>
          <w:sz w:val="17"/>
          <w:szCs w:val="17"/>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46" w:name="page47"/>
    <w:bookmarkEnd w:id="46"/>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means, except as otherwise provided herein, generally accepted accounting principles, as in effect from time to time, as used in the United States applied on a consistent basis.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Obligations</w:t>
      </w:r>
      <w:r>
        <w:rPr>
          <w:rFonts w:ascii="Arial" w:cs="Arial" w:eastAsia="Arial" w:hAnsi="Arial"/>
          <w:sz w:val="18"/>
          <w:szCs w:val="18"/>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shall mean interest payable after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of the Distribution</w:t>
      </w:r>
      <w:r>
        <w:rPr>
          <w:rFonts w:ascii="Arial" w:cs="Arial" w:eastAsia="Arial" w:hAnsi="Arial"/>
          <w:sz w:val="18"/>
          <w:szCs w:val="18"/>
          <w:color w:val="auto"/>
        </w:rPr>
        <w:t>” has the meaning specified in Section 1604.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7" w:name="page48"/>
    <w:bookmarkEnd w:id="47"/>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Issue Discount Security</w:t>
      </w:r>
      <w:r>
        <w:rPr>
          <w:rFonts w:ascii="Arial" w:cs="Arial" w:eastAsia="Arial" w:hAnsi="Arial"/>
          <w:sz w:val="16"/>
          <w:szCs w:val="16"/>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w:t>
      </w:r>
      <w:r>
        <w:rPr>
          <w:rFonts w:ascii="Arial" w:cs="Arial" w:eastAsia="Arial" w:hAnsi="Arial"/>
          <w:sz w:val="16"/>
          <w:szCs w:val="16"/>
          <w:color w:val="auto"/>
        </w:rPr>
        <w:t>,” when used with respect to Securities, means, as of the date of determination, all Securities theretofore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103"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117" w:lineRule="exact"/>
        <w:rPr>
          <w:rFonts w:ascii="Arial" w:cs="Arial" w:eastAsia="Arial" w:hAnsi="Arial"/>
          <w:sz w:val="18"/>
          <w:szCs w:val="18"/>
          <w:color w:val="auto"/>
        </w:rPr>
      </w:pPr>
    </w:p>
    <w:p>
      <w:pPr>
        <w:ind w:right="40" w:firstLine="8"/>
        <w:spacing w:after="0" w:line="257" w:lineRule="auto"/>
        <w:tabs>
          <w:tab w:leader="none" w:pos="2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Securities are to be redeemed, notice of such redemption has been duly given pursuant to this Indenture or provision therefor satisfactory to the Trustee has been made;</w:t>
      </w:r>
    </w:p>
    <w:p>
      <w:pPr>
        <w:spacing w:after="0" w:line="80" w:lineRule="exact"/>
        <w:rPr>
          <w:rFonts w:ascii="Arial" w:cs="Arial" w:eastAsia="Arial" w:hAnsi="Arial"/>
          <w:sz w:val="18"/>
          <w:szCs w:val="18"/>
          <w:color w:val="auto"/>
        </w:rPr>
      </w:pPr>
    </w:p>
    <w:p>
      <w:pPr>
        <w:ind w:right="540" w:firstLine="8"/>
        <w:spacing w:after="0" w:line="277" w:lineRule="auto"/>
        <w:tabs>
          <w:tab w:leader="none" w:pos="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62" w:lineRule="exact"/>
        <w:rPr>
          <w:rFonts w:ascii="Arial" w:cs="Arial" w:eastAsia="Arial" w:hAnsi="Arial"/>
          <w:sz w:val="18"/>
          <w:szCs w:val="18"/>
          <w:color w:val="auto"/>
        </w:rPr>
      </w:pPr>
    </w:p>
    <w:p>
      <w:pPr>
        <w:ind w:right="200" w:firstLine="8"/>
        <w:spacing w:after="0" w:line="286" w:lineRule="auto"/>
        <w:tabs>
          <w:tab w:leader="none" w:pos="305"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48" w:name="page49"/>
    <w:bookmarkEnd w:id="4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or Make-Whole Amount, if any) or interest on any Securities or coupons on behalf of the Company.</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shall mean any Security which is registered in the Security Register.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the price at which it is to be repaid by or pursuant to this Indenture.</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Record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w:t>
      </w:r>
      <w:r>
        <w:rPr>
          <w:rFonts w:ascii="Arial" w:cs="Arial" w:eastAsia="Arial" w:hAnsi="Arial"/>
          <w:sz w:val="16"/>
          <w:szCs w:val="16"/>
          <w:color w:val="auto"/>
        </w:rPr>
        <w:t xml:space="preserve"> “ and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Series</w:t>
      </w:r>
      <w:r>
        <w:rPr>
          <w:rFonts w:ascii="Arial" w:cs="Arial" w:eastAsia="Arial" w:hAnsi="Arial"/>
          <w:sz w:val="18"/>
          <w:szCs w:val="18"/>
          <w:color w:val="auto"/>
        </w:rPr>
        <w:t>” of Securities means all securities denoted as part of the same series authorized by or pursuant to a particular Board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Term Rights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which is a “significant subsidiary” (as defined in Article I, Rule 1-02 of Regulation S-X, promulgated under the Securities Act of 1933, as amended) of the Company.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Company pursuant to Section 307.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Global Select Market is open for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and as in force at the date as of which this Indenture was executed, except as provided in Section 905.</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Distribution</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0" w:name="page51"/>
    <w:bookmarkEnd w:id="50"/>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Yield to Maturity</w:t>
      </w:r>
      <w:r>
        <w:rPr>
          <w:rFonts w:ascii="Arial" w:cs="Arial" w:eastAsia="Arial" w:hAnsi="Arial"/>
          <w:sz w:val="17"/>
          <w:szCs w:val="17"/>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(including certificates delivered pursuant to Section 1008) shall include:</w:t>
      </w:r>
    </w:p>
    <w:p>
      <w:pPr>
        <w:spacing w:after="0" w:line="62"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statement that each individual signing such certificate or opinion has read such condition or covenant and the definitions herein relating thereto;</w:t>
      </w:r>
    </w:p>
    <w:p>
      <w:pPr>
        <w:spacing w:after="0" w:line="128" w:lineRule="exact"/>
        <w:rPr>
          <w:rFonts w:ascii="Arial" w:cs="Arial" w:eastAsia="Arial" w:hAnsi="Arial"/>
          <w:sz w:val="17"/>
          <w:szCs w:val="17"/>
          <w:color w:val="auto"/>
        </w:rPr>
      </w:pPr>
    </w:p>
    <w:p>
      <w:pPr>
        <w:ind w:right="420" w:firstLine="8"/>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640" w:firstLine="8"/>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right="100" w:firstLine="8"/>
        <w:spacing w:after="0" w:line="254"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1" w:name="page52"/>
    <w:bookmarkEnd w:id="5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85" w:lineRule="exact"/>
        <w:rPr>
          <w:sz w:val="20"/>
          <w:szCs w:val="20"/>
          <w:color w:val="auto"/>
        </w:rPr>
      </w:pPr>
    </w:p>
    <w:p>
      <w:pPr>
        <w:ind w:right="160" w:firstLine="8"/>
        <w:spacing w:after="0" w:line="276"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64" w:lineRule="exact"/>
        <w:rPr>
          <w:rFonts w:ascii="Arial" w:cs="Arial" w:eastAsia="Arial" w:hAnsi="Arial"/>
          <w:sz w:val="17"/>
          <w:szCs w:val="17"/>
          <w:color w:val="auto"/>
        </w:rPr>
      </w:pPr>
    </w:p>
    <w:p>
      <w:pPr>
        <w:ind w:right="100" w:firstLine="8"/>
        <w:spacing w:after="0" w:line="277"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62" w:lineRule="exact"/>
        <w:rPr>
          <w:rFonts w:ascii="Arial" w:cs="Arial" w:eastAsia="Arial" w:hAnsi="Arial"/>
          <w:sz w:val="18"/>
          <w:szCs w:val="18"/>
          <w:color w:val="auto"/>
        </w:rPr>
      </w:pPr>
    </w:p>
    <w:p>
      <w:pPr>
        <w:ind w:right="60" w:firstLine="8"/>
        <w:spacing w:after="0" w:line="271"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70" w:lineRule="exact"/>
        <w:rPr>
          <w:rFonts w:ascii="Arial" w:cs="Arial" w:eastAsia="Arial" w:hAnsi="Arial"/>
          <w:sz w:val="17"/>
          <w:szCs w:val="17"/>
          <w:color w:val="auto"/>
        </w:rPr>
      </w:pPr>
    </w:p>
    <w:p>
      <w:pPr>
        <w:ind w:firstLine="8"/>
        <w:spacing w:after="0" w:line="269" w:lineRule="auto"/>
        <w:tabs>
          <w:tab w:leader="none" w:pos="24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74" w:lineRule="exact"/>
        <w:rPr>
          <w:rFonts w:ascii="Arial" w:cs="Arial" w:eastAsia="Arial" w:hAnsi="Arial"/>
          <w:sz w:val="17"/>
          <w:szCs w:val="17"/>
          <w:color w:val="auto"/>
        </w:rPr>
      </w:pPr>
    </w:p>
    <w:p>
      <w:pPr>
        <w:ind w:right="20" w:firstLine="8"/>
        <w:spacing w:after="0" w:line="279" w:lineRule="auto"/>
        <w:tabs>
          <w:tab w:leader="none" w:pos="22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 the Trustee by any Holder or by the Company shall be sufficient for every purpose hereunder if made, given, furnished or filed in writing to or with the</w:t>
      </w:r>
    </w:p>
    <w:p>
      <w:pPr>
        <w:spacing w:after="0" w:line="46" w:lineRule="exact"/>
        <w:rPr>
          <w:sz w:val="20"/>
          <w:szCs w:val="20"/>
          <w:color w:val="auto"/>
        </w:rPr>
      </w:pPr>
    </w:p>
    <w:p>
      <w:pPr>
        <w:spacing w:after="0"/>
        <w:tabs>
          <w:tab w:leader="none" w:pos="1700" w:val="left"/>
          <w:tab w:leader="none" w:pos="9800" w:val="left"/>
        </w:tabs>
        <w:rPr>
          <w:sz w:val="20"/>
          <w:szCs w:val="20"/>
          <w:color w:val="auto"/>
        </w:rPr>
      </w:pPr>
      <w:r>
        <w:rPr>
          <w:rFonts w:ascii="Arial" w:cs="Arial" w:eastAsia="Arial" w:hAnsi="Arial"/>
          <w:sz w:val="18"/>
          <w:szCs w:val="18"/>
          <w:color w:val="auto"/>
        </w:rPr>
        <w:t>Trustee at [</w:t>
      </w:r>
      <w:r>
        <w:rPr>
          <w:sz w:val="20"/>
          <w:szCs w:val="20"/>
          <w:color w:val="auto"/>
        </w:rPr>
        <w:tab/>
      </w:r>
      <w:r>
        <w:rPr>
          <w:rFonts w:ascii="Arial" w:cs="Arial" w:eastAsia="Arial" w:hAnsi="Arial"/>
          <w:sz w:val="18"/>
          <w:szCs w:val="18"/>
          <w:color w:val="auto"/>
        </w:rPr>
        <w:t>] or at any other address previously furnished in writing to the Company by the Trustee, Attention: [</w:t>
      </w:r>
      <w:r>
        <w:rPr>
          <w:sz w:val="20"/>
          <w:szCs w:val="20"/>
          <w:color w:val="auto"/>
        </w:rPr>
        <w:tab/>
      </w:r>
      <w:r>
        <w:rPr>
          <w:rFonts w:ascii="Arial" w:cs="Arial" w:eastAsia="Arial" w:hAnsi="Arial"/>
          <w:sz w:val="17"/>
          <w:szCs w:val="17"/>
          <w:color w:val="auto"/>
        </w:rPr>
        <w:t>]; or</w:t>
      </w:r>
    </w:p>
    <w:p>
      <w:pPr>
        <w:spacing w:after="0" w:line="103" w:lineRule="exact"/>
        <w:rPr>
          <w:sz w:val="20"/>
          <w:szCs w:val="20"/>
          <w:color w:val="auto"/>
        </w:rPr>
      </w:pPr>
    </w:p>
    <w:p>
      <w:pPr>
        <w:ind w:right="40" w:firstLine="8"/>
        <w:spacing w:after="0" w:line="291" w:lineRule="auto"/>
        <w:tabs>
          <w:tab w:leader="none" w:pos="2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w:t>
      </w:r>
    </w:p>
    <w:p>
      <w:pPr>
        <w:spacing w:after="0"/>
        <w:tabs>
          <w:tab w:leader="none" w:pos="7760" w:val="left"/>
        </w:tabs>
        <w:rPr>
          <w:sz w:val="20"/>
          <w:szCs w:val="20"/>
          <w:color w:val="auto"/>
        </w:rPr>
      </w:pPr>
      <w:r>
        <w:rPr>
          <w:rFonts w:ascii="Arial" w:cs="Arial" w:eastAsia="Arial" w:hAnsi="Arial"/>
          <w:sz w:val="18"/>
          <w:szCs w:val="18"/>
          <w:color w:val="auto"/>
        </w:rPr>
        <w:t>at any other address previously furnished in writing to the Trustee by the Company, Attention: [</w:t>
      </w:r>
      <w:r>
        <w:rPr>
          <w:sz w:val="20"/>
          <w:szCs w:val="20"/>
          <w:color w:val="auto"/>
        </w:rPr>
        <w:tab/>
      </w:r>
      <w:r>
        <w:rPr>
          <w:rFonts w:ascii="Arial" w:cs="Arial" w:eastAsia="Arial" w:hAnsi="Arial"/>
          <w:sz w:val="18"/>
          <w:szCs w:val="18"/>
          <w:color w:val="auto"/>
        </w:rPr>
        <w:t>]; or</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(3) either the Trustee or the Company, by the other party or by any Holder, shall be sufficient for every purpose hereunder if given by facsimile transmission,</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receipt confirmed by telephone followed by an original copy delivered by guaranteed overnight courier; if to the Trustee at facsimile number [ ]; and if to the Company at facsimile number [ ].</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53" w:name="page54"/>
    <w:bookmarkEnd w:id="53"/>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Limited Liability; Immunity of Stockholders, Directors, Officers and Agents of the Company</w:t>
      </w:r>
      <w:r>
        <w:rPr>
          <w:rFonts w:ascii="Arial" w:cs="Arial" w:eastAsia="Arial" w:hAnsi="Arial"/>
          <w:sz w:val="16"/>
          <w:szCs w:val="16"/>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TWO – SECURITIES FORMS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xml:space="preserve">. The Registered Securities, if any, of each series and the Bearer Securities, if any, of each series and related coupons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ectPr>
          <w:pgSz w:w="11900" w:h="16838" w:orient="portrait"/>
          <w:cols w:equalWidth="0" w:num="1">
            <w:col w:w="11380"/>
          </w:cols>
          <w:pgMar w:left="240" w:top="274" w:right="279" w:bottom="1440" w:gutter="0" w:footer="0" w:header="0"/>
        </w:sectPr>
      </w:pP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as Trustee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07" w:lineRule="exact"/>
        <w:rPr>
          <w:sz w:val="20"/>
          <w:szCs w:val="20"/>
          <w:color w:val="auto"/>
        </w:rPr>
      </w:pPr>
    </w:p>
    <w:p>
      <w:pPr>
        <w:sectPr>
          <w:pgSz w:w="11900" w:h="16838" w:orient="portrait"/>
          <w:cols w:equalWidth="0" w:num="2">
            <w:col w:w="6640" w:space="460"/>
            <w:col w:w="4280"/>
          </w:cols>
          <w:pgMar w:left="240" w:top="274" w:right="279" w:bottom="1440" w:gutter="0" w:footer="0" w:header="0"/>
          <w:type w:val="continuous"/>
        </w:sectPr>
      </w:pPr>
    </w:p>
    <w:p>
      <w:pPr>
        <w:spacing w:after="0" w:line="4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Securities Issuable in Global Form</w:t>
      </w:r>
      <w:r>
        <w:rPr>
          <w:rFonts w:ascii="Arial" w:cs="Arial" w:eastAsia="Arial" w:hAnsi="Arial"/>
          <w:sz w:val="16"/>
          <w:szCs w:val="16"/>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type w:val="continuous"/>
        </w:sectPr>
      </w:pPr>
    </w:p>
    <w:bookmarkStart w:id="55" w:name="page56"/>
    <w:bookmarkEnd w:id="5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THREE – THE SECURITIES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57" w:lineRule="exact"/>
        <w:rPr>
          <w:sz w:val="20"/>
          <w:szCs w:val="20"/>
          <w:color w:val="auto"/>
        </w:rPr>
      </w:pPr>
    </w:p>
    <w:p>
      <w:pPr>
        <w:ind w:right="760" w:firstLine="8"/>
        <w:spacing w:after="0" w:line="277"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62" w:lineRule="exact"/>
        <w:rPr>
          <w:rFonts w:ascii="Arial" w:cs="Arial" w:eastAsia="Arial" w:hAnsi="Arial"/>
          <w:sz w:val="18"/>
          <w:szCs w:val="18"/>
          <w:color w:val="auto"/>
        </w:rPr>
      </w:pPr>
    </w:p>
    <w:p>
      <w:pPr>
        <w:ind w:right="260" w:firstLine="8"/>
        <w:spacing w:after="0" w:line="312"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38" w:lineRule="exact"/>
        <w:rPr>
          <w:rFonts w:ascii="Arial" w:cs="Arial" w:eastAsia="Arial" w:hAnsi="Arial"/>
          <w:sz w:val="16"/>
          <w:szCs w:val="16"/>
          <w:color w:val="auto"/>
        </w:rPr>
      </w:pPr>
    </w:p>
    <w:p>
      <w:pPr>
        <w:jc w:val="both"/>
        <w:ind w:right="520" w:firstLine="8"/>
        <w:spacing w:after="0" w:line="312"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38" w:lineRule="exact"/>
        <w:rPr>
          <w:rFonts w:ascii="Arial" w:cs="Arial" w:eastAsia="Arial" w:hAnsi="Arial"/>
          <w:sz w:val="16"/>
          <w:szCs w:val="16"/>
          <w:color w:val="auto"/>
        </w:rPr>
      </w:pPr>
    </w:p>
    <w:p>
      <w:pPr>
        <w:ind w:right="680" w:firstLine="8"/>
        <w:spacing w:after="0" w:line="308"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38" w:lineRule="exact"/>
        <w:rPr>
          <w:rFonts w:ascii="Arial" w:cs="Arial" w:eastAsia="Arial" w:hAnsi="Arial"/>
          <w:sz w:val="17"/>
          <w:szCs w:val="17"/>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on which the principal of such Securities will be payable;</w:t>
      </w:r>
    </w:p>
    <w:p>
      <w:pPr>
        <w:spacing w:after="0" w:line="117" w:lineRule="exact"/>
        <w:rPr>
          <w:rFonts w:ascii="Arial" w:cs="Arial" w:eastAsia="Arial" w:hAnsi="Arial"/>
          <w:sz w:val="18"/>
          <w:szCs w:val="18"/>
          <w:color w:val="auto"/>
        </w:rPr>
      </w:pPr>
    </w:p>
    <w:p>
      <w:pPr>
        <w:ind w:right="520" w:firstLine="8"/>
        <w:spacing w:after="0" w:line="277"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62" w:lineRule="exact"/>
        <w:rPr>
          <w:rFonts w:ascii="Arial" w:cs="Arial" w:eastAsia="Arial" w:hAnsi="Arial"/>
          <w:sz w:val="18"/>
          <w:szCs w:val="18"/>
          <w:color w:val="auto"/>
        </w:rPr>
      </w:pPr>
    </w:p>
    <w:p>
      <w:pPr>
        <w:ind w:right="100" w:firstLine="8"/>
        <w:spacing w:after="0" w:line="312"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38" w:lineRule="exact"/>
        <w:rPr>
          <w:rFonts w:ascii="Arial" w:cs="Arial" w:eastAsia="Arial" w:hAnsi="Arial"/>
          <w:sz w:val="16"/>
          <w:szCs w:val="16"/>
          <w:color w:val="auto"/>
        </w:rPr>
      </w:pPr>
    </w:p>
    <w:p>
      <w:pPr>
        <w:ind w:firstLine="8"/>
        <w:spacing w:after="0" w:line="277"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pacing w:after="0" w:line="62" w:lineRule="exact"/>
        <w:rPr>
          <w:rFonts w:ascii="Arial" w:cs="Arial" w:eastAsia="Arial" w:hAnsi="Arial"/>
          <w:sz w:val="18"/>
          <w:szCs w:val="18"/>
          <w:color w:val="auto"/>
        </w:rPr>
      </w:pPr>
    </w:p>
    <w:p>
      <w:pPr>
        <w:ind w:right="40" w:firstLine="8"/>
        <w:spacing w:after="0" w:line="264"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56" w:name="page57"/>
    <w:bookmarkEnd w:id="56"/>
    <w:p>
      <w:pPr>
        <w:ind w:left="-8" w:right="140" w:firstLine="8"/>
        <w:spacing w:after="0" w:line="277" w:lineRule="auto"/>
        <w:tabs>
          <w:tab w:leader="none" w:pos="337"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62" w:lineRule="exact"/>
        <w:rPr>
          <w:rFonts w:ascii="Arial" w:cs="Arial" w:eastAsia="Arial" w:hAnsi="Arial"/>
          <w:sz w:val="18"/>
          <w:szCs w:val="18"/>
          <w:color w:val="auto"/>
        </w:rPr>
      </w:pPr>
    </w:p>
    <w:p>
      <w:pPr>
        <w:jc w:val="both"/>
        <w:ind w:left="-8" w:firstLine="8"/>
        <w:spacing w:after="0" w:line="264" w:lineRule="auto"/>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73" w:lineRule="exact"/>
        <w:rPr>
          <w:rFonts w:ascii="Arial" w:cs="Arial" w:eastAsia="Arial" w:hAnsi="Arial"/>
          <w:sz w:val="18"/>
          <w:szCs w:val="18"/>
          <w:color w:val="auto"/>
        </w:rPr>
      </w:pPr>
    </w:p>
    <w:p>
      <w:pPr>
        <w:ind w:left="-8" w:firstLine="8"/>
        <w:spacing w:after="0" w:line="264" w:lineRule="auto"/>
        <w:tabs>
          <w:tab w:leader="none" w:pos="3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73" w:lineRule="exact"/>
        <w:rPr>
          <w:rFonts w:ascii="Arial" w:cs="Arial" w:eastAsia="Arial" w:hAnsi="Arial"/>
          <w:sz w:val="18"/>
          <w:szCs w:val="18"/>
          <w:color w:val="auto"/>
        </w:rPr>
      </w:pPr>
    </w:p>
    <w:p>
      <w:pPr>
        <w:ind w:left="-8" w:right="200" w:firstLine="8"/>
        <w:spacing w:after="0" w:line="279" w:lineRule="auto"/>
        <w:tabs>
          <w:tab w:leader="none" w:pos="337"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63" w:lineRule="exact"/>
        <w:rPr>
          <w:rFonts w:ascii="Arial" w:cs="Arial" w:eastAsia="Arial" w:hAnsi="Arial"/>
          <w:sz w:val="17"/>
          <w:szCs w:val="17"/>
          <w:color w:val="auto"/>
        </w:rPr>
      </w:pPr>
    </w:p>
    <w:p>
      <w:pPr>
        <w:ind w:left="-8" w:right="80" w:firstLine="8"/>
        <w:spacing w:after="0" w:line="273" w:lineRule="auto"/>
        <w:tabs>
          <w:tab w:leader="none" w:pos="337"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70" w:lineRule="exact"/>
        <w:rPr>
          <w:rFonts w:ascii="Arial" w:cs="Arial" w:eastAsia="Arial" w:hAnsi="Arial"/>
          <w:sz w:val="17"/>
          <w:szCs w:val="17"/>
          <w:color w:val="auto"/>
        </w:rPr>
      </w:pPr>
    </w:p>
    <w:p>
      <w:pPr>
        <w:ind w:left="352" w:hanging="352"/>
        <w:spacing w:after="0"/>
        <w:tabs>
          <w:tab w:leader="none" w:pos="3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Provisions, if any, granting special rights to the Holders of Securities of the series upon the occurrence of such events as may be specified;</w:t>
      </w:r>
    </w:p>
    <w:p>
      <w:pPr>
        <w:spacing w:after="0" w:line="128" w:lineRule="exact"/>
        <w:rPr>
          <w:rFonts w:ascii="Arial" w:cs="Arial" w:eastAsia="Arial" w:hAnsi="Arial"/>
          <w:sz w:val="17"/>
          <w:szCs w:val="17"/>
          <w:color w:val="auto"/>
        </w:rPr>
      </w:pPr>
    </w:p>
    <w:p>
      <w:pPr>
        <w:ind w:left="-8" w:right="100" w:firstLine="8"/>
        <w:spacing w:after="0" w:line="277" w:lineRule="auto"/>
        <w:tabs>
          <w:tab w:leader="none" w:pos="3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62" w:lineRule="exact"/>
        <w:rPr>
          <w:rFonts w:ascii="Arial" w:cs="Arial" w:eastAsia="Arial" w:hAnsi="Arial"/>
          <w:sz w:val="18"/>
          <w:szCs w:val="18"/>
          <w:color w:val="auto"/>
        </w:rPr>
      </w:pPr>
    </w:p>
    <w:p>
      <w:pPr>
        <w:ind w:left="-8" w:right="900" w:firstLine="8"/>
        <w:spacing w:after="0" w:line="342" w:lineRule="auto"/>
        <w:tabs>
          <w:tab w:leader="none" w:pos="337" w:val="left"/>
        </w:tabs>
        <w:numPr>
          <w:ilvl w:val="0"/>
          <w:numId w:val="51"/>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5" w:lineRule="exact"/>
        <w:rPr>
          <w:rFonts w:ascii="Arial" w:cs="Arial" w:eastAsia="Arial" w:hAnsi="Arial"/>
          <w:sz w:val="16"/>
          <w:szCs w:val="16"/>
          <w:color w:val="auto"/>
        </w:rPr>
      </w:pPr>
    </w:p>
    <w:p>
      <w:pPr>
        <w:ind w:left="-8" w:right="140" w:firstLine="8"/>
        <w:spacing w:after="0" w:line="254" w:lineRule="auto"/>
        <w:tabs>
          <w:tab w:leader="none" w:pos="3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84" w:lineRule="exact"/>
        <w:rPr>
          <w:rFonts w:ascii="Arial" w:cs="Arial" w:eastAsia="Arial" w:hAnsi="Arial"/>
          <w:sz w:val="18"/>
          <w:szCs w:val="18"/>
          <w:color w:val="auto"/>
        </w:rPr>
      </w:pPr>
    </w:p>
    <w:p>
      <w:pPr>
        <w:ind w:left="-8" w:right="380" w:firstLine="8"/>
        <w:spacing w:after="0" w:line="277" w:lineRule="auto"/>
        <w:tabs>
          <w:tab w:leader="none" w:pos="3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62" w:lineRule="exact"/>
        <w:rPr>
          <w:rFonts w:ascii="Arial" w:cs="Arial" w:eastAsia="Arial" w:hAnsi="Arial"/>
          <w:sz w:val="18"/>
          <w:szCs w:val="18"/>
          <w:color w:val="auto"/>
        </w:rPr>
      </w:pPr>
    </w:p>
    <w:p>
      <w:pPr>
        <w:ind w:left="-8" w:right="40" w:firstLine="8"/>
        <w:spacing w:after="0" w:line="273" w:lineRule="auto"/>
        <w:tabs>
          <w:tab w:leader="none" w:pos="337"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each case, that the manner of determining such Person or making such payment shall be acceptable to the Trustee (as not imposing on it any undue administrative burden or risk of liability);</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57" w:name="page58"/>
    <w:bookmarkEnd w:id="57"/>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applicability, if any, of the Defeasance and Covenant Defeasance provisions of Article Fourteen hereof to the Securities of the series;</w:t>
      </w:r>
    </w:p>
    <w:p>
      <w:pPr>
        <w:spacing w:after="0" w:line="117" w:lineRule="exact"/>
        <w:rPr>
          <w:rFonts w:ascii="Arial" w:cs="Arial" w:eastAsia="Arial" w:hAnsi="Arial"/>
          <w:sz w:val="18"/>
          <w:szCs w:val="18"/>
          <w:color w:val="auto"/>
        </w:rPr>
      </w:pPr>
    </w:p>
    <w:p>
      <w:pPr>
        <w:ind w:right="120" w:firstLine="8"/>
        <w:spacing w:after="0" w:line="259" w:lineRule="auto"/>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78" w:lineRule="exact"/>
        <w:rPr>
          <w:rFonts w:ascii="Arial" w:cs="Arial" w:eastAsia="Arial" w:hAnsi="Arial"/>
          <w:sz w:val="18"/>
          <w:szCs w:val="18"/>
          <w:color w:val="auto"/>
        </w:rPr>
      </w:pPr>
    </w:p>
    <w:p>
      <w:pPr>
        <w:ind w:firstLine="8"/>
        <w:spacing w:after="0" w:line="264" w:lineRule="auto"/>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73" w:lineRule="exact"/>
        <w:rPr>
          <w:rFonts w:ascii="Arial" w:cs="Arial" w:eastAsia="Arial" w:hAnsi="Arial"/>
          <w:sz w:val="18"/>
          <w:szCs w:val="18"/>
          <w:color w:val="auto"/>
        </w:rPr>
      </w:pPr>
    </w:p>
    <w:p>
      <w:pPr>
        <w:ind w:right="100" w:firstLine="8"/>
        <w:spacing w:after="0" w:line="277" w:lineRule="auto"/>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Denominations</w:t>
      </w:r>
      <w:r>
        <w:rPr>
          <w:rFonts w:ascii="Arial" w:cs="Arial" w:eastAsia="Arial" w:hAnsi="Arial"/>
          <w:sz w:val="16"/>
          <w:szCs w:val="16"/>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5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58" w:name="page59"/>
    <w:bookmarkEnd w:id="5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the Trustee in accordance with the Company Order shall authenticate and deliver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connection with its original issuance, no Bearer Security shall be mailed or otherwise delivered to any location in the United States;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 an Opinion of Counsel stating that</w:t>
      </w:r>
    </w:p>
    <w:p>
      <w:pPr>
        <w:spacing w:after="0" w:line="117"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form or forms of such Securities and any coupons have been established in conformity with the provisions of this Indenture;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such Securities and any coupons have been established in conformity with the provisions of this Indenture; and</w:t>
      </w:r>
    </w:p>
    <w:p>
      <w:pPr>
        <w:spacing w:after="0" w:line="117" w:lineRule="exact"/>
        <w:rPr>
          <w:rFonts w:ascii="Arial" w:cs="Arial" w:eastAsia="Arial" w:hAnsi="Arial"/>
          <w:sz w:val="18"/>
          <w:szCs w:val="18"/>
          <w:color w:val="auto"/>
        </w:rPr>
      </w:pPr>
    </w:p>
    <w:p>
      <w:pPr>
        <w:ind w:right="40" w:firstLine="8"/>
        <w:spacing w:after="0" w:line="297" w:lineRule="auto"/>
        <w:tabs>
          <w:tab w:leader="none" w:pos="2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50" w:lineRule="exact"/>
        <w:rPr>
          <w:sz w:val="20"/>
          <w:szCs w:val="20"/>
          <w:color w:val="auto"/>
        </w:rPr>
      </w:pPr>
    </w:p>
    <w:p>
      <w:pPr>
        <w:ind w:right="80" w:firstLine="8"/>
        <w:spacing w:after="0" w:line="264"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59" w:name="page60"/>
    <w:bookmarkEnd w:id="59"/>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60" w:firstLine="8"/>
        <w:spacing w:after="0" w:line="255"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definitive Bearer Security shall be delivered in exchange for a temporary Registered Security;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75" w:lineRule="exact"/>
        <w:rPr>
          <w:sz w:val="20"/>
          <w:szCs w:val="20"/>
          <w:color w:val="auto"/>
        </w:rPr>
      </w:pPr>
    </w:p>
    <w:p>
      <w:pPr>
        <w:ind w:right="60" w:firstLine="8"/>
        <w:spacing w:after="0" w:line="276" w:lineRule="auto"/>
        <w:tabs>
          <w:tab w:leader="none" w:pos="2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60" w:name="page61"/>
    <w:bookmarkEnd w:id="6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 as may be established pursuant to Section 301;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definitive Bearer Securities shall be delivered in exchange for a portion of a temporary Global Security only in compliance with the requirements of Section 303.</w:t>
      </w:r>
    </w:p>
    <w:p>
      <w:pPr>
        <w:spacing w:after="0" w:line="18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Until exchanged in full as hereinabove provided, the temporary Securities of any series shall in all respects be entitled to the same benefits under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Indenture as definitive Securities of the same series and of like tenor authenticated and delivered hereunder, except that, unless otherwise specified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Section 301, interest payable on a temporary Global Security on an Interest Payment Date for Securities of such series occurring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Exchange Date shall be payable to Euroclear and Clearstream on such Interest Payment Date upon delivery by Euroclear and Clearstream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Trustee of a certificate or certificates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forms as may be established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for credit without further interest on or after such Interest Payment Date to the respective accounts of Persons who are the beneficial owners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temporary Global Security on such Interest Payment Date and who have each delivered to Euroclear or Clearstream, as the case may be, a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dated no earlier than 15 days prior to the Interest Payment Date occurring prior to such Exchange Date in the form set forth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such other forms as may be established pursuant to Section 301). Notwithstanding anything to the contrary herein contained, the certifications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paragraph shall satisfy the certification requirements of the preceding two paragraphs of this Section 304(b) and of the third paragraph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this Indenture and the interests of the Persons who are the beneficial owners of the temporary Global Security with respect to which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was made will be exchanged for definitive Securities of the same series and of like tenor on the Exchange Date or the date of certification if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occurs after the Exchange Date, without further act or deed by such beneficial owners. Except as otherwise provided in this paragraph, no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or interest owing with respect to a beneficial interest in a temporary Global Security will be made unless and until such interest in such temporary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 Security shall have been exchanged for an interest in a definitive Security. Any interest so received by Euroclear and Clearstream and not paid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provided shall be returned to the Trustee prior to the expiration of two years after such Interest Payment Date in order to be repaid to the Company.</w:t>
      </w:r>
    </w:p>
    <w:p>
      <w:pPr>
        <w:spacing w:after="0" w:line="23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61" w:name="page62"/>
    <w:bookmarkEnd w:id="61"/>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305. </w:t>
      </w:r>
      <w:r>
        <w:rPr>
          <w:rFonts w:ascii="Arial" w:cs="Arial" w:eastAsia="Arial" w:hAnsi="Arial"/>
          <w:sz w:val="17"/>
          <w:szCs w:val="17"/>
          <w:u w:val="single" w:color="auto"/>
          <w:color w:val="auto"/>
        </w:rPr>
        <w:t>Registration, Registration of Transfer, Conversion and Exchange</w:t>
      </w:r>
      <w:r>
        <w:rPr>
          <w:rFonts w:ascii="Arial" w:cs="Arial" w:eastAsia="Arial" w:hAnsi="Arial"/>
          <w:sz w:val="17"/>
          <w:szCs w:val="17"/>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62" w:name="page63"/>
    <w:bookmarkEnd w:id="6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w:t>
      </w:r>
    </w:p>
    <w:p>
      <w:pPr>
        <w:spacing w:after="0" w:line="1" w:lineRule="exact"/>
        <w:rPr>
          <w:sz w:val="20"/>
          <w:szCs w:val="20"/>
          <w:color w:val="auto"/>
        </w:rPr>
      </w:pPr>
    </w:p>
    <w:p>
      <w:pPr>
        <w:ind w:right="100" w:firstLine="8"/>
        <w:spacing w:after="0" w:line="281"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w:t>
      </w:r>
    </w:p>
    <w:p>
      <w:pPr>
        <w:spacing w:after="0" w:line="2" w:lineRule="exact"/>
        <w:rPr>
          <w:rFonts w:ascii="Arial" w:cs="Arial" w:eastAsia="Arial" w:hAnsi="Arial"/>
          <w:sz w:val="16"/>
          <w:szCs w:val="16"/>
          <w:color w:val="auto"/>
        </w:rPr>
      </w:pPr>
    </w:p>
    <w:p>
      <w:pPr>
        <w:ind w:firstLine="8"/>
        <w:spacing w:after="0" w:line="284" w:lineRule="auto"/>
        <w:tabs>
          <w:tab w:leader="none" w:pos="24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71"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2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63" w:name="page64"/>
    <w:bookmarkEnd w:id="6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Stolen Securities</w:t>
      </w:r>
      <w:r>
        <w:rPr>
          <w:rFonts w:ascii="Arial" w:cs="Arial" w:eastAsia="Arial" w:hAnsi="Arial"/>
          <w:sz w:val="17"/>
          <w:szCs w:val="17"/>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there shall be delivered to the Company and to the Trustee (i) evidence to their satisfaction of the destruction, loss or theft of any Security or coupon, and</w:t>
      </w:r>
    </w:p>
    <w:p>
      <w:pPr>
        <w:spacing w:after="0" w:line="46" w:lineRule="exact"/>
        <w:rPr>
          <w:sz w:val="20"/>
          <w:szCs w:val="20"/>
          <w:color w:val="auto"/>
        </w:rPr>
      </w:pPr>
    </w:p>
    <w:p>
      <w:pPr>
        <w:jc w:val="both"/>
        <w:ind w:right="40" w:firstLine="8"/>
        <w:spacing w:after="0" w:line="270" w:lineRule="auto"/>
        <w:tabs>
          <w:tab w:leader="none" w:pos="2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64" w:name="page65"/>
    <w:bookmarkEnd w:id="64"/>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Payment of Interest; Interest Rights Preserved</w:t>
      </w:r>
      <w:r>
        <w:rPr>
          <w:rFonts w:ascii="Arial" w:cs="Arial" w:eastAsia="Arial" w:hAnsi="Arial"/>
          <w:sz w:val="17"/>
          <w:szCs w:val="17"/>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63" w:lineRule="exact"/>
        <w:rPr>
          <w:sz w:val="20"/>
          <w:szCs w:val="20"/>
          <w:color w:val="auto"/>
        </w:rPr>
      </w:pPr>
    </w:p>
    <w:p>
      <w:pPr>
        <w:ind w:firstLine="8"/>
        <w:spacing w:after="0" w:line="270" w:lineRule="auto"/>
        <w:tabs>
          <w:tab w:leader="none" w:pos="2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65" w:name="page66"/>
    <w:bookmarkEnd w:id="6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64" w:lineRule="exact"/>
        <w:rPr>
          <w:sz w:val="20"/>
          <w:szCs w:val="20"/>
          <w:color w:val="auto"/>
        </w:rPr>
      </w:pPr>
    </w:p>
    <w:p>
      <w:pPr>
        <w:ind w:firstLine="8"/>
        <w:spacing w:after="0" w:line="259"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6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66" w:name="page67"/>
    <w:bookmarkEnd w:id="66"/>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 – SATISFACTION AND DISCHARGE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either</w:t>
      </w:r>
    </w:p>
    <w:p>
      <w:pPr>
        <w:spacing w:after="0" w:line="117" w:lineRule="exact"/>
        <w:rPr>
          <w:sz w:val="20"/>
          <w:szCs w:val="20"/>
          <w:color w:val="auto"/>
        </w:rPr>
      </w:pPr>
    </w:p>
    <w:p>
      <w:pPr>
        <w:ind w:right="20" w:firstLine="8"/>
        <w:spacing w:after="0" w:line="272" w:lineRule="auto"/>
        <w:tabs>
          <w:tab w:leader="none" w:pos="2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69" w:lineRule="exact"/>
        <w:rPr>
          <w:rFonts w:ascii="Arial" w:cs="Arial" w:eastAsia="Arial" w:hAnsi="Arial"/>
          <w:sz w:val="17"/>
          <w:szCs w:val="17"/>
          <w:color w:val="auto"/>
        </w:rPr>
      </w:pPr>
    </w:p>
    <w:p>
      <w:pPr>
        <w:ind w:left="300" w:hanging="292"/>
        <w:spacing w:after="0"/>
        <w:tabs>
          <w:tab w:leader="none" w:pos="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Securities of such series and, in the case of (i) or (ii) below, any coupons appertaining thereto not theretofore delivered to the Trustee for cancellation</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 have become due and payable,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67" w:name="page68"/>
    <w:bookmarkEnd w:id="67"/>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become due and payable at their Stated Maturity within one year, or</w:t>
      </w:r>
    </w:p>
    <w:p>
      <w:pPr>
        <w:spacing w:after="0" w:line="117" w:lineRule="exact"/>
        <w:rPr>
          <w:rFonts w:ascii="Arial" w:cs="Arial" w:eastAsia="Arial" w:hAnsi="Arial"/>
          <w:sz w:val="18"/>
          <w:szCs w:val="18"/>
          <w:color w:val="auto"/>
        </w:rPr>
      </w:pPr>
    </w:p>
    <w:p>
      <w:pPr>
        <w:ind w:right="80" w:firstLine="8"/>
        <w:spacing w:after="0" w:line="277" w:lineRule="auto"/>
        <w:tabs>
          <w:tab w:leader="none" w:pos="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80"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17" w:lineRule="exact"/>
        <w:rPr>
          <w:rFonts w:ascii="Arial" w:cs="Arial" w:eastAsia="Arial" w:hAnsi="Arial"/>
          <w:sz w:val="18"/>
          <w:szCs w:val="18"/>
          <w:color w:val="auto"/>
        </w:rPr>
      </w:pPr>
    </w:p>
    <w:p>
      <w:pPr>
        <w:ind w:firstLine="8"/>
        <w:spacing w:after="0" w:line="277"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Application of Trust Funds</w:t>
      </w:r>
      <w:r>
        <w:rPr>
          <w:rFonts w:ascii="Arial" w:cs="Arial" w:eastAsia="Arial" w:hAnsi="Arial"/>
          <w:sz w:val="17"/>
          <w:szCs w:val="17"/>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FIVE – REMEDIES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57" w:lineRule="exact"/>
        <w:rPr>
          <w:sz w:val="20"/>
          <w:szCs w:val="20"/>
          <w:color w:val="auto"/>
        </w:rPr>
      </w:pPr>
    </w:p>
    <w:p>
      <w:pPr>
        <w:ind w:right="60" w:firstLine="8"/>
        <w:spacing w:after="0" w:line="277"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62"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62" w:lineRule="exact"/>
        <w:rPr>
          <w:rFonts w:ascii="Arial" w:cs="Arial" w:eastAsia="Arial" w:hAnsi="Arial"/>
          <w:sz w:val="18"/>
          <w:szCs w:val="18"/>
          <w:color w:val="auto"/>
        </w:rPr>
      </w:pPr>
    </w:p>
    <w:p>
      <w:pPr>
        <w:ind w:right="220" w:firstLine="8"/>
        <w:spacing w:after="0" w:line="277"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to the extent applicable to such series of Securities, when and as due by the terms of any Security of that series; or</w:t>
      </w:r>
    </w:p>
    <w:p>
      <w:pPr>
        <w:spacing w:after="0" w:line="62" w:lineRule="exact"/>
        <w:rPr>
          <w:rFonts w:ascii="Arial" w:cs="Arial" w:eastAsia="Arial" w:hAnsi="Arial"/>
          <w:sz w:val="18"/>
          <w:szCs w:val="18"/>
          <w:color w:val="auto"/>
        </w:rPr>
      </w:pPr>
    </w:p>
    <w:p>
      <w:pPr>
        <w:ind w:right="80" w:firstLine="8"/>
        <w:spacing w:after="0" w:line="255"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68" w:name="page69"/>
    <w:bookmarkEnd w:id="68"/>
    <w:p>
      <w:pPr>
        <w:ind w:firstLine="8"/>
        <w:spacing w:after="0" w:line="269" w:lineRule="auto"/>
        <w:tabs>
          <w:tab w:leader="none" w:pos="255"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71" w:lineRule="exact"/>
        <w:rPr>
          <w:rFonts w:ascii="Arial" w:cs="Arial" w:eastAsia="Arial" w:hAnsi="Arial"/>
          <w:sz w:val="17"/>
          <w:szCs w:val="17"/>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is for relief against the Company or any Significant Subsidiary in an involuntary case,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 orders the liquidation of the Company or any Significant Subsidiary, and the order or decree remains unstayed and in effect for 90 days;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39" w:lineRule="exact"/>
        <w:rPr>
          <w:sz w:val="20"/>
          <w:szCs w:val="20"/>
          <w:color w:val="auto"/>
        </w:rPr>
      </w:pPr>
    </w:p>
    <w:p>
      <w:pPr>
        <w:ind w:right="40" w:firstLine="8"/>
        <w:spacing w:after="0" w:line="277"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62" w:lineRule="exact"/>
        <w:rPr>
          <w:sz w:val="20"/>
          <w:szCs w:val="20"/>
          <w:color w:val="auto"/>
        </w:rPr>
      </w:pPr>
    </w:p>
    <w:p>
      <w:pPr>
        <w:ind w:left="5620" w:right="3700" w:hanging="5612"/>
        <w:spacing w:after="0" w:line="449" w:lineRule="auto"/>
        <w:tabs>
          <w:tab w:leader="none" w:pos="2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 26</w:t>
      </w:r>
    </w:p>
    <w:p>
      <w:pPr>
        <w:sectPr>
          <w:pgSz w:w="11900" w:h="16838" w:orient="portrait"/>
          <w:cols w:equalWidth="0" w:num="1">
            <w:col w:w="11420"/>
          </w:cols>
          <w:pgMar w:left="240" w:top="274" w:right="239" w:bottom="1440" w:gutter="0" w:footer="0" w:header="0"/>
        </w:sectPr>
      </w:pPr>
    </w:p>
    <w:bookmarkStart w:id="69" w:name="page70"/>
    <w:bookmarkEnd w:id="69"/>
    <w:p>
      <w:pPr>
        <w:ind w:right="260" w:firstLine="8"/>
        <w:spacing w:after="0" w:line="277" w:lineRule="auto"/>
        <w:tabs>
          <w:tab w:leader="none" w:pos="285"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62" w:lineRule="exact"/>
        <w:rPr>
          <w:rFonts w:ascii="Arial" w:cs="Arial" w:eastAsia="Arial" w:hAnsi="Arial"/>
          <w:sz w:val="18"/>
          <w:szCs w:val="18"/>
          <w:color w:val="auto"/>
        </w:rPr>
      </w:pPr>
    </w:p>
    <w:p>
      <w:pPr>
        <w:ind w:right="400" w:firstLine="8"/>
        <w:spacing w:after="0" w:line="277" w:lineRule="auto"/>
        <w:tabs>
          <w:tab w:leader="none" w:pos="2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62"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sz w:val="20"/>
          <w:szCs w:val="20"/>
          <w:color w:val="auto"/>
        </w:rPr>
      </w:pPr>
    </w:p>
    <w:p>
      <w:pPr>
        <w:ind w:right="140" w:firstLine="8"/>
        <w:spacing w:after="0" w:line="264"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117" w:lineRule="exact"/>
        <w:rPr>
          <w:sz w:val="20"/>
          <w:szCs w:val="20"/>
          <w:color w:val="auto"/>
        </w:rPr>
      </w:pPr>
    </w:p>
    <w:p>
      <w:pPr>
        <w:ind w:right="320" w:firstLine="8"/>
        <w:spacing w:after="0" w:line="277"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or Make-Whole Amount, if any, on) any Security of any series at its Maturity,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85" w:lineRule="exact"/>
        <w:rPr>
          <w:sz w:val="20"/>
          <w:szCs w:val="20"/>
          <w:color w:val="auto"/>
        </w:rPr>
      </w:pPr>
    </w:p>
    <w:p>
      <w:pPr>
        <w:ind w:right="80" w:firstLine="8"/>
        <w:spacing w:after="0" w:line="259" w:lineRule="auto"/>
        <w:tabs>
          <w:tab w:leader="none" w:pos="2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to collect and receive any moneys or other property payable or deliverable on any such claims and to distribute the same;</w:t>
      </w:r>
    </w:p>
    <w:p>
      <w:pPr>
        <w:spacing w:after="0" w:line="225"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54"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Trustee May Enforce Claims Without Possession of Securities or Coupons</w:t>
      </w:r>
      <w:r>
        <w:rPr>
          <w:rFonts w:ascii="Arial" w:cs="Arial" w:eastAsia="Arial" w:hAnsi="Arial"/>
          <w:sz w:val="16"/>
          <w:szCs w:val="16"/>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THIRD: To the payment of the remainder, if any, to the Company.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Limitation on Suits</w:t>
      </w:r>
      <w:r>
        <w:rPr>
          <w:rFonts w:ascii="Arial" w:cs="Arial" w:eastAsia="Arial" w:hAnsi="Arial"/>
          <w:sz w:val="17"/>
          <w:szCs w:val="17"/>
          <w:color w:val="auto"/>
        </w:rPr>
        <w:t>. 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38"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Securities of that series;</w:t>
      </w:r>
    </w:p>
    <w:p>
      <w:pPr>
        <w:spacing w:after="0" w:line="117"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right="580" w:firstLine="8"/>
        <w:spacing w:after="0" w:line="277"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71" w:name="page72"/>
    <w:bookmarkEnd w:id="71"/>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for 60 days after its receipt of such notice, request and offer of indemnity has failed to institute any such proceeding; and</w:t>
      </w:r>
    </w:p>
    <w:p>
      <w:pPr>
        <w:spacing w:after="0" w:line="117" w:lineRule="exact"/>
        <w:rPr>
          <w:rFonts w:ascii="Arial" w:cs="Arial" w:eastAsia="Arial" w:hAnsi="Arial"/>
          <w:sz w:val="18"/>
          <w:szCs w:val="18"/>
          <w:color w:val="auto"/>
        </w:rPr>
      </w:pPr>
    </w:p>
    <w:p>
      <w:pPr>
        <w:ind w:right="480" w:firstLine="8"/>
        <w:spacing w:after="0" w:line="277"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Holders to Receive Principal, Premium or Make-Whole Amount, if any, and Interest</w:t>
      </w:r>
      <w:r>
        <w:rPr>
          <w:rFonts w:ascii="Arial" w:cs="Arial" w:eastAsia="Arial" w:hAnsi="Arial"/>
          <w:sz w:val="18"/>
          <w:szCs w:val="18"/>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right="340" w:firstLine="8"/>
        <w:spacing w:after="0" w:line="277"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by 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72" w:name="page73"/>
    <w:bookmarkEnd w:id="7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73"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the payment of the principal of (or premium or Make-Whole Amount, if any) or interest on any Security of such series or any related coupons, or</w:t>
      </w:r>
    </w:p>
    <w:p>
      <w:pPr>
        <w:spacing w:after="0" w:line="128" w:lineRule="exact"/>
        <w:rPr>
          <w:rFonts w:ascii="Arial" w:cs="Arial" w:eastAsia="Arial" w:hAnsi="Arial"/>
          <w:sz w:val="17"/>
          <w:szCs w:val="17"/>
          <w:color w:val="auto"/>
        </w:rPr>
      </w:pPr>
    </w:p>
    <w:p>
      <w:pPr>
        <w:ind w:right="800" w:firstLine="8"/>
        <w:spacing w:after="0" w:line="277"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Waiver of Usury, Stay or Extension Laws</w:t>
      </w:r>
      <w:r>
        <w:rPr>
          <w:rFonts w:ascii="Arial" w:cs="Arial" w:eastAsia="Arial" w:hAnsi="Arial"/>
          <w:sz w:val="17"/>
          <w:szCs w:val="17"/>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 – THE TRUSTEE</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73" w:name="page74"/>
    <w:bookmarkEnd w:id="73"/>
    <w:p>
      <w:pPr>
        <w:ind w:right="60" w:firstLine="8"/>
        <w:spacing w:after="0" w:line="264"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right="120" w:firstLine="8"/>
        <w:spacing w:after="0" w:line="286"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57" w:lineRule="exact"/>
        <w:rPr>
          <w:rFonts w:ascii="Arial" w:cs="Arial" w:eastAsia="Arial" w:hAnsi="Arial"/>
          <w:sz w:val="17"/>
          <w:szCs w:val="17"/>
          <w:color w:val="auto"/>
        </w:rPr>
      </w:pPr>
    </w:p>
    <w:p>
      <w:pPr>
        <w:ind w:left="260" w:hanging="252"/>
        <w:spacing w:after="0"/>
        <w:tabs>
          <w:tab w:leader="none" w:pos="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whenever in the administration of this Indenture the Trustee shall deem it desirable that a matter be proved or established prior to taking, suffering or</w:t>
      </w:r>
    </w:p>
    <w:p>
      <w:pPr>
        <w:spacing w:after="0" w:line="34" w:lineRule="exact"/>
        <w:rPr>
          <w:rFonts w:ascii="Arial" w:cs="Arial" w:eastAsia="Arial" w:hAnsi="Arial"/>
          <w:sz w:val="17"/>
          <w:szCs w:val="17"/>
          <w:color w:val="auto"/>
        </w:rPr>
      </w:pPr>
    </w:p>
    <w:p>
      <w:pPr>
        <w:ind w:right="200"/>
        <w:spacing w:after="0" w:line="261" w:lineRule="auto"/>
        <w:rPr>
          <w:rFonts w:ascii="Arial" w:cs="Arial" w:eastAsia="Arial" w:hAnsi="Arial"/>
          <w:sz w:val="17"/>
          <w:szCs w:val="17"/>
          <w:color w:val="auto"/>
        </w:rPr>
      </w:pPr>
      <w:r>
        <w:rPr>
          <w:rFonts w:ascii="Arial" w:cs="Arial" w:eastAsia="Arial" w:hAnsi="Arial"/>
          <w:sz w:val="18"/>
          <w:szCs w:val="18"/>
          <w:color w:val="auto"/>
        </w:rPr>
        <w:t>omitting any action hereunder, the Trustee (unless other evidence be herein specifically prescribed) may, in the absence of bad faith on its part, rely upon an Officers’ Certificate;</w:t>
      </w:r>
    </w:p>
    <w:p>
      <w:pPr>
        <w:spacing w:after="0" w:line="75" w:lineRule="exact"/>
        <w:rPr>
          <w:rFonts w:ascii="Arial" w:cs="Arial" w:eastAsia="Arial" w:hAnsi="Arial"/>
          <w:sz w:val="17"/>
          <w:szCs w:val="17"/>
          <w:color w:val="auto"/>
        </w:rPr>
      </w:pPr>
    </w:p>
    <w:p>
      <w:pPr>
        <w:ind w:right="360" w:firstLine="8"/>
        <w:spacing w:after="0" w:line="308"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38" w:lineRule="exact"/>
        <w:rPr>
          <w:rFonts w:ascii="Arial" w:cs="Arial" w:eastAsia="Arial" w:hAnsi="Arial"/>
          <w:sz w:val="17"/>
          <w:szCs w:val="17"/>
          <w:color w:val="auto"/>
        </w:rPr>
      </w:pPr>
    </w:p>
    <w:p>
      <w:pPr>
        <w:ind w:right="240" w:firstLine="8"/>
        <w:spacing w:after="0" w:line="259"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78" w:lineRule="exact"/>
        <w:rPr>
          <w:rFonts w:ascii="Arial" w:cs="Arial" w:eastAsia="Arial" w:hAnsi="Arial"/>
          <w:sz w:val="18"/>
          <w:szCs w:val="18"/>
          <w:color w:val="auto"/>
        </w:rPr>
      </w:pPr>
    </w:p>
    <w:p>
      <w:pPr>
        <w:ind w:firstLine="8"/>
        <w:spacing w:after="0" w:line="270"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69" w:lineRule="exact"/>
        <w:rPr>
          <w:rFonts w:ascii="Arial" w:cs="Arial" w:eastAsia="Arial" w:hAnsi="Arial"/>
          <w:sz w:val="17"/>
          <w:szCs w:val="17"/>
          <w:color w:val="auto"/>
        </w:rPr>
      </w:pPr>
    </w:p>
    <w:p>
      <w:pPr>
        <w:ind w:right="80" w:firstLine="8"/>
        <w:spacing w:after="0" w:line="342" w:lineRule="auto"/>
        <w:tabs>
          <w:tab w:leader="none" w:pos="25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5" w:lineRule="exact"/>
        <w:rPr>
          <w:rFonts w:ascii="Arial" w:cs="Arial" w:eastAsia="Arial" w:hAnsi="Arial"/>
          <w:sz w:val="16"/>
          <w:szCs w:val="16"/>
          <w:color w:val="auto"/>
        </w:rPr>
      </w:pPr>
    </w:p>
    <w:p>
      <w:pPr>
        <w:ind w:right="440" w:firstLine="8"/>
        <w:spacing w:after="0" w:line="277"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400" w:firstLine="8"/>
        <w:spacing w:after="0" w:line="277"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permissive right or power available to the Trustee under this Indenture or any supplement hereto shall not be construed to be a mandatory duty or obligation;</w:t>
      </w:r>
    </w:p>
    <w:p>
      <w:pPr>
        <w:spacing w:after="0" w:line="62" w:lineRule="exact"/>
        <w:rPr>
          <w:rFonts w:ascii="Arial" w:cs="Arial" w:eastAsia="Arial" w:hAnsi="Arial"/>
          <w:sz w:val="18"/>
          <w:szCs w:val="18"/>
          <w:color w:val="auto"/>
        </w:rPr>
      </w:pPr>
    </w:p>
    <w:p>
      <w:pPr>
        <w:ind w:right="200" w:firstLine="8"/>
        <w:spacing w:after="0" w:line="264" w:lineRule="auto"/>
        <w:tabs>
          <w:tab w:leader="none" w:pos="3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73" w:lineRule="exact"/>
        <w:rPr>
          <w:rFonts w:ascii="Arial" w:cs="Arial" w:eastAsia="Arial" w:hAnsi="Arial"/>
          <w:sz w:val="18"/>
          <w:szCs w:val="18"/>
          <w:color w:val="auto"/>
        </w:rPr>
      </w:pPr>
    </w:p>
    <w:p>
      <w:pPr>
        <w:ind w:right="240" w:firstLine="8"/>
        <w:spacing w:after="0" w:line="277" w:lineRule="auto"/>
        <w:tabs>
          <w:tab w:leader="none" w:pos="3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62" w:lineRule="exact"/>
        <w:rPr>
          <w:rFonts w:ascii="Arial" w:cs="Arial" w:eastAsia="Arial" w:hAnsi="Arial"/>
          <w:sz w:val="18"/>
          <w:szCs w:val="18"/>
          <w:color w:val="auto"/>
        </w:rPr>
      </w:pPr>
    </w:p>
    <w:p>
      <w:pPr>
        <w:ind w:right="60" w:firstLine="8"/>
        <w:spacing w:after="0" w:line="264" w:lineRule="auto"/>
        <w:tabs>
          <w:tab w:leader="none" w:pos="3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73" w:lineRule="exact"/>
        <w:rPr>
          <w:rFonts w:ascii="Arial" w:cs="Arial" w:eastAsia="Arial" w:hAnsi="Arial"/>
          <w:sz w:val="18"/>
          <w:szCs w:val="18"/>
          <w:color w:val="auto"/>
        </w:rPr>
      </w:pPr>
    </w:p>
    <w:p>
      <w:pPr>
        <w:ind w:right="380" w:firstLine="8"/>
        <w:spacing w:after="0" w:line="286" w:lineRule="auto"/>
        <w:tabs>
          <w:tab w:leader="none" w:pos="34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74" w:name="page75"/>
    <w:bookmarkEnd w:id="7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Corporate Trustee Required; Eligibility; Conflicting Interests</w:t>
      </w:r>
      <w:r>
        <w:rPr>
          <w:rFonts w:ascii="Arial" w:cs="Arial" w:eastAsia="Arial" w:hAnsi="Arial"/>
          <w:sz w:val="17"/>
          <w:szCs w:val="17"/>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100" w:firstLine="8"/>
        <w:spacing w:after="0" w:line="277" w:lineRule="auto"/>
        <w:tabs>
          <w:tab w:leader="none" w:pos="2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62" w:lineRule="exact"/>
        <w:rPr>
          <w:rFonts w:ascii="Arial" w:cs="Arial" w:eastAsia="Arial" w:hAnsi="Arial"/>
          <w:sz w:val="18"/>
          <w:szCs w:val="18"/>
          <w:color w:val="auto"/>
        </w:rPr>
      </w:pPr>
    </w:p>
    <w:p>
      <w:pPr>
        <w:jc w:val="both"/>
        <w:ind w:right="180" w:firstLine="8"/>
        <w:spacing w:after="0" w:line="312" w:lineRule="auto"/>
        <w:tabs>
          <w:tab w:leader="none" w:pos="2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38" w:lineRule="exact"/>
        <w:rPr>
          <w:rFonts w:ascii="Arial" w:cs="Arial" w:eastAsia="Arial" w:hAnsi="Arial"/>
          <w:sz w:val="16"/>
          <w:szCs w:val="16"/>
          <w:color w:val="auto"/>
        </w:rPr>
      </w:pPr>
    </w:p>
    <w:p>
      <w:pPr>
        <w:ind w:right="160" w:firstLine="8"/>
        <w:spacing w:after="0" w:line="259" w:lineRule="auto"/>
        <w:tabs>
          <w:tab w:leader="none" w:pos="2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right="260" w:firstLine="8"/>
        <w:spacing w:after="0" w:line="277"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75" w:name="page76"/>
    <w:bookmarkEnd w:id="75"/>
    <w:p>
      <w:pPr>
        <w:ind w:right="580" w:firstLine="8"/>
        <w:spacing w:after="0" w:line="277"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cease to be eligible under Section 607 and shall fail to resign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right="100" w:firstLine="8"/>
        <w:spacing w:after="0" w:line="342" w:lineRule="auto"/>
        <w:tabs>
          <w:tab w:leader="none" w:pos="2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79" w:lineRule="exact"/>
        <w:rPr>
          <w:sz w:val="20"/>
          <w:szCs w:val="20"/>
          <w:color w:val="auto"/>
        </w:rPr>
      </w:pPr>
    </w:p>
    <w:p>
      <w:pPr>
        <w:ind w:right="40" w:firstLine="8"/>
        <w:spacing w:after="0" w:line="287" w:lineRule="auto"/>
        <w:tabs>
          <w:tab w:leader="none" w:pos="245"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64" w:lineRule="exact"/>
        <w:rPr>
          <w:rFonts w:ascii="Arial" w:cs="Arial" w:eastAsia="Arial" w:hAnsi="Arial"/>
          <w:sz w:val="16"/>
          <w:szCs w:val="16"/>
          <w:color w:val="auto"/>
        </w:rPr>
      </w:pPr>
    </w:p>
    <w:p>
      <w:pPr>
        <w:jc w:val="both"/>
        <w:ind w:right="80" w:firstLine="8"/>
        <w:spacing w:after="0" w:line="312" w:lineRule="auto"/>
        <w:tabs>
          <w:tab w:leader="none" w:pos="22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firstLine="8"/>
        <w:spacing w:after="0" w:line="255" w:lineRule="auto"/>
        <w:tabs>
          <w:tab w:leader="none" w:pos="2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81" w:lineRule="exact"/>
        <w:rPr>
          <w:rFonts w:ascii="Arial" w:cs="Arial" w:eastAsia="Arial" w:hAnsi="Arial"/>
          <w:sz w:val="18"/>
          <w:szCs w:val="18"/>
          <w:color w:val="auto"/>
        </w:rPr>
      </w:pPr>
    </w:p>
    <w:p>
      <w:pPr>
        <w:ind w:firstLine="8"/>
        <w:spacing w:after="0" w:line="271" w:lineRule="auto"/>
        <w:tabs>
          <w:tab w:leader="none" w:pos="2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76" w:name="page77"/>
    <w:bookmarkEnd w:id="7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71" w:lineRule="exact"/>
        <w:rPr>
          <w:sz w:val="20"/>
          <w:szCs w:val="20"/>
          <w:color w:val="auto"/>
        </w:rPr>
      </w:pPr>
    </w:p>
    <w:p>
      <w:pPr>
        <w:ind w:right="140" w:firstLine="8"/>
        <w:spacing w:after="0" w:line="308" w:lineRule="auto"/>
        <w:tabs>
          <w:tab w:leader="none" w:pos="245"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38" w:lineRule="exact"/>
        <w:rPr>
          <w:rFonts w:ascii="Arial" w:cs="Arial" w:eastAsia="Arial" w:hAnsi="Arial"/>
          <w:sz w:val="17"/>
          <w:szCs w:val="17"/>
          <w:color w:val="auto"/>
        </w:rPr>
      </w:pPr>
    </w:p>
    <w:p>
      <w:pPr>
        <w:ind w:right="240" w:firstLine="8"/>
        <w:spacing w:after="0" w:line="277"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6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77" w:name="page78"/>
    <w:bookmarkEnd w:id="77"/>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5740" w:type="dxa"/>
            <w:vAlign w:val="bottom"/>
            <w:gridSpan w:val="2"/>
          </w:tcPr>
          <w:p>
            <w:pPr>
              <w:ind w:left="5360"/>
              <w:spacing w:after="0"/>
              <w:rPr>
                <w:sz w:val="20"/>
                <w:szCs w:val="20"/>
                <w:color w:val="auto"/>
              </w:rPr>
            </w:pPr>
            <w:r>
              <w:rPr>
                <w:rFonts w:ascii="Arial" w:cs="Arial" w:eastAsia="Arial" w:hAnsi="Arial"/>
                <w:sz w:val="18"/>
                <w:szCs w:val="18"/>
                <w:color w:val="auto"/>
              </w:rPr>
              <w:t>[</w:t>
            </w:r>
          </w:p>
        </w:tc>
        <w:tc>
          <w:tcPr>
            <w:tcW w:w="5140" w:type="dxa"/>
            <w:vAlign w:val="bottom"/>
          </w:tcPr>
          <w:p>
            <w:pPr>
              <w:jc w:val="right"/>
              <w:ind w:right="4170"/>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980" w:type="dxa"/>
            <w:vAlign w:val="bottom"/>
            <w:gridSpan w:val="2"/>
          </w:tcPr>
          <w:p>
            <w:pPr>
              <w:ind w:left="4460"/>
              <w:spacing w:after="0"/>
              <w:rPr>
                <w:sz w:val="20"/>
                <w:szCs w:val="20"/>
                <w:color w:val="auto"/>
              </w:rPr>
            </w:pPr>
            <w:r>
              <w:rPr>
                <w:rFonts w:ascii="Arial" w:cs="Arial" w:eastAsia="Arial" w:hAnsi="Arial"/>
                <w:sz w:val="18"/>
                <w:szCs w:val="18"/>
                <w:color w:val="auto"/>
              </w:rPr>
              <w:t>as Trustee</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900" w:type="dxa"/>
            <w:vAlign w:val="bottom"/>
            <w:tcBorders>
              <w:bottom w:val="single" w:sz="8" w:color="auto"/>
            </w:tcBorders>
          </w:tcPr>
          <w:p>
            <w:pPr>
              <w:spacing w:after="0"/>
              <w:rPr>
                <w:sz w:val="24"/>
                <w:szCs w:val="24"/>
                <w:color w:val="auto"/>
              </w:rPr>
            </w:pPr>
          </w:p>
        </w:tc>
        <w:tc>
          <w:tcPr>
            <w:tcW w:w="4840" w:type="dxa"/>
            <w:vAlign w:val="bottom"/>
          </w:tcPr>
          <w:p>
            <w:pPr>
              <w:ind w:left="446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1"/>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24"/>
        </w:trPr>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 Authenticating Agent</w:t>
            </w:r>
          </w:p>
        </w:tc>
      </w:tr>
      <w:tr>
        <w:trPr>
          <w:trHeight w:val="391"/>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900" w:type="dxa"/>
            <w:vAlign w:val="bottom"/>
            <w:tcBorders>
              <w:bottom w:val="single" w:sz="8" w:color="auto"/>
            </w:tcBorders>
          </w:tcPr>
          <w:p>
            <w:pPr>
              <w:spacing w:after="0"/>
              <w:rPr>
                <w:sz w:val="24"/>
                <w:szCs w:val="24"/>
                <w:color w:val="auto"/>
              </w:rPr>
            </w:pPr>
          </w:p>
        </w:tc>
        <w:tc>
          <w:tcPr>
            <w:tcW w:w="4840" w:type="dxa"/>
            <w:vAlign w:val="bottom"/>
          </w:tcPr>
          <w:p>
            <w:pPr>
              <w:ind w:left="446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1"/>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24"/>
        </w:trPr>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 Authenticating Agent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Certain Duties and Responsibilities of the Trustee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With respect to the Securities of any series, except during the continuance of an Event of Default with respect to the Securities of such series:</w:t>
      </w:r>
    </w:p>
    <w:p>
      <w:pPr>
        <w:spacing w:after="0" w:line="129" w:lineRule="exact"/>
        <w:rPr>
          <w:sz w:val="20"/>
          <w:szCs w:val="20"/>
          <w:color w:val="auto"/>
        </w:rPr>
      </w:pPr>
    </w:p>
    <w:p>
      <w:pPr>
        <w:ind w:right="180" w:firstLine="8"/>
        <w:spacing w:after="0" w:line="277"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right="120" w:firstLine="8"/>
        <w:spacing w:after="0" w:line="302" w:lineRule="auto"/>
        <w:tabs>
          <w:tab w:leader="none" w:pos="2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46" w:lineRule="exact"/>
        <w:rPr>
          <w:sz w:val="20"/>
          <w:szCs w:val="20"/>
          <w:color w:val="auto"/>
        </w:rPr>
      </w:pPr>
    </w:p>
    <w:p>
      <w:pPr>
        <w:ind w:right="20" w:firstLine="8"/>
        <w:spacing w:after="0" w:line="264"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78" w:name="page79"/>
    <w:bookmarkEnd w:id="78"/>
    <w:p>
      <w:pPr>
        <w:ind w:right="320" w:firstLine="8"/>
        <w:spacing w:after="0" w:line="277" w:lineRule="auto"/>
        <w:tabs>
          <w:tab w:leader="none" w:pos="245"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62"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117" w:lineRule="exact"/>
        <w:rPr>
          <w:rFonts w:ascii="Arial" w:cs="Arial" w:eastAsia="Arial" w:hAnsi="Arial"/>
          <w:sz w:val="18"/>
          <w:szCs w:val="18"/>
          <w:color w:val="auto"/>
        </w:rPr>
      </w:pPr>
    </w:p>
    <w:p>
      <w:pPr>
        <w:ind w:right="620" w:firstLine="8"/>
        <w:spacing w:after="0" w:line="277"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firstLine="8"/>
        <w:spacing w:after="0" w:line="312" w:lineRule="auto"/>
        <w:tabs>
          <w:tab w:leader="none" w:pos="2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38" w:lineRule="exact"/>
        <w:rPr>
          <w:rFonts w:ascii="Arial" w:cs="Arial" w:eastAsia="Arial" w:hAnsi="Arial"/>
          <w:sz w:val="16"/>
          <w:szCs w:val="16"/>
          <w:color w:val="auto"/>
        </w:rPr>
      </w:pPr>
    </w:p>
    <w:p>
      <w:pPr>
        <w:ind w:right="80" w:firstLine="8"/>
        <w:spacing w:after="0" w:line="257"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80" w:lineRule="exact"/>
        <w:rPr>
          <w:sz w:val="20"/>
          <w:szCs w:val="20"/>
          <w:color w:val="auto"/>
        </w:rPr>
      </w:pPr>
    </w:p>
    <w:p>
      <w:pPr>
        <w:ind w:right="180" w:firstLine="8"/>
        <w:spacing w:after="0" w:line="277"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62" w:lineRule="exact"/>
        <w:rPr>
          <w:rFonts w:ascii="Arial" w:cs="Arial" w:eastAsia="Arial" w:hAnsi="Arial"/>
          <w:sz w:val="18"/>
          <w:szCs w:val="18"/>
          <w:color w:val="auto"/>
        </w:rPr>
      </w:pPr>
    </w:p>
    <w:p>
      <w:pPr>
        <w:ind w:right="460" w:firstLine="8"/>
        <w:spacing w:after="0" w:line="277" w:lineRule="auto"/>
        <w:tabs>
          <w:tab w:leader="none" w:pos="2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 – 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Disclosure of Names and Addresses of Holders</w:t>
      </w:r>
      <w:r>
        <w:rPr>
          <w:rFonts w:ascii="Arial" w:cs="Arial" w:eastAsia="Arial" w:hAnsi="Arial"/>
          <w:sz w:val="16"/>
          <w:szCs w:val="16"/>
          <w:color w:val="auto"/>
        </w:rPr>
        <w:t>. Every Holder of Securities or coupons, by receiving and holding the same, agrees with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and the Trustee that neither the Company nor the Trustee nor any Authenticating Agent nor any Paying Agent nor any Security Registrar shall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held accountable by reason of the disclosure of any information as to the names and addresses of the Holders of Securities in accordance with TIA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312, regardless of the source from which such information was derived, and that the Trustee shall not be held accountable by reason of mailing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pursuant to a request made under TIA Section 312(b).</w:t>
      </w:r>
    </w:p>
    <w:p>
      <w:pPr>
        <w:spacing w:after="0" w:line="21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Reports by Trustee</w:t>
      </w:r>
      <w:r>
        <w:rPr>
          <w:rFonts w:ascii="Arial" w:cs="Arial" w:eastAsia="Arial" w:hAnsi="Arial"/>
          <w:sz w:val="16"/>
          <w:szCs w:val="16"/>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w:t>
      </w:r>
    </w:p>
    <w:p>
      <w:pPr>
        <w:ind w:left="460" w:hanging="92"/>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201  . A copy of each such report shall, at the time of such transmission to Holders, be filed by the Trustee with each over-the-counter market or</w:t>
      </w:r>
    </w:p>
    <w:p>
      <w:pPr>
        <w:spacing w:after="0" w:line="20"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will:</w:t>
      </w:r>
    </w:p>
    <w:p>
      <w:pPr>
        <w:spacing w:after="0" w:line="117" w:lineRule="exact"/>
        <w:rPr>
          <w:sz w:val="20"/>
          <w:szCs w:val="20"/>
          <w:color w:val="auto"/>
        </w:rPr>
      </w:pPr>
    </w:p>
    <w:p>
      <w:pPr>
        <w:ind w:firstLine="8"/>
        <w:spacing w:after="0" w:line="271" w:lineRule="auto"/>
        <w:tabs>
          <w:tab w:leader="none" w:pos="2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79" w:name="page80"/>
    <w:bookmarkEnd w:id="79"/>
    <w:p>
      <w:pPr>
        <w:ind w:right="80" w:firstLine="8"/>
        <w:spacing w:after="0" w:line="264" w:lineRule="auto"/>
        <w:tabs>
          <w:tab w:leader="none" w:pos="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73" w:lineRule="exact"/>
        <w:rPr>
          <w:rFonts w:ascii="Arial" w:cs="Arial" w:eastAsia="Arial" w:hAnsi="Arial"/>
          <w:sz w:val="18"/>
          <w:szCs w:val="18"/>
          <w:color w:val="auto"/>
        </w:rPr>
      </w:pPr>
    </w:p>
    <w:p>
      <w:pPr>
        <w:ind w:right="60" w:firstLine="8"/>
        <w:spacing w:after="0" w:line="264" w:lineRule="auto"/>
        <w:tabs>
          <w:tab w:leader="none" w:pos="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Company to Furnish Trustee Names and Addresses of Holders</w:t>
      </w:r>
      <w:r>
        <w:rPr>
          <w:rFonts w:ascii="Arial" w:cs="Arial" w:eastAsia="Arial" w:hAnsi="Arial"/>
          <w:sz w:val="17"/>
          <w:szCs w:val="17"/>
          <w:color w:val="auto"/>
        </w:rPr>
        <w:t>. The Company will furnish or cause to be furnished to the Trustee:</w:t>
      </w:r>
    </w:p>
    <w:p>
      <w:pPr>
        <w:spacing w:after="0" w:line="129" w:lineRule="exact"/>
        <w:rPr>
          <w:sz w:val="20"/>
          <w:szCs w:val="20"/>
          <w:color w:val="auto"/>
        </w:rPr>
      </w:pPr>
    </w:p>
    <w:p>
      <w:pPr>
        <w:ind w:right="20" w:firstLine="8"/>
        <w:spacing w:after="0" w:line="259" w:lineRule="auto"/>
        <w:tabs>
          <w:tab w:leader="none" w:pos="2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78"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is the Security Registrar, no such list shall be required to be furnished.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 EIGHT CONSOLIDATION, MERGER, SALE, LEASE OR CONVEYANCE</w:t>
      </w:r>
    </w:p>
    <w:p>
      <w:pPr>
        <w:spacing w:after="0" w:line="225" w:lineRule="exact"/>
        <w:rPr>
          <w:sz w:val="20"/>
          <w:szCs w:val="20"/>
          <w:color w:val="auto"/>
        </w:rPr>
      </w:pPr>
    </w:p>
    <w:p>
      <w:pPr>
        <w:jc w:val="both"/>
        <w:ind w:right="240"/>
        <w:spacing w:after="0" w:line="29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Consolidations and Mergers of Company and Sales, Leases and Conveyances Permitted Subject to Certain Conditions</w:t>
      </w:r>
      <w:r>
        <w:rPr>
          <w:rFonts w:ascii="Arial" w:cs="Arial" w:eastAsia="Arial" w:hAnsi="Arial"/>
          <w:sz w:val="16"/>
          <w:szCs w:val="16"/>
          <w:color w:val="auto"/>
        </w:rPr>
        <w:t>. The Company may consolidate with, or sell, lease or convey all or substantially all of its assets to, or merge with or into any other corporation, provided that in any such case,</w:t>
      </w:r>
    </w:p>
    <w:p>
      <w:pPr>
        <w:ind w:firstLine="8"/>
        <w:spacing w:after="0" w:line="268"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8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Rights and Duties of Successor Corporation</w:t>
      </w:r>
      <w:r>
        <w:rPr>
          <w:rFonts w:ascii="Arial" w:cs="Arial" w:eastAsia="Arial" w:hAnsi="Arial"/>
          <w:sz w:val="16"/>
          <w:szCs w:val="16"/>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80" w:name="page81"/>
    <w:bookmarkEnd w:id="80"/>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NINE – SUPPLEMENTAL INDENTURES</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73" w:lineRule="exact"/>
        <w:rPr>
          <w:sz w:val="20"/>
          <w:szCs w:val="20"/>
          <w:color w:val="auto"/>
        </w:rPr>
      </w:pPr>
    </w:p>
    <w:p>
      <w:pPr>
        <w:ind w:firstLine="8"/>
        <w:spacing w:after="0" w:line="277"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62" w:lineRule="exact"/>
        <w:rPr>
          <w:rFonts w:ascii="Arial" w:cs="Arial" w:eastAsia="Arial" w:hAnsi="Arial"/>
          <w:sz w:val="18"/>
          <w:szCs w:val="18"/>
          <w:color w:val="auto"/>
        </w:rPr>
      </w:pPr>
    </w:p>
    <w:p>
      <w:pPr>
        <w:ind w:right="240" w:firstLine="8"/>
        <w:spacing w:after="0" w:line="264"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73" w:lineRule="exact"/>
        <w:rPr>
          <w:rFonts w:ascii="Arial" w:cs="Arial" w:eastAsia="Arial" w:hAnsi="Arial"/>
          <w:sz w:val="18"/>
          <w:szCs w:val="18"/>
          <w:color w:val="auto"/>
        </w:rPr>
      </w:pPr>
    </w:p>
    <w:p>
      <w:pPr>
        <w:ind w:right="180" w:firstLine="8"/>
        <w:spacing w:after="0" w:line="273" w:lineRule="auto"/>
        <w:tabs>
          <w:tab w:leader="none" w:pos="2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70" w:lineRule="exact"/>
        <w:rPr>
          <w:rFonts w:ascii="Arial" w:cs="Arial" w:eastAsia="Arial" w:hAnsi="Arial"/>
          <w:sz w:val="17"/>
          <w:szCs w:val="17"/>
          <w:color w:val="auto"/>
        </w:rPr>
      </w:pPr>
    </w:p>
    <w:p>
      <w:pPr>
        <w:ind w:right="160" w:firstLine="8"/>
        <w:spacing w:after="0" w:line="257"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any series or any related coupons in any material respect; or</w:t>
      </w:r>
    </w:p>
    <w:p>
      <w:pPr>
        <w:spacing w:after="0" w:line="80" w:lineRule="exact"/>
        <w:rPr>
          <w:rFonts w:ascii="Arial" w:cs="Arial" w:eastAsia="Arial" w:hAnsi="Arial"/>
          <w:sz w:val="18"/>
          <w:szCs w:val="18"/>
          <w:color w:val="auto"/>
        </w:rPr>
      </w:pPr>
    </w:p>
    <w:p>
      <w:pPr>
        <w:ind w:right="160" w:firstLine="8"/>
        <w:spacing w:after="0" w:line="342" w:lineRule="auto"/>
        <w:tabs>
          <w:tab w:leader="none" w:pos="2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to change or eliminate any of the provisions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5" w:lineRule="exact"/>
        <w:rPr>
          <w:rFonts w:ascii="Arial" w:cs="Arial" w:eastAsia="Arial" w:hAnsi="Arial"/>
          <w:sz w:val="16"/>
          <w:szCs w:val="16"/>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and any related coupons as permitted or contemplated by Sections 201 and 301; or</w:t>
      </w:r>
    </w:p>
    <w:p>
      <w:pPr>
        <w:spacing w:after="0" w:line="117" w:lineRule="exact"/>
        <w:rPr>
          <w:rFonts w:ascii="Arial" w:cs="Arial" w:eastAsia="Arial" w:hAnsi="Arial"/>
          <w:sz w:val="18"/>
          <w:szCs w:val="18"/>
          <w:color w:val="auto"/>
        </w:rPr>
      </w:pPr>
    </w:p>
    <w:p>
      <w:pPr>
        <w:ind w:right="20" w:firstLine="8"/>
        <w:spacing w:after="0" w:line="264"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3" w:lineRule="exact"/>
        <w:rPr>
          <w:rFonts w:ascii="Arial" w:cs="Arial" w:eastAsia="Arial" w:hAnsi="Arial"/>
          <w:sz w:val="18"/>
          <w:szCs w:val="18"/>
          <w:color w:val="auto"/>
        </w:rPr>
      </w:pPr>
    </w:p>
    <w:p>
      <w:pPr>
        <w:ind w:right="200" w:firstLine="8"/>
        <w:spacing w:after="0" w:line="312" w:lineRule="auto"/>
        <w:tabs>
          <w:tab w:leader="none" w:pos="2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provisions shall not adversely affect the interests of the Holders of Securities of any series or any related coupons in any material respect;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81" w:name="page82"/>
    <w:bookmarkEnd w:id="81"/>
    <w:p>
      <w:pPr>
        <w:ind w:left="360" w:hanging="352"/>
        <w:spacing w:after="0"/>
        <w:tabs>
          <w:tab w:leader="none" w:pos="360" w:val="left"/>
        </w:tabs>
        <w:numPr>
          <w:ilvl w:val="0"/>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supplement any of the provisions of this Indenture to such extent as shall be necessary to permit or facilitate the Defeasance and discharge of any</w:t>
      </w:r>
    </w:p>
    <w:p>
      <w:pPr>
        <w:spacing w:after="0" w:line="46"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series of Securities pursuant to Sections 401, 1402 and 1403;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and any related coupons or any other series of Securities in any material respect; or</w:t>
      </w:r>
    </w:p>
    <w:p>
      <w:pPr>
        <w:spacing w:after="0" w:line="75" w:lineRule="exact"/>
        <w:rPr>
          <w:rFonts w:ascii="Arial" w:cs="Arial" w:eastAsia="Arial" w:hAnsi="Arial"/>
          <w:sz w:val="16"/>
          <w:szCs w:val="16"/>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make provisions with respect to Holders’ rights of conversion with respect to any series of Securities pursuant to Article Sixteen.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85" w:lineRule="exact"/>
        <w:rPr>
          <w:sz w:val="20"/>
          <w:szCs w:val="20"/>
          <w:color w:val="auto"/>
        </w:rPr>
      </w:pPr>
    </w:p>
    <w:p>
      <w:pPr>
        <w:ind w:firstLine="8"/>
        <w:spacing w:after="0" w:line="270" w:lineRule="auto"/>
        <w:tabs>
          <w:tab w:leader="none" w:pos="255" w:val="left"/>
        </w:tabs>
        <w:numPr>
          <w:ilvl w:val="0"/>
          <w:numId w:val="98"/>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73" w:lineRule="exact"/>
        <w:rPr>
          <w:rFonts w:ascii="Arial" w:cs="Arial" w:eastAsia="Arial" w:hAnsi="Arial"/>
          <w:sz w:val="17"/>
          <w:szCs w:val="17"/>
          <w:color w:val="auto"/>
        </w:rPr>
      </w:pPr>
    </w:p>
    <w:p>
      <w:pPr>
        <w:ind w:right="20" w:firstLine="8"/>
        <w:spacing w:after="0" w:line="312" w:lineRule="auto"/>
        <w:tabs>
          <w:tab w:leader="none" w:pos="2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38" w:lineRule="exact"/>
        <w:rPr>
          <w:rFonts w:ascii="Arial" w:cs="Arial" w:eastAsia="Arial" w:hAnsi="Arial"/>
          <w:sz w:val="16"/>
          <w:szCs w:val="16"/>
          <w:color w:val="auto"/>
        </w:rPr>
      </w:pPr>
    </w:p>
    <w:p>
      <w:pPr>
        <w:ind w:right="80" w:firstLine="8"/>
        <w:spacing w:after="0" w:line="257" w:lineRule="auto"/>
        <w:tabs>
          <w:tab w:leader="none" w:pos="2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74" w:right="299" w:bottom="1440" w:gutter="0" w:footer="0" w:header="0"/>
        </w:sectPr>
      </w:pPr>
    </w:p>
    <w:bookmarkStart w:id="82" w:name="page83"/>
    <w:bookmarkEnd w:id="82"/>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TEN – COVENANTS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Payment of Principal, Premium or Make-Whole Amount, if any; and Interest</w:t>
      </w:r>
      <w:r>
        <w:rPr>
          <w:rFonts w:ascii="Arial" w:cs="Arial" w:eastAsia="Arial" w:hAnsi="Arial"/>
          <w:sz w:val="16"/>
          <w:szCs w:val="16"/>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6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83" w:name="page84"/>
    <w:bookmarkEnd w:id="83"/>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4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84" w:name="page85"/>
    <w:bookmarkEnd w:id="84"/>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62" w:lineRule="exact"/>
        <w:rPr>
          <w:sz w:val="20"/>
          <w:szCs w:val="20"/>
          <w:color w:val="auto"/>
        </w:rPr>
      </w:pPr>
    </w:p>
    <w:p>
      <w:pPr>
        <w:ind w:right="180" w:firstLine="8"/>
        <w:spacing w:after="0" w:line="277"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62" w:lineRule="exact"/>
        <w:rPr>
          <w:rFonts w:ascii="Arial" w:cs="Arial" w:eastAsia="Arial" w:hAnsi="Arial"/>
          <w:sz w:val="18"/>
          <w:szCs w:val="18"/>
          <w:color w:val="auto"/>
        </w:rPr>
      </w:pPr>
    </w:p>
    <w:p>
      <w:pPr>
        <w:ind w:right="380" w:firstLine="8"/>
        <w:spacing w:after="0" w:line="277"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62" w:lineRule="exact"/>
        <w:rPr>
          <w:rFonts w:ascii="Arial" w:cs="Arial" w:eastAsia="Arial" w:hAnsi="Arial"/>
          <w:sz w:val="18"/>
          <w:szCs w:val="18"/>
          <w:color w:val="auto"/>
        </w:rPr>
      </w:pPr>
    </w:p>
    <w:p>
      <w:pPr>
        <w:ind w:right="320" w:firstLine="8"/>
        <w:spacing w:after="0" w:line="277"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7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Subject to Article Eight, the Company will do or cause to be done all things necessary to preserve and keep in full force and effect its corporate existence, all material rights (by articles of incorporation, by-laws and statute) and material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ELEVEN – REDEMPTION OF SECURITIES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85" w:name="page86"/>
    <w:bookmarkEnd w:id="8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117" w:lineRule="exact"/>
        <w:rPr>
          <w:rFonts w:ascii="Arial" w:cs="Arial" w:eastAsia="Arial" w:hAnsi="Arial"/>
          <w:sz w:val="18"/>
          <w:szCs w:val="18"/>
          <w:color w:val="auto"/>
        </w:rPr>
      </w:pPr>
    </w:p>
    <w:p>
      <w:pPr>
        <w:ind w:right="180" w:firstLine="8"/>
        <w:spacing w:after="0" w:line="277"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73" w:lineRule="exact"/>
        <w:rPr>
          <w:rFonts w:ascii="Arial" w:cs="Arial" w:eastAsia="Arial" w:hAnsi="Arial"/>
          <w:sz w:val="18"/>
          <w:szCs w:val="18"/>
          <w:color w:val="auto"/>
        </w:rPr>
      </w:pPr>
    </w:p>
    <w:p>
      <w:pPr>
        <w:jc w:val="both"/>
        <w:ind w:right="80" w:firstLine="8"/>
        <w:spacing w:after="0" w:line="264"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73" w:lineRule="exact"/>
        <w:rPr>
          <w:rFonts w:ascii="Arial" w:cs="Arial" w:eastAsia="Arial" w:hAnsi="Arial"/>
          <w:sz w:val="18"/>
          <w:szCs w:val="18"/>
          <w:color w:val="auto"/>
        </w:rPr>
      </w:pPr>
    </w:p>
    <w:p>
      <w:pPr>
        <w:ind w:right="20" w:firstLine="8"/>
        <w:spacing w:after="0" w:line="308" w:lineRule="auto"/>
        <w:tabs>
          <w:tab w:leader="none" w:pos="2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38" w:lineRule="exact"/>
        <w:rPr>
          <w:rFonts w:ascii="Arial" w:cs="Arial" w:eastAsia="Arial" w:hAnsi="Arial"/>
          <w:sz w:val="17"/>
          <w:szCs w:val="17"/>
          <w:color w:val="auto"/>
        </w:rPr>
      </w:pP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rFonts w:ascii="Arial" w:cs="Arial" w:eastAsia="Arial" w:hAnsi="Arial"/>
          <w:sz w:val="18"/>
          <w:szCs w:val="18"/>
          <w:color w:val="auto"/>
        </w:rPr>
      </w:pPr>
    </w:p>
    <w:p>
      <w:pPr>
        <w:jc w:val="both"/>
        <w:ind w:right="340" w:firstLine="8"/>
        <w:spacing w:after="0" w:line="286" w:lineRule="auto"/>
        <w:tabs>
          <w:tab w:leader="none" w:pos="2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57" w:lineRule="exact"/>
        <w:rPr>
          <w:rFonts w:ascii="Arial" w:cs="Arial" w:eastAsia="Arial" w:hAnsi="Arial"/>
          <w:sz w:val="17"/>
          <w:szCs w:val="17"/>
          <w:color w:val="auto"/>
        </w:rPr>
      </w:pPr>
    </w:p>
    <w:p>
      <w:pPr>
        <w:ind w:firstLine="8"/>
        <w:spacing w:after="0" w:line="264"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73" w:lineRule="exact"/>
        <w:rPr>
          <w:rFonts w:ascii="Arial" w:cs="Arial" w:eastAsia="Arial" w:hAnsi="Arial"/>
          <w:sz w:val="18"/>
          <w:szCs w:val="18"/>
          <w:color w:val="auto"/>
        </w:rPr>
      </w:pPr>
    </w:p>
    <w:p>
      <w:pPr>
        <w:ind w:left="360" w:hanging="352"/>
        <w:spacing w:after="0"/>
        <w:tabs>
          <w:tab w:leader="none" w:pos="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CUSIP number of such Security, if any,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86" w:name="page87"/>
    <w:bookmarkEnd w:id="86"/>
    <w:p>
      <w:pPr>
        <w:ind w:firstLine="8"/>
        <w:spacing w:after="0" w:line="264" w:lineRule="auto"/>
        <w:tabs>
          <w:tab w:leader="none" w:pos="3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93"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87" w:name="page88"/>
    <w:bookmarkEnd w:id="87"/>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1107.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TWELVE – SINKING FUNDS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THIRTEEN – REPAYMENT AT THE OPTION OF HOLDERS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u w:val="single" w:color="auto"/>
          <w:color w:val="auto"/>
        </w:rPr>
        <w:t>Repayment of Securities</w:t>
      </w:r>
      <w:r>
        <w:rPr>
          <w:rFonts w:ascii="Arial" w:cs="Arial" w:eastAsia="Arial" w:hAnsi="Arial"/>
          <w:sz w:val="17"/>
          <w:szCs w:val="17"/>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u w:val="single" w:color="auto"/>
          <w:color w:val="auto"/>
        </w:rPr>
        <w:t>Exercise of Option</w:t>
      </w:r>
      <w:r>
        <w:rPr>
          <w:rFonts w:ascii="Arial" w:cs="Arial" w:eastAsia="Arial" w:hAnsi="Arial"/>
          <w:sz w:val="16"/>
          <w:szCs w:val="16"/>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When Securities Presented for Repayment Become Due and Payable</w:t>
      </w:r>
      <w:r>
        <w:rPr>
          <w:rFonts w:ascii="Arial" w:cs="Arial" w:eastAsia="Arial" w:hAnsi="Arial"/>
          <w:sz w:val="16"/>
          <w:szCs w:val="16"/>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89" w:name="page90"/>
    <w:bookmarkEnd w:id="89"/>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Securities Repaid in Part</w:t>
      </w:r>
      <w:r>
        <w:rPr>
          <w:rFonts w:ascii="Arial" w:cs="Arial" w:eastAsia="Arial" w:hAnsi="Arial"/>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FOURTEEN – DEFEASANCE AND COVENANT DEFEASANCE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Applicability of Article; Company’s Option to Effect Defeasance or Covenant Defeasance</w:t>
      </w:r>
      <w:r>
        <w:rPr>
          <w:rFonts w:ascii="Arial" w:cs="Arial" w:eastAsia="Arial" w:hAnsi="Arial"/>
          <w:sz w:val="17"/>
          <w:szCs w:val="17"/>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w:t>
      </w:r>
    </w:p>
    <w:p>
      <w:pPr>
        <w:spacing w:after="0" w:line="4" w:lineRule="exact"/>
        <w:rPr>
          <w:sz w:val="20"/>
          <w:szCs w:val="20"/>
          <w:color w:val="auto"/>
        </w:rPr>
      </w:pPr>
    </w:p>
    <w:p>
      <w:pPr>
        <w:ind w:right="120" w:firstLine="8"/>
        <w:spacing w:after="0" w:line="261" w:lineRule="auto"/>
        <w:tabs>
          <w:tab w:leader="none" w:pos="2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90" w:name="page91"/>
    <w:bookmarkEnd w:id="90"/>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Conditions to Defeasance or Covenant Defeasance</w:t>
      </w:r>
      <w:r>
        <w:rPr>
          <w:rFonts w:ascii="Arial" w:cs="Arial" w:eastAsia="Arial" w:hAnsi="Arial"/>
          <w:sz w:val="18"/>
          <w:szCs w:val="18"/>
          <w:color w:val="auto"/>
        </w:rPr>
        <w:t>. The following shall be the conditions to application of Section 1402 or Section 1403 to any Outstanding Securities of or within a series and any coupons appertaining thereto:</w:t>
      </w:r>
    </w:p>
    <w:p>
      <w:pPr>
        <w:spacing w:after="0" w:line="62" w:lineRule="exact"/>
        <w:rPr>
          <w:sz w:val="20"/>
          <w:szCs w:val="20"/>
          <w:color w:val="auto"/>
        </w:rPr>
      </w:pPr>
    </w:p>
    <w:p>
      <w:pPr>
        <w:ind w:right="240" w:firstLine="8"/>
        <w:spacing w:after="0" w:line="288" w:lineRule="auto"/>
        <w:tabs>
          <w:tab w:leader="none" w:pos="24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w:t>
      </w:r>
    </w:p>
    <w:p>
      <w:pPr>
        <w:spacing w:after="0" w:line="267" w:lineRule="auto"/>
        <w:rPr>
          <w:rFonts w:ascii="Arial" w:cs="Arial" w:eastAsia="Arial" w:hAnsi="Arial"/>
          <w:sz w:val="16"/>
          <w:szCs w:val="16"/>
          <w:color w:val="auto"/>
        </w:rPr>
      </w:pPr>
      <w:r>
        <w:rPr>
          <w:rFonts w:ascii="Arial" w:cs="Arial" w:eastAsia="Arial" w:hAnsi="Arial"/>
          <w:sz w:val="17"/>
          <w:szCs w:val="17"/>
          <w:color w:val="auto"/>
        </w:rPr>
        <w:t>(1)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77" w:lineRule="exact"/>
        <w:rPr>
          <w:rFonts w:ascii="Arial" w:cs="Arial" w:eastAsia="Arial" w:hAnsi="Arial"/>
          <w:sz w:val="16"/>
          <w:szCs w:val="16"/>
          <w:color w:val="auto"/>
        </w:rPr>
      </w:pPr>
    </w:p>
    <w:p>
      <w:pPr>
        <w:ind w:right="360" w:firstLine="8"/>
        <w:spacing w:after="0" w:line="277" w:lineRule="auto"/>
        <w:tabs>
          <w:tab w:leader="none" w:pos="2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62" w:lineRule="exact"/>
        <w:rPr>
          <w:rFonts w:ascii="Arial" w:cs="Arial" w:eastAsia="Arial" w:hAnsi="Arial"/>
          <w:sz w:val="18"/>
          <w:szCs w:val="18"/>
          <w:color w:val="auto"/>
        </w:rPr>
      </w:pPr>
    </w:p>
    <w:p>
      <w:pPr>
        <w:ind w:right="20" w:firstLine="8"/>
        <w:spacing w:after="0" w:line="259" w:lineRule="auto"/>
        <w:tabs>
          <w:tab w:leader="none" w:pos="24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91" w:name="page92"/>
    <w:bookmarkEnd w:id="91"/>
    <w:p>
      <w:pPr>
        <w:ind w:right="300" w:firstLine="8"/>
        <w:spacing w:after="0" w:line="255" w:lineRule="auto"/>
        <w:tabs>
          <w:tab w:leader="none" w:pos="2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5" w:lineRule="exact"/>
        <w:rPr>
          <w:rFonts w:ascii="Arial" w:cs="Arial" w:eastAsia="Arial" w:hAnsi="Arial"/>
          <w:sz w:val="18"/>
          <w:szCs w:val="18"/>
          <w:color w:val="auto"/>
        </w:rPr>
      </w:pPr>
    </w:p>
    <w:p>
      <w:pPr>
        <w:ind w:firstLine="8"/>
        <w:spacing w:after="0" w:line="259" w:lineRule="auto"/>
        <w:tabs>
          <w:tab w:leader="none" w:pos="2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right="80" w:firstLine="8"/>
        <w:spacing w:after="0" w:line="297" w:lineRule="auto"/>
        <w:tabs>
          <w:tab w:leader="none" w:pos="22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50" w:lineRule="exact"/>
        <w:rPr>
          <w:rFonts w:ascii="Arial" w:cs="Arial" w:eastAsia="Arial" w:hAnsi="Arial"/>
          <w:sz w:val="16"/>
          <w:szCs w:val="16"/>
          <w:color w:val="auto"/>
        </w:rPr>
      </w:pPr>
    </w:p>
    <w:p>
      <w:pPr>
        <w:ind w:right="320" w:firstLine="8"/>
        <w:spacing w:after="0" w:line="308" w:lineRule="auto"/>
        <w:tabs>
          <w:tab w:leader="none" w:pos="2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38" w:lineRule="exact"/>
        <w:rPr>
          <w:rFonts w:ascii="Arial" w:cs="Arial" w:eastAsia="Arial" w:hAnsi="Arial"/>
          <w:sz w:val="17"/>
          <w:szCs w:val="17"/>
          <w:color w:val="auto"/>
        </w:rPr>
      </w:pPr>
    </w:p>
    <w:p>
      <w:pPr>
        <w:ind w:left="260" w:hanging="252"/>
        <w:spacing w:after="0"/>
        <w:tabs>
          <w:tab w:leader="none" w:pos="2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payment of amounts payable to the Trustee pursuant to this Indenture shall be paid or provided for to the reasonable satisfaction of the Trustee.</w:t>
      </w:r>
    </w:p>
    <w:p>
      <w:pPr>
        <w:spacing w:after="0" w:line="24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SECTION 1405. </w:t>
      </w:r>
      <w:r>
        <w:rPr>
          <w:rFonts w:ascii="Arial" w:cs="Arial" w:eastAsia="Arial" w:hAnsi="Arial"/>
          <w:sz w:val="17"/>
          <w:szCs w:val="17"/>
          <w:u w:val="single" w:color="auto"/>
          <w:color w:val="auto"/>
        </w:rPr>
        <w:t>Deposited Money and Government Obligations to Be Held in Trust; Other Miscellaneous Provisions</w:t>
      </w:r>
      <w:r>
        <w:rPr>
          <w:rFonts w:ascii="Arial" w:cs="Arial" w:eastAsia="Arial" w:hAnsi="Arial"/>
          <w:sz w:val="17"/>
          <w:szCs w:val="17"/>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92" w:name="page93"/>
    <w:bookmarkEnd w:id="9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FIFTEEN – MEETINGS OF HOLDERS OF SECURITIES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117" w:lineRule="exact"/>
        <w:rPr>
          <w:sz w:val="20"/>
          <w:szCs w:val="20"/>
          <w:color w:val="auto"/>
        </w:rPr>
      </w:pPr>
    </w:p>
    <w:p>
      <w:pPr>
        <w:jc w:val="both"/>
        <w:ind w:right="80" w:firstLine="8"/>
        <w:spacing w:after="0" w:line="259" w:lineRule="auto"/>
        <w:tabs>
          <w:tab w:leader="none" w:pos="24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78" w:lineRule="exact"/>
        <w:rPr>
          <w:rFonts w:ascii="Arial" w:cs="Arial" w:eastAsia="Arial" w:hAnsi="Arial"/>
          <w:sz w:val="18"/>
          <w:szCs w:val="18"/>
          <w:color w:val="auto"/>
        </w:rPr>
      </w:pPr>
    </w:p>
    <w:p>
      <w:pPr>
        <w:ind w:right="80" w:firstLine="8"/>
        <w:spacing w:after="0" w:line="293" w:lineRule="auto"/>
        <w:tabs>
          <w:tab w:leader="none" w:pos="25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Persons Entitled to Vote at Meetings</w:t>
      </w:r>
      <w:r>
        <w:rPr>
          <w:rFonts w:ascii="Arial" w:cs="Arial" w:eastAsia="Arial" w:hAnsi="Arial"/>
          <w:sz w:val="18"/>
          <w:szCs w:val="18"/>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Quorum; Action</w:t>
      </w:r>
      <w:r>
        <w:rPr>
          <w:rFonts w:ascii="Arial" w:cs="Arial" w:eastAsia="Arial" w:hAnsi="Arial"/>
          <w:sz w:val="16"/>
          <w:szCs w:val="16"/>
          <w:color w:val="auto"/>
        </w:rPr>
        <w:t xml:space="preserve">. 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93" w:name="page94"/>
    <w:bookmarkEnd w:id="93"/>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9" w:lineRule="exact"/>
        <w:rPr>
          <w:sz w:val="20"/>
          <w:szCs w:val="20"/>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17" w:lineRule="exact"/>
        <w:rPr>
          <w:rFonts w:ascii="Arial" w:cs="Arial" w:eastAsia="Arial" w:hAnsi="Arial"/>
          <w:sz w:val="18"/>
          <w:szCs w:val="18"/>
          <w:color w:val="auto"/>
        </w:rPr>
      </w:pPr>
    </w:p>
    <w:p>
      <w:pPr>
        <w:jc w:val="both"/>
        <w:ind w:right="420" w:firstLine="8"/>
        <w:spacing w:after="0" w:line="264" w:lineRule="auto"/>
        <w:tabs>
          <w:tab w:leader="none" w:pos="26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117" w:lineRule="exact"/>
        <w:rPr>
          <w:sz w:val="20"/>
          <w:szCs w:val="20"/>
          <w:color w:val="auto"/>
        </w:rPr>
      </w:pPr>
    </w:p>
    <w:p>
      <w:pPr>
        <w:ind w:right="80" w:firstLine="8"/>
        <w:spacing w:after="0" w:line="271" w:lineRule="auto"/>
        <w:tabs>
          <w:tab w:leader="none" w:pos="24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70" w:lineRule="exact"/>
        <w:rPr>
          <w:rFonts w:ascii="Arial" w:cs="Arial" w:eastAsia="Arial" w:hAnsi="Arial"/>
          <w:sz w:val="17"/>
          <w:szCs w:val="17"/>
          <w:color w:val="auto"/>
        </w:rPr>
      </w:pPr>
    </w:p>
    <w:p>
      <w:pPr>
        <w:jc w:val="both"/>
        <w:ind w:right="80" w:firstLine="8"/>
        <w:spacing w:after="0" w:line="302" w:lineRule="auto"/>
        <w:tabs>
          <w:tab w:leader="none" w:pos="2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46" w:lineRule="exact"/>
        <w:rPr>
          <w:rFonts w:ascii="Arial" w:cs="Arial" w:eastAsia="Arial" w:hAnsi="Arial"/>
          <w:sz w:val="16"/>
          <w:szCs w:val="16"/>
          <w:color w:val="auto"/>
        </w:rPr>
      </w:pPr>
    </w:p>
    <w:p>
      <w:pPr>
        <w:jc w:val="both"/>
        <w:ind w:right="500" w:firstLine="8"/>
        <w:spacing w:after="0" w:line="259" w:lineRule="auto"/>
        <w:tabs>
          <w:tab w:leader="none" w:pos="2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78" w:lineRule="exact"/>
        <w:rPr>
          <w:rFonts w:ascii="Arial" w:cs="Arial" w:eastAsia="Arial" w:hAnsi="Arial"/>
          <w:sz w:val="18"/>
          <w:szCs w:val="18"/>
          <w:color w:val="auto"/>
        </w:rPr>
      </w:pPr>
    </w:p>
    <w:p>
      <w:pPr>
        <w:ind w:firstLine="8"/>
        <w:spacing w:after="0" w:line="264" w:lineRule="auto"/>
        <w:tabs>
          <w:tab w:leader="none" w:pos="2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94" w:name="page95"/>
    <w:bookmarkEnd w:id="9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1506. </w:t>
      </w:r>
      <w:r>
        <w:rPr>
          <w:rFonts w:ascii="Arial" w:cs="Arial" w:eastAsia="Arial" w:hAnsi="Arial"/>
          <w:sz w:val="17"/>
          <w:szCs w:val="17"/>
          <w:u w:val="single" w:color="auto"/>
          <w:color w:val="auto"/>
        </w:rPr>
        <w:t>Counting Votes and Recording Action of Meetings</w:t>
      </w:r>
      <w:r>
        <w:rPr>
          <w:rFonts w:ascii="Arial" w:cs="Arial" w:eastAsia="Arial" w:hAnsi="Arial"/>
          <w:sz w:val="17"/>
          <w:szCs w:val="17"/>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SIXTEEN – CONVERSION OF SECURITIES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SECTION 1601. </w:t>
      </w:r>
      <w:r>
        <w:rPr>
          <w:rFonts w:ascii="Arial" w:cs="Arial" w:eastAsia="Arial" w:hAnsi="Arial"/>
          <w:sz w:val="17"/>
          <w:szCs w:val="17"/>
          <w:u w:val="single" w:color="auto"/>
          <w:color w:val="auto"/>
        </w:rPr>
        <w:t>Applicability of Article; Conversion Privilege and Conversion Price</w:t>
      </w:r>
      <w:r>
        <w:rPr>
          <w:rFonts w:ascii="Arial" w:cs="Arial" w:eastAsia="Arial" w:hAnsi="Arial"/>
          <w:sz w:val="17"/>
          <w:szCs w:val="17"/>
          <w:color w:val="auto"/>
        </w:rPr>
        <w:t>. Securities of any series which are convertible shall be 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8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The price at which shares of Common Stock shall be delivered upon conversion (herein called the “Conversion Price”) of Securities of any series shall be specified in such Securities. The Conversion Price shall be adjusted in certain instances as provided in Section 1604. In case the Company shall, by dividend or otherwise, declare or make a distribution on its Common Stock referred to in paragraph (4) of Section 1604, the Holder of each Security, upon the conversion thereof pursuant to this Article Sixteen subsequent to the close of business on the date fixed for the determination of stockholders entitled to receive such distribution and prior to the effectiveness of the Conversion Price adjustment in respect of such distribution pursuant to paragraph (4) of Section 1604,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w:t>
      </w:r>
    </w:p>
    <w:p>
      <w:pPr>
        <w:spacing w:after="0" w:line="1" w:lineRule="exact"/>
        <w:rPr>
          <w:sz w:val="20"/>
          <w:szCs w:val="20"/>
          <w:color w:val="auto"/>
        </w:rPr>
      </w:pPr>
    </w:p>
    <w:p>
      <w:pPr>
        <w:ind w:right="460" w:firstLine="8"/>
        <w:spacing w:after="0" w:line="261" w:lineRule="auto"/>
        <w:tabs>
          <w:tab w:leader="none" w:pos="2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requires payment or delivery of such evidences of indebtedness or assets no later than the date of payment or delivery thereof to holders of Common Stock receiving such distribution.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95" w:name="page96"/>
    <w:bookmarkEnd w:id="95"/>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1602. </w:t>
      </w:r>
      <w:r>
        <w:rPr>
          <w:rFonts w:ascii="Arial" w:cs="Arial" w:eastAsia="Arial" w:hAnsi="Arial"/>
          <w:sz w:val="17"/>
          <w:szCs w:val="17"/>
          <w:u w:val="single" w:color="auto"/>
          <w:color w:val="auto"/>
        </w:rPr>
        <w:t>Exercise of Conversion Privilege</w:t>
      </w:r>
      <w:r>
        <w:rPr>
          <w:rFonts w:ascii="Arial" w:cs="Arial" w:eastAsia="Arial" w:hAnsi="Arial"/>
          <w:sz w:val="17"/>
          <w:szCs w:val="17"/>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1603.</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SECTION 1603. </w:t>
      </w:r>
      <w:r>
        <w:rPr>
          <w:rFonts w:ascii="Arial" w:cs="Arial" w:eastAsia="Arial" w:hAnsi="Arial"/>
          <w:sz w:val="16"/>
          <w:szCs w:val="16"/>
          <w:u w:val="single" w:color="auto"/>
          <w:color w:val="auto"/>
        </w:rPr>
        <w:t>Fractions of Shares</w:t>
      </w:r>
      <w:r>
        <w:rPr>
          <w:rFonts w:ascii="Arial" w:cs="Arial" w:eastAsia="Arial" w:hAnsi="Arial"/>
          <w:sz w:val="16"/>
          <w:szCs w:val="16"/>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117" w:lineRule="exact"/>
        <w:rPr>
          <w:sz w:val="20"/>
          <w:szCs w:val="20"/>
          <w:color w:val="auto"/>
        </w:rPr>
      </w:pPr>
    </w:p>
    <w:p>
      <w:pPr>
        <w:ind w:right="20" w:firstLine="8"/>
        <w:spacing w:after="0" w:line="253" w:lineRule="auto"/>
        <w:tabs>
          <w:tab w:leader="none" w:pos="2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96" w:name="page97"/>
    <w:bookmarkEnd w:id="96"/>
    <w:p>
      <w:pPr>
        <w:ind w:left="-8" w:firstLine="8"/>
        <w:spacing w:after="0" w:line="283" w:lineRule="auto"/>
        <w:tabs>
          <w:tab w:leader="none" w:pos="2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1604,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 this Section 1604) of the Common Stock of the Company on the Rights Record Date.</w:t>
      </w:r>
    </w:p>
    <w:p>
      <w:pPr>
        <w:spacing w:after="0" w:line="102" w:lineRule="exact"/>
        <w:rPr>
          <w:rFonts w:ascii="Arial" w:cs="Arial" w:eastAsia="Arial" w:hAnsi="Arial"/>
          <w:sz w:val="18"/>
          <w:szCs w:val="18"/>
          <w:color w:val="auto"/>
        </w:rPr>
      </w:pPr>
    </w:p>
    <w:p>
      <w:pPr>
        <w:ind w:left="-8" w:right="20" w:firstLine="8"/>
        <w:spacing w:after="0" w:line="255" w:lineRule="auto"/>
        <w:tabs>
          <w:tab w:leader="none" w:pos="2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85" w:lineRule="exact"/>
        <w:rPr>
          <w:rFonts w:ascii="Arial" w:cs="Arial" w:eastAsia="Arial" w:hAnsi="Arial"/>
          <w:sz w:val="18"/>
          <w:szCs w:val="18"/>
          <w:color w:val="auto"/>
        </w:rPr>
      </w:pPr>
    </w:p>
    <w:p>
      <w:pPr>
        <w:ind w:left="-8" w:right="20" w:firstLine="8"/>
        <w:spacing w:after="0" w:line="267" w:lineRule="auto"/>
        <w:tabs>
          <w:tab w:leader="none" w:pos="24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1604. In the event that, with respect to any distribution to which this paragraph (4) of Section 1604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12"/>
          </w:cols>
          <w:pgMar w:left="248" w:top="274" w:right="239" w:bottom="1440" w:gutter="0" w:footer="0" w:header="0"/>
        </w:sectPr>
      </w:pPr>
    </w:p>
    <w:bookmarkStart w:id="97" w:name="page98"/>
    <w:bookmarkEnd w:id="97"/>
    <w:p>
      <w:pPr>
        <w:ind w:right="300" w:firstLine="8"/>
        <w:spacing w:after="0" w:line="276"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but shall not be required to, make such reductions in the Conversion Price, in addition to those required by paragraphs (1), (2), (3), and (4) of this Section 1604,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64" w:lineRule="exact"/>
        <w:rPr>
          <w:rFonts w:ascii="Arial" w:cs="Arial" w:eastAsia="Arial" w:hAnsi="Arial"/>
          <w:sz w:val="17"/>
          <w:szCs w:val="17"/>
          <w:color w:val="auto"/>
        </w:rPr>
      </w:pPr>
    </w:p>
    <w:p>
      <w:pPr>
        <w:ind w:firstLine="8"/>
        <w:spacing w:after="0" w:line="269"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1604 not be deemed issued or distributed until the occurrence of the earliest Trigger Event. Each share of Common Stock issued upon conversion of Securities pursuant to this Article Sixteen shall be entitled to receive the appropriate number of Common Stock purchase rights (the “Rights”), if any, and the certificates representing the Common Stock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74" w:lineRule="exact"/>
        <w:rPr>
          <w:rFonts w:ascii="Arial" w:cs="Arial" w:eastAsia="Arial" w:hAnsi="Arial"/>
          <w:sz w:val="17"/>
          <w:szCs w:val="17"/>
          <w:color w:val="auto"/>
        </w:rPr>
      </w:pPr>
    </w:p>
    <w:p>
      <w:pPr>
        <w:ind w:right="380" w:firstLine="8"/>
        <w:spacing w:after="0" w:line="264"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the purpose of any computation under paragraph (2), (4) or (5) of this Section 1604,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73" w:lineRule="exact"/>
        <w:rPr>
          <w:rFonts w:ascii="Arial" w:cs="Arial" w:eastAsia="Arial" w:hAnsi="Arial"/>
          <w:sz w:val="18"/>
          <w:szCs w:val="18"/>
          <w:color w:val="auto"/>
        </w:rPr>
      </w:pPr>
    </w:p>
    <w:p>
      <w:pPr>
        <w:ind w:right="140" w:firstLine="8"/>
        <w:spacing w:after="0" w:line="259"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No adjustment in the Conversion Price shall be required unless such adjustment would require an increase or decrease of at least 1% in the Conversion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adjustments which by reason of this paragraph (8) are not required to be made shall be carried forward and taken into account in any subsequent adjustment. All calculations under this Article Sixteen shall be made to the nearest cent or to the nearest one-hundredth of a share of Common Stock, as the case may be.</w:t>
      </w:r>
    </w:p>
    <w:p>
      <w:pPr>
        <w:spacing w:after="0" w:line="78" w:lineRule="exact"/>
        <w:rPr>
          <w:rFonts w:ascii="Arial" w:cs="Arial" w:eastAsia="Arial" w:hAnsi="Arial"/>
          <w:sz w:val="18"/>
          <w:szCs w:val="18"/>
          <w:color w:val="auto"/>
        </w:rPr>
      </w:pPr>
    </w:p>
    <w:p>
      <w:pPr>
        <w:ind w:firstLine="8"/>
        <w:spacing w:after="0" w:line="276"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64" w:lineRule="exact"/>
        <w:rPr>
          <w:rFonts w:ascii="Arial" w:cs="Arial" w:eastAsia="Arial" w:hAnsi="Arial"/>
          <w:sz w:val="17"/>
          <w:szCs w:val="17"/>
          <w:color w:val="auto"/>
        </w:rPr>
      </w:pPr>
    </w:p>
    <w:p>
      <w:pPr>
        <w:ind w:right="240" w:firstLine="8"/>
        <w:spacing w:after="0" w:line="279" w:lineRule="auto"/>
        <w:tabs>
          <w:tab w:leader="none" w:pos="34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1604,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63" w:lineRule="exact"/>
        <w:rPr>
          <w:rFonts w:ascii="Arial" w:cs="Arial" w:eastAsia="Arial" w:hAnsi="Arial"/>
          <w:sz w:val="17"/>
          <w:szCs w:val="17"/>
          <w:color w:val="auto"/>
        </w:rPr>
      </w:pPr>
    </w:p>
    <w:p>
      <w:pPr>
        <w:ind w:left="340" w:hanging="332"/>
        <w:spacing w:after="0"/>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the event that this Article Sixteen requires adjustments to the Conversion Price under more than one of paragraphs (1), (2), (3) or (4) of this</w:t>
      </w:r>
    </w:p>
    <w:p>
      <w:pPr>
        <w:spacing w:after="0" w:line="3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 (1) of this Section 1604, third, the provisions of paragraph (4) of this Section 1604 and, fourth, the provisions of paragraph (2) of this Section 1604. Anything herein to the contrary notwithstanding, no single event shall require or result in duplicative adjustments in 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Sixteen with respect to the Common Stock in this Article Sixteen.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1605. </w:t>
      </w:r>
      <w:r>
        <w:rPr>
          <w:rFonts w:ascii="Arial" w:cs="Arial" w:eastAsia="Arial" w:hAnsi="Arial"/>
          <w:sz w:val="18"/>
          <w:szCs w:val="18"/>
          <w:u w:val="single" w:color="auto"/>
          <w:color w:val="auto"/>
        </w:rPr>
        <w:t>Notice of Adjustments of Conversion Price</w:t>
      </w:r>
      <w:r>
        <w:rPr>
          <w:rFonts w:ascii="Arial" w:cs="Arial" w:eastAsia="Arial" w:hAnsi="Arial"/>
          <w:sz w:val="18"/>
          <w:szCs w:val="18"/>
          <w:color w:val="auto"/>
        </w:rPr>
        <w:t>. Whenever the Conversion Price is adjusted as herein provided:</w:t>
      </w:r>
    </w:p>
    <w:p>
      <w:pPr>
        <w:spacing w:after="0" w:line="117" w:lineRule="exact"/>
        <w:rPr>
          <w:sz w:val="20"/>
          <w:szCs w:val="20"/>
          <w:color w:val="auto"/>
        </w:rPr>
      </w:pPr>
    </w:p>
    <w:p>
      <w:pPr>
        <w:ind w:right="180" w:firstLine="8"/>
        <w:spacing w:after="0" w:line="259"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78" w:lineRule="exact"/>
        <w:rPr>
          <w:rFonts w:ascii="Arial" w:cs="Arial" w:eastAsia="Arial" w:hAnsi="Arial"/>
          <w:sz w:val="18"/>
          <w:szCs w:val="18"/>
          <w:color w:val="auto"/>
        </w:rPr>
      </w:pPr>
    </w:p>
    <w:p>
      <w:pPr>
        <w:ind w:right="160" w:firstLine="8"/>
        <w:spacing w:after="0" w:line="342" w:lineRule="auto"/>
        <w:tabs>
          <w:tab w:leader="none" w:pos="25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Notice of Certain Corporate Action</w:t>
      </w:r>
      <w:r>
        <w:rPr>
          <w:rFonts w:ascii="Arial" w:cs="Arial" w:eastAsia="Arial" w:hAnsi="Arial"/>
          <w:sz w:val="18"/>
          <w:szCs w:val="18"/>
          <w:color w:val="auto"/>
        </w:rPr>
        <w:t>. In case:</w:t>
      </w:r>
    </w:p>
    <w:p>
      <w:pPr>
        <w:spacing w:after="0" w:line="117" w:lineRule="exact"/>
        <w:rPr>
          <w:sz w:val="20"/>
          <w:szCs w:val="20"/>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take any action that would require a Conversion Price adjustment pursuant to Section 1604 or Section 1611; or</w:t>
      </w:r>
    </w:p>
    <w:p>
      <w:pPr>
        <w:spacing w:after="0" w:line="117" w:lineRule="exact"/>
        <w:rPr>
          <w:rFonts w:ascii="Arial" w:cs="Arial" w:eastAsia="Arial" w:hAnsi="Arial"/>
          <w:sz w:val="18"/>
          <w:szCs w:val="18"/>
          <w:color w:val="auto"/>
        </w:rPr>
      </w:pPr>
    </w:p>
    <w:p>
      <w:pPr>
        <w:ind w:firstLine="8"/>
        <w:spacing w:after="0" w:line="264"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73" w:lineRule="exact"/>
        <w:rPr>
          <w:rFonts w:ascii="Arial" w:cs="Arial" w:eastAsia="Arial" w:hAnsi="Arial"/>
          <w:sz w:val="18"/>
          <w:szCs w:val="18"/>
          <w:color w:val="auto"/>
        </w:rPr>
      </w:pPr>
    </w:p>
    <w:p>
      <w:pPr>
        <w:ind w:right="100" w:firstLine="8"/>
        <w:spacing w:after="0" w:line="253"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Company to Reserve Common Stock</w:t>
      </w:r>
      <w:r>
        <w:rPr>
          <w:rFonts w:ascii="Arial" w:cs="Arial" w:eastAsia="Arial" w:hAnsi="Arial"/>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SECTION 1608. </w:t>
      </w:r>
      <w:r>
        <w:rPr>
          <w:rFonts w:ascii="Arial" w:cs="Arial" w:eastAsia="Arial" w:hAnsi="Arial"/>
          <w:sz w:val="17"/>
          <w:szCs w:val="17"/>
          <w:u w:val="single" w:color="auto"/>
          <w:color w:val="auto"/>
        </w:rPr>
        <w:t>Taxes on Conversion</w:t>
      </w:r>
      <w:r>
        <w:rPr>
          <w:rFonts w:ascii="Arial" w:cs="Arial" w:eastAsia="Arial" w:hAnsi="Arial"/>
          <w:sz w:val="17"/>
          <w:szCs w:val="17"/>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73"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Covenants as to Common Stock</w:t>
      </w:r>
      <w:r>
        <w:rPr>
          <w:rFonts w:ascii="Arial" w:cs="Arial" w:eastAsia="Arial" w:hAnsi="Arial"/>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99" w:name="page100"/>
    <w:bookmarkEnd w:id="99"/>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1610. </w:t>
      </w:r>
      <w:r>
        <w:rPr>
          <w:rFonts w:ascii="Arial" w:cs="Arial" w:eastAsia="Arial" w:hAnsi="Arial"/>
          <w:sz w:val="18"/>
          <w:szCs w:val="18"/>
          <w:u w:val="single" w:color="auto"/>
          <w:color w:val="auto"/>
        </w:rPr>
        <w:t>Cancellation of Converted Securities</w:t>
      </w:r>
      <w:r>
        <w:rPr>
          <w:rFonts w:ascii="Arial" w:cs="Arial" w:eastAsia="Arial" w:hAnsi="Arial"/>
          <w:sz w:val="18"/>
          <w:szCs w:val="18"/>
          <w:color w:val="auto"/>
        </w:rPr>
        <w:t>. All Securities delivered for conversion shall be delivered to the Trustee to be cancelled by or at the direction of the Trustee, which shall dispose of the same as provided in Section 309.</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u w:val="single" w:color="auto"/>
          <w:color w:val="auto"/>
        </w:rPr>
        <w:t>Provisions in Case of Consolidation, Merger or Sale of Assets; Special Distributions</w:t>
      </w:r>
      <w:r>
        <w:rPr>
          <w:rFonts w:ascii="Arial" w:cs="Arial" w:eastAsia="Arial" w:hAnsi="Arial"/>
          <w:sz w:val="17"/>
          <w:szCs w:val="17"/>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1601,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80" w:lineRule="exact"/>
        <w:rPr>
          <w:sz w:val="20"/>
          <w:szCs w:val="20"/>
          <w:color w:val="auto"/>
        </w:rPr>
      </w:pPr>
    </w:p>
    <w:p>
      <w:pPr>
        <w:ind w:right="140" w:firstLine="8"/>
        <w:spacing w:after="0" w:line="264" w:lineRule="auto"/>
        <w:tabs>
          <w:tab w:leader="none" w:pos="2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73" w:lineRule="exact"/>
        <w:rPr>
          <w:rFonts w:ascii="Arial" w:cs="Arial" w:eastAsia="Arial" w:hAnsi="Arial"/>
          <w:sz w:val="18"/>
          <w:szCs w:val="18"/>
          <w:color w:val="auto"/>
        </w:rPr>
      </w:pPr>
    </w:p>
    <w:p>
      <w:pPr>
        <w:ind w:right="120" w:firstLine="8"/>
        <w:spacing w:after="0" w:line="276" w:lineRule="auto"/>
        <w:tabs>
          <w:tab w:leader="none" w:pos="25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Common Stock).</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1611 shall similarly apply to successive consolidations, mergers, sales, transfers or leases.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the Company shall execute a supplemental indenture pursuant to this Section 1611,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makes a distribution to all holders of its Common Stock that constitutes an Unadjusted Distribution pursuant to the last sentence of paragraph</w:t>
      </w:r>
    </w:p>
    <w:p>
      <w:pPr>
        <w:spacing w:after="0" w:line="46" w:lineRule="exact"/>
        <w:rPr>
          <w:sz w:val="20"/>
          <w:szCs w:val="20"/>
          <w:color w:val="auto"/>
        </w:rPr>
      </w:pPr>
    </w:p>
    <w:p>
      <w:pPr>
        <w:ind w:right="60" w:firstLine="8"/>
        <w:spacing w:after="0" w:line="253" w:lineRule="auto"/>
        <w:tabs>
          <w:tab w:leader="none" w:pos="2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Section 1604,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u w:val="single" w:color="auto"/>
          <w:color w:val="auto"/>
        </w:rPr>
        <w:t>Trustee Adjustment Disclaimer; Company Determination Final</w:t>
      </w:r>
      <w:r>
        <w:rPr>
          <w:rFonts w:ascii="Arial" w:cs="Arial" w:eastAsia="Arial" w:hAnsi="Arial"/>
          <w:sz w:val="18"/>
          <w:szCs w:val="18"/>
          <w:color w:val="auto"/>
        </w:rPr>
        <w:t>. The Trustee has no duty to determine when an adjustment 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 Article Sixteen is conclusive, absent manifest error.</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When No Adjustment Required</w:t>
      </w:r>
      <w:r>
        <w:rPr>
          <w:rFonts w:ascii="Arial" w:cs="Arial" w:eastAsia="Arial" w:hAnsi="Arial"/>
          <w:sz w:val="18"/>
          <w:szCs w:val="18"/>
          <w:color w:val="auto"/>
        </w:rPr>
        <w:t>. Except as expressly set forth in Section 1604,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79" w:lineRule="exact"/>
        <w:rPr>
          <w:sz w:val="20"/>
          <w:szCs w:val="20"/>
          <w:color w:val="auto"/>
        </w:rPr>
      </w:pPr>
    </w:p>
    <w:p>
      <w:pPr>
        <w:jc w:val="both"/>
        <w:ind w:right="40" w:firstLine="8"/>
        <w:spacing w:after="0" w:line="312" w:lineRule="auto"/>
        <w:tabs>
          <w:tab w:leader="none" w:pos="25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4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 xml:space="preserve">SECTION 1614. </w:t>
      </w:r>
      <w:r>
        <w:rPr>
          <w:rFonts w:ascii="Arial" w:cs="Arial" w:eastAsia="Arial" w:hAnsi="Arial"/>
          <w:sz w:val="16"/>
          <w:szCs w:val="16"/>
          <w:u w:val="single" w:color="auto"/>
          <w:color w:val="auto"/>
        </w:rPr>
        <w:t>Equivalent Adjustments</w:t>
      </w:r>
      <w:r>
        <w:rPr>
          <w:rFonts w:ascii="Arial" w:cs="Arial" w:eastAsia="Arial" w:hAnsi="Arial"/>
          <w:sz w:val="16"/>
          <w:szCs w:val="16"/>
          <w:color w:val="auto"/>
        </w:rPr>
        <w:t>. In the event that, as a result of an adjustment made pursuant to Section 1604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Sixteen.</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NN, INC.</w:t>
            </w:r>
          </w:p>
        </w:tc>
        <w:tc>
          <w:tcPr>
            <w:tcW w:w="3640" w:type="dxa"/>
            <w:vAlign w:val="bottom"/>
          </w:tcPr>
          <w:p>
            <w:pPr>
              <w:spacing w:after="0"/>
              <w:rPr>
                <w:sz w:val="20"/>
                <w:szCs w:val="20"/>
                <w:color w:val="auto"/>
              </w:rPr>
            </w:pPr>
          </w:p>
        </w:tc>
      </w:tr>
      <w:tr>
        <w:trPr>
          <w:trHeight w:val="432"/>
        </w:trPr>
        <w:tc>
          <w:tcPr>
            <w:tcW w:w="920" w:type="dxa"/>
            <w:vAlign w:val="bottom"/>
          </w:tcPr>
          <w:p>
            <w:pPr>
              <w:ind w:left="24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4"/>
                <w:szCs w:val="24"/>
                <w:color w:val="auto"/>
              </w:rPr>
            </w:pPr>
          </w:p>
        </w:tc>
      </w:tr>
      <w:tr>
        <w:trPr>
          <w:trHeight w:val="209"/>
        </w:trPr>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18"/>
                <w:szCs w:val="18"/>
                <w:color w:val="auto"/>
              </w:rPr>
            </w:pPr>
          </w:p>
        </w:tc>
      </w:tr>
      <w:tr>
        <w:trPr>
          <w:trHeight w:val="230"/>
        </w:trPr>
        <w:tc>
          <w:tcPr>
            <w:tcW w:w="920" w:type="dxa"/>
            <w:vAlign w:val="bottom"/>
          </w:tcPr>
          <w:p>
            <w:pPr>
              <w:ind w:left="24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jc w:val="right"/>
              <w:ind w:right="3370"/>
              <w:spacing w:after="0"/>
              <w:rPr>
                <w:sz w:val="20"/>
                <w:szCs w:val="20"/>
                <w:color w:val="auto"/>
              </w:rPr>
            </w:pPr>
            <w:r>
              <w:rPr>
                <w:rFonts w:ascii="Arial" w:cs="Arial" w:eastAsia="Arial" w:hAnsi="Arial"/>
                <w:sz w:val="18"/>
                <w:szCs w:val="18"/>
                <w:color w:val="auto"/>
              </w:rPr>
              <w: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as Trustee</w:t>
            </w:r>
          </w:p>
        </w:tc>
        <w:tc>
          <w:tcPr>
            <w:tcW w:w="3640" w:type="dxa"/>
            <w:vAlign w:val="bottom"/>
          </w:tcPr>
          <w:p>
            <w:pPr>
              <w:spacing w:after="0"/>
              <w:rPr>
                <w:sz w:val="20"/>
                <w:szCs w:val="20"/>
                <w:color w:val="auto"/>
              </w:rPr>
            </w:pPr>
          </w:p>
        </w:tc>
      </w:tr>
      <w:tr>
        <w:trPr>
          <w:trHeight w:val="446"/>
        </w:trPr>
        <w:tc>
          <w:tcPr>
            <w:tcW w:w="920" w:type="dxa"/>
            <w:vAlign w:val="bottom"/>
          </w:tcPr>
          <w:p>
            <w:pPr>
              <w:ind w:left="24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4"/>
                <w:szCs w:val="24"/>
                <w:color w:val="auto"/>
              </w:rPr>
            </w:pPr>
          </w:p>
        </w:tc>
      </w:tr>
      <w:tr>
        <w:trPr>
          <w:trHeight w:val="209"/>
        </w:trPr>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18"/>
                <w:szCs w:val="18"/>
                <w:color w:val="auto"/>
              </w:rPr>
            </w:pPr>
          </w:p>
        </w:tc>
      </w:tr>
      <w:tr>
        <w:trPr>
          <w:trHeight w:val="230"/>
        </w:trPr>
        <w:tc>
          <w:tcPr>
            <w:tcW w:w="920" w:type="dxa"/>
            <w:vAlign w:val="bottom"/>
          </w:tcPr>
          <w:p>
            <w:pPr>
              <w:ind w:left="24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REDEEMABLE OR NON-REDEEMABLE SENIOR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If this Security is an Original Issue Discount Security, insert</w:t>
      </w:r>
      <w:r>
        <w:rPr>
          <w:rFonts w:ascii="Arial" w:cs="Arial" w:eastAsia="Arial" w:hAnsi="Arial"/>
          <w:sz w:val="17"/>
          <w:szCs w:val="17"/>
          <w:color w:val="auto"/>
        </w:rPr>
        <w:t xml:space="preserve"> — FOR PURPOSES OF SECTION 1273 and 1275 OF THE UNITED STATES INTERNAL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gridSpan w:val="5"/>
          </w:tcPr>
          <w:p>
            <w:pPr>
              <w:spacing w:after="0"/>
              <w:rPr>
                <w:sz w:val="20"/>
                <w:szCs w:val="20"/>
                <w:color w:val="auto"/>
              </w:rPr>
            </w:pPr>
            <w:r>
              <w:rPr>
                <w:rFonts w:ascii="Arial" w:cs="Arial" w:eastAsia="Arial" w:hAnsi="Arial"/>
                <w:sz w:val="18"/>
                <w:szCs w:val="18"/>
                <w:color w:val="auto"/>
                <w:w w:val="96"/>
              </w:rPr>
              <w:t>REVENUE CODE, THE AMOUNT OF ORIGINAL ISSUE DISCOUNT ON THIS SECURITY IS</w:t>
            </w:r>
          </w:p>
        </w:tc>
        <w:tc>
          <w:tcPr>
            <w:tcW w:w="4180" w:type="dxa"/>
            <w:vAlign w:val="bottom"/>
            <w:gridSpan w:val="2"/>
          </w:tcPr>
          <w:p>
            <w:pPr>
              <w:ind w:left="340"/>
              <w:spacing w:after="0"/>
              <w:rPr>
                <w:sz w:val="20"/>
                <w:szCs w:val="20"/>
                <w:color w:val="auto"/>
              </w:rPr>
            </w:pPr>
            <w:r>
              <w:rPr>
                <w:rFonts w:ascii="Arial" w:cs="Arial" w:eastAsia="Arial" w:hAnsi="Arial"/>
                <w:sz w:val="18"/>
                <w:szCs w:val="18"/>
                <w:color w:val="auto"/>
              </w:rPr>
              <w:t>% OF ITS PRINCIPAL AMOUNT, THE ISSUE</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DATE IS</w:t>
            </w:r>
          </w:p>
        </w:tc>
        <w:tc>
          <w:tcPr>
            <w:tcW w:w="10540" w:type="dxa"/>
            <w:vAlign w:val="bottom"/>
            <w:gridSpan w:val="5"/>
          </w:tcPr>
          <w:p>
            <w:pPr>
              <w:ind w:left="200"/>
              <w:spacing w:after="0"/>
              <w:rPr>
                <w:sz w:val="20"/>
                <w:szCs w:val="20"/>
                <w:color w:val="auto"/>
              </w:rPr>
            </w:pPr>
            <w:r>
              <w:rPr>
                <w:rFonts w:ascii="Arial" w:cs="Arial" w:eastAsia="Arial" w:hAnsi="Arial"/>
                <w:sz w:val="18"/>
                <w:szCs w:val="18"/>
                <w:color w:val="auto"/>
                <w:w w:val="97"/>
              </w:rPr>
              <w:t>, 20  , AND THE YIELD TO MATURITY IS%. THE METHOD USED TO DETERMINE THE AMOUNT OF ORIGINAL ISSUE</w:t>
            </w:r>
          </w:p>
        </w:tc>
      </w:tr>
      <w:tr>
        <w:trPr>
          <w:trHeight w:val="216"/>
        </w:trPr>
        <w:tc>
          <w:tcPr>
            <w:tcW w:w="5300" w:type="dxa"/>
            <w:vAlign w:val="bottom"/>
            <w:gridSpan w:val="4"/>
          </w:tcPr>
          <w:p>
            <w:pPr>
              <w:spacing w:after="0"/>
              <w:rPr>
                <w:sz w:val="20"/>
                <w:szCs w:val="20"/>
                <w:color w:val="auto"/>
              </w:rPr>
            </w:pPr>
            <w:r>
              <w:rPr>
                <w:rFonts w:ascii="Arial" w:cs="Arial" w:eastAsia="Arial" w:hAnsi="Arial"/>
                <w:sz w:val="18"/>
                <w:szCs w:val="18"/>
                <w:color w:val="auto"/>
                <w:w w:val="97"/>
              </w:rPr>
              <w:t>DISCOUNT APPLICABLE TO THE SHORT ACCRUAL PERIOD OF</w:t>
            </w:r>
          </w:p>
        </w:tc>
        <w:tc>
          <w:tcPr>
            <w:tcW w:w="1940" w:type="dxa"/>
            <w:vAlign w:val="bottom"/>
          </w:tcPr>
          <w:p>
            <w:pPr>
              <w:ind w:left="520"/>
              <w:spacing w:after="0"/>
              <w:rPr>
                <w:sz w:val="20"/>
                <w:szCs w:val="20"/>
                <w:color w:val="auto"/>
              </w:rPr>
            </w:pPr>
            <w:r>
              <w:rPr>
                <w:rFonts w:ascii="Arial" w:cs="Arial" w:eastAsia="Arial" w:hAnsi="Arial"/>
                <w:sz w:val="18"/>
                <w:szCs w:val="18"/>
                <w:color w:val="auto"/>
                <w:w w:val="95"/>
              </w:rPr>
              <w:t>, 20TO</w:t>
            </w: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 20  , IS  % OF THE PRINCIPAL AMOUNT OF</w:t>
            </w:r>
          </w:p>
        </w:tc>
      </w:tr>
      <w:tr>
        <w:trPr>
          <w:trHeight w:val="230"/>
        </w:trPr>
        <w:tc>
          <w:tcPr>
            <w:tcW w:w="5300" w:type="dxa"/>
            <w:vAlign w:val="bottom"/>
            <w:gridSpan w:val="4"/>
          </w:tcPr>
          <w:p>
            <w:pPr>
              <w:spacing w:after="0"/>
              <w:rPr>
                <w:sz w:val="20"/>
                <w:szCs w:val="20"/>
                <w:color w:val="auto"/>
              </w:rPr>
            </w:pPr>
            <w:r>
              <w:rPr>
                <w:rFonts w:ascii="Arial" w:cs="Arial" w:eastAsia="Arial" w:hAnsi="Arial"/>
                <w:sz w:val="18"/>
                <w:szCs w:val="18"/>
                <w:color w:val="auto"/>
              </w:rPr>
              <w:t>THIS SECURITY.]</w:t>
            </w:r>
          </w:p>
        </w:tc>
        <w:tc>
          <w:tcPr>
            <w:tcW w:w="19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40" w:type="dxa"/>
            <w:vAlign w:val="bottom"/>
          </w:tcPr>
          <w:p>
            <w:pPr>
              <w:jc w:val="center"/>
              <w:ind w:right="1052"/>
              <w:spacing w:after="0"/>
              <w:rPr>
                <w:sz w:val="20"/>
                <w:szCs w:val="20"/>
                <w:color w:val="auto"/>
              </w:rPr>
            </w:pPr>
            <w:r>
              <w:rPr>
                <w:rFonts w:ascii="Arial" w:cs="Arial" w:eastAsia="Arial" w:hAnsi="Arial"/>
                <w:sz w:val="18"/>
                <w:szCs w:val="18"/>
                <w:color w:val="auto"/>
                <w:w w:val="97"/>
              </w:rPr>
              <w:t>NN, INC.</w:t>
            </w:r>
          </w:p>
        </w:tc>
        <w:tc>
          <w:tcPr>
            <w:tcW w:w="3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[Designation of Series]</w:t>
            </w:r>
          </w:p>
        </w:tc>
        <w:tc>
          <w:tcPr>
            <w:tcW w:w="3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9"/>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-10160</wp:posOffset>
            </wp:positionV>
            <wp:extent cx="6858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NN, INC., a Massachusetts corporation (herein referred to as the “Company,” which term includes any successor corporation under the Indenture referred to</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6"/>
          </w:tcPr>
          <w:p>
            <w:pPr>
              <w:spacing w:after="0"/>
              <w:rPr>
                <w:sz w:val="20"/>
                <w:szCs w:val="20"/>
                <w:color w:val="auto"/>
              </w:rPr>
            </w:pPr>
            <w:r>
              <w:rPr>
                <w:rFonts w:ascii="Arial" w:cs="Arial" w:eastAsia="Arial" w:hAnsi="Arial"/>
                <w:sz w:val="18"/>
                <w:szCs w:val="18"/>
                <w:color w:val="auto"/>
                <w:w w:val="99"/>
              </w:rPr>
              <w:t>on the reverse hereof), for value received, hereby promises to pay to</w:t>
            </w:r>
          </w:p>
        </w:tc>
        <w:tc>
          <w:tcPr>
            <w:tcW w:w="3820" w:type="dxa"/>
            <w:vAlign w:val="bottom"/>
            <w:gridSpan w:val="3"/>
          </w:tcPr>
          <w:p>
            <w:pPr>
              <w:ind w:left="380"/>
              <w:spacing w:after="0"/>
              <w:rPr>
                <w:sz w:val="20"/>
                <w:szCs w:val="20"/>
                <w:color w:val="auto"/>
              </w:rPr>
            </w:pPr>
            <w:r>
              <w:rPr>
                <w:rFonts w:ascii="Arial" w:cs="Arial" w:eastAsia="Arial" w:hAnsi="Arial"/>
                <w:sz w:val="18"/>
                <w:szCs w:val="18"/>
                <w:color w:val="auto"/>
              </w:rPr>
              <w:t>or registered assigns the principal sum of</w:t>
            </w:r>
          </w:p>
        </w:tc>
        <w:tc>
          <w:tcPr>
            <w:tcW w:w="2060" w:type="dxa"/>
            <w:vAlign w:val="bottom"/>
          </w:tcPr>
          <w:p>
            <w:pPr>
              <w:ind w:left="480"/>
              <w:spacing w:after="0"/>
              <w:rPr>
                <w:sz w:val="20"/>
                <w:szCs w:val="20"/>
                <w:color w:val="auto"/>
              </w:rPr>
            </w:pPr>
            <w:r>
              <w:rPr>
                <w:rFonts w:ascii="Arial" w:cs="Arial" w:eastAsia="Arial" w:hAnsi="Arial"/>
                <w:sz w:val="18"/>
                <w:szCs w:val="18"/>
                <w:color w:val="auto"/>
              </w:rPr>
              <w:t>Dollars</w:t>
            </w:r>
          </w:p>
        </w:tc>
      </w:tr>
      <w:tr>
        <w:trPr>
          <w:trHeight w:val="190"/>
        </w:trPr>
        <w:tc>
          <w:tcPr>
            <w:tcW w:w="1040" w:type="dxa"/>
            <w:vAlign w:val="bottom"/>
            <w:gridSpan w:val="2"/>
          </w:tcPr>
          <w:p>
            <w:pPr>
              <w:spacing w:after="0" w:line="190" w:lineRule="exact"/>
              <w:rPr>
                <w:sz w:val="20"/>
                <w:szCs w:val="20"/>
                <w:color w:val="auto"/>
              </w:rPr>
            </w:pPr>
            <w:r>
              <w:rPr>
                <w:rFonts w:ascii="Arial" w:cs="Arial" w:eastAsia="Arial" w:hAnsi="Arial"/>
                <w:sz w:val="18"/>
                <w:szCs w:val="18"/>
                <w:color w:val="auto"/>
              </w:rPr>
              <w:t>on</w:t>
            </w:r>
          </w:p>
        </w:tc>
        <w:tc>
          <w:tcPr>
            <w:tcW w:w="10320" w:type="dxa"/>
            <w:vAlign w:val="bottom"/>
            <w:gridSpan w:val="8"/>
          </w:tcPr>
          <w:p>
            <w:pPr>
              <w:ind w:left="100"/>
              <w:spacing w:after="0" w:line="190" w:lineRule="exact"/>
              <w:rPr>
                <w:sz w:val="20"/>
                <w:szCs w:val="20"/>
                <w:color w:val="auto"/>
              </w:rPr>
            </w:pPr>
            <w:r>
              <w:rPr>
                <w:rFonts w:ascii="Arial" w:cs="Arial" w:eastAsia="Arial" w:hAnsi="Arial"/>
                <w:sz w:val="18"/>
                <w:szCs w:val="18"/>
                <w:color w:val="auto"/>
                <w:w w:val="93"/>
              </w:rPr>
              <w:t>(the “Stated Maturity Date”) [or insert date fixed for earlier redemption (the “Redemption Date,” and together with the Stated Maturity Date</w:t>
            </w:r>
          </w:p>
        </w:tc>
      </w:tr>
      <w:tr>
        <w:trPr>
          <w:trHeight w:val="20"/>
        </w:trPr>
        <w:tc>
          <w:tcPr>
            <w:tcW w:w="12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37"/>
        </w:trPr>
        <w:tc>
          <w:tcPr>
            <w:tcW w:w="5480" w:type="dxa"/>
            <w:vAlign w:val="bottom"/>
            <w:gridSpan w:val="6"/>
          </w:tcPr>
          <w:p>
            <w:pPr>
              <w:spacing w:after="0"/>
              <w:rPr>
                <w:sz w:val="20"/>
                <w:szCs w:val="20"/>
                <w:color w:val="auto"/>
              </w:rPr>
            </w:pPr>
            <w:r>
              <w:rPr>
                <w:rFonts w:ascii="Arial" w:cs="Arial" w:eastAsia="Arial" w:hAnsi="Arial"/>
                <w:sz w:val="18"/>
                <w:szCs w:val="18"/>
                <w:color w:val="auto"/>
                <w:w w:val="98"/>
              </w:rPr>
              <w:t>with respect to principal repayable on such date, the “Maturity Date.”)]</w:t>
            </w: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7800" w:type="dxa"/>
            <w:vAlign w:val="bottom"/>
            <w:gridSpan w:val="8"/>
          </w:tcPr>
          <w:p>
            <w:pPr>
              <w:spacing w:after="0"/>
              <w:rPr>
                <w:sz w:val="20"/>
                <w:szCs w:val="20"/>
                <w:color w:val="auto"/>
              </w:rPr>
            </w:pPr>
            <w:r>
              <w:rPr>
                <w:rFonts w:ascii="Arial" w:cs="Arial" w:eastAsia="Arial" w:hAnsi="Arial"/>
                <w:sz w:val="18"/>
                <w:szCs w:val="18"/>
                <w:color w:val="auto"/>
                <w:w w:val="98"/>
              </w:rPr>
              <w:t>[ If the Security is to bear interest prior to Maturity, insert — and to pay interest thereon from or from</w:t>
            </w:r>
          </w:p>
        </w:tc>
        <w:tc>
          <w:tcPr>
            <w:tcW w:w="3560" w:type="dxa"/>
            <w:vAlign w:val="bottom"/>
            <w:gridSpan w:val="2"/>
          </w:tcPr>
          <w:p>
            <w:pPr>
              <w:ind w:left="460"/>
              <w:spacing w:after="0"/>
              <w:rPr>
                <w:sz w:val="20"/>
                <w:szCs w:val="20"/>
                <w:color w:val="auto"/>
              </w:rPr>
            </w:pPr>
            <w:r>
              <w:rPr>
                <w:rFonts w:ascii="Arial" w:cs="Arial" w:eastAsia="Arial" w:hAnsi="Arial"/>
                <w:sz w:val="18"/>
                <w:szCs w:val="18"/>
                <w:color w:val="auto"/>
                <w:w w:val="93"/>
              </w:rPr>
              <w:t>the most recent Interest Payment Date to</w:t>
            </w:r>
          </w:p>
        </w:tc>
      </w:tr>
      <w:tr>
        <w:trPr>
          <w:trHeight w:val="20"/>
        </w:trPr>
        <w:tc>
          <w:tcPr>
            <w:tcW w:w="120" w:type="dxa"/>
            <w:vAlign w:val="bottom"/>
          </w:tcPr>
          <w:p>
            <w:pPr>
              <w:spacing w:after="0" w:line="20" w:lineRule="exact"/>
              <w:rPr>
                <w:sz w:val="1"/>
                <w:szCs w:val="1"/>
                <w:color w:val="auto"/>
              </w:rPr>
            </w:pPr>
          </w:p>
        </w:tc>
        <w:tc>
          <w:tcPr>
            <w:tcW w:w="4040" w:type="dxa"/>
            <w:vAlign w:val="bottom"/>
            <w:gridSpan w:val="4"/>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r>
      <w:tr>
        <w:trPr>
          <w:trHeight w:val="222"/>
        </w:trPr>
        <w:tc>
          <w:tcPr>
            <w:tcW w:w="5480" w:type="dxa"/>
            <w:vAlign w:val="bottom"/>
            <w:gridSpan w:val="6"/>
          </w:tcPr>
          <w:p>
            <w:pPr>
              <w:spacing w:after="0"/>
              <w:rPr>
                <w:sz w:val="20"/>
                <w:szCs w:val="20"/>
                <w:color w:val="auto"/>
              </w:rPr>
            </w:pPr>
            <w:r>
              <w:rPr>
                <w:rFonts w:ascii="Arial" w:cs="Arial" w:eastAsia="Arial" w:hAnsi="Arial"/>
                <w:sz w:val="18"/>
                <w:szCs w:val="18"/>
                <w:color w:val="auto"/>
              </w:rPr>
              <w:t>which interest has been paid or duly provided for, semi-annually on</w:t>
            </w:r>
          </w:p>
        </w:tc>
        <w:tc>
          <w:tcPr>
            <w:tcW w:w="800" w:type="dxa"/>
            <w:vAlign w:val="bottom"/>
          </w:tcPr>
          <w:p>
            <w:pPr>
              <w:ind w:left="340"/>
              <w:spacing w:after="0"/>
              <w:rPr>
                <w:sz w:val="20"/>
                <w:szCs w:val="20"/>
                <w:color w:val="auto"/>
              </w:rPr>
            </w:pPr>
            <w:r>
              <w:rPr>
                <w:rFonts w:ascii="Arial" w:cs="Arial" w:eastAsia="Arial" w:hAnsi="Arial"/>
                <w:sz w:val="18"/>
                <w:szCs w:val="18"/>
                <w:color w:val="auto"/>
              </w:rPr>
              <w:t>and</w:t>
            </w:r>
          </w:p>
        </w:tc>
        <w:tc>
          <w:tcPr>
            <w:tcW w:w="5080" w:type="dxa"/>
            <w:vAlign w:val="bottom"/>
            <w:gridSpan w:val="3"/>
          </w:tcPr>
          <w:p>
            <w:pPr>
              <w:ind w:left="740"/>
              <w:spacing w:after="0"/>
              <w:rPr>
                <w:sz w:val="20"/>
                <w:szCs w:val="20"/>
                <w:color w:val="auto"/>
              </w:rPr>
            </w:pPr>
            <w:r>
              <w:rPr>
                <w:rFonts w:ascii="Arial" w:cs="Arial" w:eastAsia="Arial" w:hAnsi="Arial"/>
                <w:sz w:val="18"/>
                <w:szCs w:val="18"/>
                <w:color w:val="auto"/>
              </w:rPr>
              <w:t>in each year (each, an “Interest Payment Date”),</w:t>
            </w: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w w:val="99"/>
              </w:rPr>
              <w:t>commencing</w:t>
            </w:r>
          </w:p>
        </w:tc>
        <w:tc>
          <w:tcPr>
            <w:tcW w:w="1740" w:type="dxa"/>
            <w:vAlign w:val="bottom"/>
          </w:tcPr>
          <w:p>
            <w:pPr>
              <w:ind w:left="480"/>
              <w:spacing w:after="0"/>
              <w:rPr>
                <w:sz w:val="20"/>
                <w:szCs w:val="20"/>
                <w:color w:val="auto"/>
              </w:rPr>
            </w:pPr>
            <w:r>
              <w:rPr>
                <w:rFonts w:ascii="Arial" w:cs="Arial" w:eastAsia="Arial" w:hAnsi="Arial"/>
                <w:sz w:val="18"/>
                <w:szCs w:val="18"/>
                <w:color w:val="auto"/>
              </w:rPr>
              <w:t>, at the rate of</w:t>
            </w:r>
          </w:p>
        </w:tc>
        <w:tc>
          <w:tcPr>
            <w:tcW w:w="8580" w:type="dxa"/>
            <w:vAlign w:val="bottom"/>
            <w:gridSpan w:val="7"/>
          </w:tcPr>
          <w:p>
            <w:pPr>
              <w:ind w:left="280"/>
              <w:spacing w:after="0"/>
              <w:rPr>
                <w:sz w:val="20"/>
                <w:szCs w:val="20"/>
                <w:color w:val="auto"/>
              </w:rPr>
            </w:pPr>
            <w:r>
              <w:rPr>
                <w:rFonts w:ascii="Arial" w:cs="Arial" w:eastAsia="Arial" w:hAnsi="Arial"/>
                <w:sz w:val="18"/>
                <w:szCs w:val="18"/>
                <w:color w:val="auto"/>
                <w:w w:val="91"/>
              </w:rPr>
              <w:t>% per annum, until the principal hereof is paid or duly provided for. The interest so payable, and punctually paid or</w:t>
            </w:r>
          </w:p>
        </w:tc>
      </w:tr>
    </w:tbl>
    <w:p>
      <w:pPr>
        <w:spacing w:after="0"/>
        <w:rPr>
          <w:sz w:val="20"/>
          <w:szCs w:val="20"/>
          <w:color w:val="auto"/>
        </w:rPr>
      </w:pPr>
      <w:r>
        <w:rPr>
          <w:rFonts w:ascii="Arial" w:cs="Arial" w:eastAsia="Arial" w:hAnsi="Arial"/>
          <w:sz w:val="17"/>
          <w:szCs w:val="17"/>
          <w:color w:val="auto"/>
        </w:rPr>
        <w:t>duly provided for, on any Interest Payment Date will, as provided in such Indenture, be paid to the Holder in whose name this Security (or one or more</w:t>
      </w:r>
    </w:p>
    <w:p>
      <w:pPr>
        <w:spacing w:after="0" w:line="21"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Predecessor Securities) is registered at the close of business on the Regular Record Date for such interest, which shall be the</w:t>
      </w:r>
      <w:r>
        <w:rPr>
          <w:sz w:val="20"/>
          <w:szCs w:val="20"/>
          <w:color w:val="auto"/>
        </w:rPr>
        <w:tab/>
      </w:r>
      <w:r>
        <w:rPr>
          <w:rFonts w:ascii="Arial" w:cs="Arial" w:eastAsia="Arial" w:hAnsi="Arial"/>
          <w:sz w:val="17"/>
          <w:szCs w:val="17"/>
          <w:color w:val="auto"/>
        </w:rPr>
        <w:t>or</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(whether or not a Business Day), as the case may be, next preceding such Interest Payment Date [at the office or agency of the Company maintained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03" w:name="page104"/>
    <w:bookmarkEnd w:id="10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93" w:lineRule="exact"/>
        <w:rPr>
          <w:sz w:val="20"/>
          <w:szCs w:val="20"/>
          <w:color w:val="auto"/>
        </w:rPr>
      </w:pPr>
    </w:p>
    <w:p>
      <w:pPr>
        <w:ind w:right="260" w:firstLine="8"/>
        <w:spacing w:after="0" w:line="291" w:lineRule="auto"/>
        <w:tabs>
          <w:tab w:leader="none" w:pos="10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If the Security is not to bear interest prior to Maturity, insert</w:t>
      </w:r>
      <w:r>
        <w:rPr>
          <w:rFonts w:ascii="Arial" w:cs="Arial" w:eastAsia="Arial" w:hAnsi="Arial"/>
          <w:sz w:val="16"/>
          <w:szCs w:val="16"/>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w:t>
      </w:r>
    </w:p>
    <w:p>
      <w:pPr>
        <w:ind w:right="300"/>
        <w:spacing w:after="0" w:line="281" w:lineRule="auto"/>
        <w:rPr>
          <w:sz w:val="20"/>
          <w:szCs w:val="20"/>
          <w:color w:val="auto"/>
        </w:rPr>
      </w:pPr>
      <w:r>
        <w:rPr>
          <w:rFonts w:ascii="Arial" w:cs="Arial" w:eastAsia="Arial" w:hAnsi="Arial"/>
          <w:sz w:val="16"/>
          <w:szCs w:val="16"/>
          <w:color w:val="auto"/>
        </w:rPr>
        <w:t>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w:t>
      </w:r>
    </w:p>
    <w:p>
      <w:pPr>
        <w:ind w:right="100"/>
        <w:spacing w:after="0" w:line="261"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the payment of public and private debts.</w:t>
      </w:r>
    </w:p>
    <w:p>
      <w:pPr>
        <w:spacing w:after="0" w:line="184"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ind w:right="20"/>
        <w:spacing w:after="0" w:line="288" w:lineRule="auto"/>
        <w:rPr>
          <w:sz w:val="20"/>
          <w:szCs w:val="20"/>
          <w:color w:val="auto"/>
        </w:rPr>
      </w:pPr>
      <w:r>
        <w:rPr>
          <w:rFonts w:ascii="Arial" w:cs="Arial" w:eastAsia="Arial" w:hAnsi="Arial"/>
          <w:sz w:val="16"/>
          <w:szCs w:val="16"/>
          <w:color w:val="auto"/>
        </w:rPr>
        <w:t>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69" w:lineRule="exact"/>
        <w:rPr>
          <w:sz w:val="20"/>
          <w:szCs w:val="20"/>
          <w:color w:val="auto"/>
        </w:rPr>
      </w:pPr>
    </w:p>
    <w:p>
      <w:pPr>
        <w:ind w:right="260" w:firstLine="8"/>
        <w:spacing w:after="0" w:line="277" w:lineRule="auto"/>
        <w:tabs>
          <w:tab w:leader="none" w:pos="10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If this Security is a Global Security, insert</w:t>
      </w:r>
      <w:r>
        <w:rPr>
          <w:rFonts w:ascii="Arial" w:cs="Arial" w:eastAsia="Arial" w:hAnsi="Arial"/>
          <w:sz w:val="18"/>
          <w:szCs w:val="18"/>
          <w:color w:val="auto"/>
        </w:rPr>
        <w:t xml:space="preserve"> — All payments of principal, premium or Make-Whole Amount, if any, and interest in respect of this Security will be made by the Company in immediately available funds.]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 under its facsimile corporate seal.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255270</wp:posOffset>
            </wp:positionV>
            <wp:extent cx="26587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274"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Indenture, dated as of , 201 (herein called the “Indenture”) between the Company and [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and the aggregate principal</w:t>
      </w:r>
    </w:p>
    <w:p>
      <w:pPr>
        <w:spacing w:after="0" w:line="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If applicable, insert</w:t>
      </w:r>
      <w:r>
        <w:rPr>
          <w:rFonts w:ascii="Arial" w:cs="Arial" w:eastAsia="Arial" w:hAnsi="Arial"/>
          <w:sz w:val="18"/>
          <w:szCs w:val="18"/>
          <w:color w:val="auto"/>
        </w:rPr>
        <w:t xml:space="preserve"> — The Securities may not be redeemed prior to the Stated Maturity Date.]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gridSpan w:val="15"/>
          </w:tcPr>
          <w:p>
            <w:pPr>
              <w:spacing w:after="0"/>
              <w:rPr>
                <w:sz w:val="20"/>
                <w:szCs w:val="20"/>
                <w:color w:val="auto"/>
              </w:rPr>
            </w:pPr>
            <w:r>
              <w:rPr>
                <w:rFonts w:ascii="Arial" w:cs="Arial" w:eastAsia="Arial" w:hAnsi="Arial"/>
                <w:sz w:val="18"/>
                <w:szCs w:val="18"/>
                <w:color w:val="auto"/>
              </w:rPr>
              <w:t>[ If applicable, insert — The Securities are subject to redemption [ (l) (If applicable, insert — on</w:t>
            </w:r>
          </w:p>
        </w:tc>
        <w:tc>
          <w:tcPr>
            <w:tcW w:w="3780" w:type="dxa"/>
            <w:vAlign w:val="bottom"/>
            <w:gridSpan w:val="3"/>
          </w:tcPr>
          <w:p>
            <w:pPr>
              <w:ind w:left="260"/>
              <w:spacing w:after="0"/>
              <w:rPr>
                <w:sz w:val="20"/>
                <w:szCs w:val="20"/>
                <w:color w:val="auto"/>
              </w:rPr>
            </w:pPr>
            <w:r>
              <w:rPr>
                <w:rFonts w:ascii="Arial" w:cs="Arial" w:eastAsia="Arial" w:hAnsi="Arial"/>
                <w:sz w:val="18"/>
                <w:szCs w:val="18"/>
                <w:color w:val="auto"/>
              </w:rPr>
              <w:t>in any year commencing with the year</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5"/>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3"/>
          </w:tcPr>
          <w:p>
            <w:pPr>
              <w:ind w:left="420"/>
              <w:spacing w:after="0"/>
              <w:rPr>
                <w:sz w:val="20"/>
                <w:szCs w:val="20"/>
                <w:color w:val="auto"/>
              </w:rPr>
            </w:pPr>
            <w:r>
              <w:rPr>
                <w:rFonts w:ascii="Arial" w:cs="Arial" w:eastAsia="Arial" w:hAnsi="Arial"/>
                <w:sz w:val="18"/>
                <w:szCs w:val="18"/>
                <w:color w:val="auto"/>
                <w:w w:val="91"/>
              </w:rPr>
              <w:t>and ending with the year</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80" w:type="dxa"/>
            <w:vAlign w:val="bottom"/>
            <w:gridSpan w:val="10"/>
          </w:tcPr>
          <w:p>
            <w:pPr>
              <w:ind w:left="200"/>
              <w:spacing w:after="0"/>
              <w:rPr>
                <w:sz w:val="20"/>
                <w:szCs w:val="20"/>
                <w:color w:val="auto"/>
              </w:rPr>
            </w:pPr>
            <w:r>
              <w:rPr>
                <w:rFonts w:ascii="Arial" w:cs="Arial" w:eastAsia="Arial" w:hAnsi="Arial"/>
                <w:sz w:val="18"/>
                <w:szCs w:val="18"/>
                <w:color w:val="auto"/>
                <w:w w:val="93"/>
              </w:rPr>
              <w:t>through operation of the sinking fund for this series at a Redemption Price equal to 100% of the principal</w:t>
            </w:r>
          </w:p>
        </w:tc>
      </w:tr>
      <w:tr>
        <w:trPr>
          <w:trHeight w:val="190"/>
        </w:trPr>
        <w:tc>
          <w:tcPr>
            <w:tcW w:w="5040" w:type="dxa"/>
            <w:vAlign w:val="bottom"/>
            <w:gridSpan w:val="9"/>
          </w:tcPr>
          <w:p>
            <w:pPr>
              <w:spacing w:after="0" w:line="190" w:lineRule="exact"/>
              <w:rPr>
                <w:sz w:val="20"/>
                <w:szCs w:val="20"/>
                <w:color w:val="auto"/>
              </w:rPr>
            </w:pPr>
            <w:r>
              <w:rPr>
                <w:rFonts w:ascii="Arial" w:cs="Arial" w:eastAsia="Arial" w:hAnsi="Arial"/>
                <w:sz w:val="18"/>
                <w:szCs w:val="18"/>
                <w:color w:val="auto"/>
                <w:w w:val="98"/>
              </w:rPr>
              <w:t>amount, and (2) ] [ If applicable, insert — at any time [on or after</w:t>
            </w:r>
          </w:p>
        </w:tc>
        <w:tc>
          <w:tcPr>
            <w:tcW w:w="6380" w:type="dxa"/>
            <w:vAlign w:val="bottom"/>
            <w:gridSpan w:val="9"/>
          </w:tcPr>
          <w:p>
            <w:pPr>
              <w:ind w:left="280"/>
              <w:spacing w:after="0" w:line="190" w:lineRule="exact"/>
              <w:rPr>
                <w:sz w:val="20"/>
                <w:szCs w:val="20"/>
                <w:color w:val="auto"/>
              </w:rPr>
            </w:pPr>
            <w:r>
              <w:rPr>
                <w:rFonts w:ascii="Arial" w:cs="Arial" w:eastAsia="Arial" w:hAnsi="Arial"/>
                <w:sz w:val="18"/>
                <w:szCs w:val="18"/>
                <w:color w:val="auto"/>
                <w:w w:val="91"/>
              </w:rPr>
              <w:t>], as a whole or in part, at the election of the Company, at the following Redemption</w:t>
            </w:r>
          </w:p>
        </w:tc>
      </w:tr>
      <w:tr>
        <w:trPr>
          <w:trHeight w:val="20"/>
        </w:trPr>
        <w:tc>
          <w:tcPr>
            <w:tcW w:w="1400" w:type="dxa"/>
            <w:vAlign w:val="bottom"/>
            <w:gridSpan w:val="4"/>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5040" w:type="dxa"/>
            <w:vAlign w:val="bottom"/>
            <w:gridSpan w:val="9"/>
          </w:tcPr>
          <w:p>
            <w:pPr>
              <w:spacing w:after="0"/>
              <w:rPr>
                <w:sz w:val="20"/>
                <w:szCs w:val="20"/>
                <w:color w:val="auto"/>
              </w:rPr>
            </w:pPr>
            <w:r>
              <w:rPr>
                <w:rFonts w:ascii="Arial" w:cs="Arial" w:eastAsia="Arial" w:hAnsi="Arial"/>
                <w:sz w:val="18"/>
                <w:szCs w:val="18"/>
                <w:color w:val="auto"/>
              </w:rPr>
              <w:t>Prices (expressed as percentages of the principal amount):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2720" w:type="dxa"/>
            <w:vAlign w:val="bottom"/>
            <w:gridSpan w:val="6"/>
          </w:tcPr>
          <w:p>
            <w:pPr>
              <w:spacing w:after="0"/>
              <w:rPr>
                <w:sz w:val="20"/>
                <w:szCs w:val="20"/>
                <w:color w:val="auto"/>
              </w:rPr>
            </w:pPr>
            <w:r>
              <w:rPr>
                <w:rFonts w:ascii="Arial" w:cs="Arial" w:eastAsia="Arial" w:hAnsi="Arial"/>
                <w:sz w:val="18"/>
                <w:szCs w:val="18"/>
                <w:color w:val="auto"/>
              </w:rPr>
              <w:t>If redeemed on or before</w:t>
            </w:r>
          </w:p>
        </w:tc>
        <w:tc>
          <w:tcPr>
            <w:tcW w:w="8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4840" w:type="dxa"/>
            <w:vAlign w:val="bottom"/>
            <w:gridSpan w:val="8"/>
          </w:tcPr>
          <w:p>
            <w:pPr>
              <w:ind w:left="400"/>
              <w:spacing w:after="0"/>
              <w:rPr>
                <w:sz w:val="20"/>
                <w:szCs w:val="20"/>
                <w:color w:val="auto"/>
              </w:rPr>
            </w:pPr>
            <w:r>
              <w:rPr>
                <w:rFonts w:ascii="Arial" w:cs="Arial" w:eastAsia="Arial" w:hAnsi="Arial"/>
                <w:sz w:val="18"/>
                <w:szCs w:val="18"/>
                <w:color w:val="auto"/>
                <w:w w:val="97"/>
              </w:rPr>
              <w:t>% and if redeemed during the 12-month period beginning</w:t>
            </w:r>
          </w:p>
        </w:tc>
        <w:tc>
          <w:tcPr>
            <w:tcW w:w="3780" w:type="dxa"/>
            <w:vAlign w:val="bottom"/>
            <w:gridSpan w:val="3"/>
          </w:tcPr>
          <w:p>
            <w:pPr>
              <w:ind w:left="640"/>
              <w:spacing w:after="0"/>
              <w:rPr>
                <w:sz w:val="20"/>
                <w:szCs w:val="20"/>
                <w:color w:val="auto"/>
              </w:rPr>
            </w:pPr>
            <w:r>
              <w:rPr>
                <w:rFonts w:ascii="Arial" w:cs="Arial" w:eastAsia="Arial" w:hAnsi="Arial"/>
                <w:sz w:val="18"/>
                <w:szCs w:val="18"/>
                <w:color w:val="auto"/>
                <w:w w:val="96"/>
              </w:rPr>
              <w:t>of the years indicated at the Redemption</w:t>
            </w:r>
          </w:p>
        </w:tc>
      </w:tr>
      <w:tr>
        <w:trPr>
          <w:trHeight w:val="230"/>
        </w:trPr>
        <w:tc>
          <w:tcPr>
            <w:tcW w:w="2720" w:type="dxa"/>
            <w:vAlign w:val="bottom"/>
            <w:gridSpan w:val="6"/>
          </w:tcPr>
          <w:p>
            <w:pPr>
              <w:spacing w:after="0"/>
              <w:rPr>
                <w:sz w:val="20"/>
                <w:szCs w:val="20"/>
                <w:color w:val="auto"/>
              </w:rPr>
            </w:pPr>
            <w:r>
              <w:rPr>
                <w:rFonts w:ascii="Arial" w:cs="Arial" w:eastAsia="Arial" w:hAnsi="Arial"/>
                <w:sz w:val="18"/>
                <w:szCs w:val="18"/>
                <w:color w:val="auto"/>
              </w:rPr>
              <w:t>Prices indicated below.</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2"/>
        </w:trPr>
        <w:tc>
          <w:tcPr>
            <w:tcW w:w="2720" w:type="dxa"/>
            <w:vAlign w:val="bottom"/>
            <w:gridSpan w:val="6"/>
          </w:tcPr>
          <w:p>
            <w:pPr>
              <w:spacing w:after="0"/>
              <w:rPr>
                <w:sz w:val="20"/>
                <w:szCs w:val="20"/>
                <w:color w:val="auto"/>
              </w:rPr>
            </w:pPr>
            <w:r>
              <w:rPr>
                <w:rFonts w:ascii="Arial" w:cs="Arial" w:eastAsia="Arial" w:hAnsi="Arial"/>
                <w:sz w:val="14"/>
                <w:szCs w:val="14"/>
                <w:b w:val="1"/>
                <w:bCs w:val="1"/>
                <w:color w:val="auto"/>
              </w:rPr>
              <w:t>Year   Redemption Price</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Redemption Price</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120" w:type="dxa"/>
            <w:vAlign w:val="bottom"/>
            <w:shd w:val="clear" w:color="auto" w:fill="000000"/>
          </w:tcPr>
          <w:p>
            <w:pPr>
              <w:spacing w:after="0"/>
              <w:rPr>
                <w:sz w:val="2"/>
                <w:szCs w:val="2"/>
                <w:color w:val="auto"/>
              </w:rPr>
            </w:pPr>
          </w:p>
        </w:tc>
        <w:tc>
          <w:tcPr>
            <w:tcW w:w="360" w:type="dxa"/>
            <w:vAlign w:val="bottom"/>
            <w:gridSpan w:val="2"/>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940" w:type="dxa"/>
            <w:vAlign w:val="bottom"/>
            <w:gridSpan w:val="3"/>
            <w:shd w:val="clear" w:color="auto" w:fill="000000"/>
          </w:tcPr>
          <w:p>
            <w:pPr>
              <w:spacing w:after="0"/>
              <w:rPr>
                <w:sz w:val="2"/>
                <w:szCs w:val="2"/>
                <w:color w:val="auto"/>
              </w:rPr>
            </w:pPr>
          </w:p>
        </w:tc>
        <w:tc>
          <w:tcPr>
            <w:tcW w:w="23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20" w:type="dxa"/>
            <w:vAlign w:val="bottom"/>
            <w:gridSpan w:val="2"/>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r>
        <w:trPr>
          <w:trHeight w:val="392"/>
        </w:trPr>
        <w:tc>
          <w:tcPr>
            <w:tcW w:w="3440" w:type="dxa"/>
            <w:vAlign w:val="bottom"/>
            <w:gridSpan w:val="8"/>
          </w:tcPr>
          <w:p>
            <w:pPr>
              <w:spacing w:after="0"/>
              <w:rPr>
                <w:sz w:val="20"/>
                <w:szCs w:val="20"/>
                <w:color w:val="auto"/>
              </w:rPr>
            </w:pPr>
            <w:r>
              <w:rPr>
                <w:rFonts w:ascii="Arial" w:cs="Arial" w:eastAsia="Arial" w:hAnsi="Arial"/>
                <w:sz w:val="18"/>
                <w:szCs w:val="18"/>
                <w:color w:val="auto"/>
                <w:w w:val="93"/>
              </w:rPr>
              <w:t>and thereafter at a Redemption Price equal to</w:t>
            </w:r>
          </w:p>
        </w:tc>
        <w:tc>
          <w:tcPr>
            <w:tcW w:w="7980" w:type="dxa"/>
            <w:vAlign w:val="bottom"/>
            <w:gridSpan w:val="10"/>
          </w:tcPr>
          <w:p>
            <w:pPr>
              <w:ind w:left="220"/>
              <w:spacing w:after="0"/>
              <w:rPr>
                <w:sz w:val="20"/>
                <w:szCs w:val="20"/>
                <w:color w:val="auto"/>
              </w:rPr>
            </w:pPr>
            <w:r>
              <w:rPr>
                <w:rFonts w:ascii="Arial" w:cs="Arial" w:eastAsia="Arial" w:hAnsi="Arial"/>
                <w:sz w:val="18"/>
                <w:szCs w:val="18"/>
                <w:color w:val="auto"/>
                <w:w w:val="93"/>
              </w:rPr>
              <w:t>% of the principal amount, together in the case of any such redemption [ If applicable, insert — (whether</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through operation of the sinking fund or otherwise)] with accrued interest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3"/>
          </w:tcPr>
          <w:p>
            <w:pPr>
              <w:spacing w:after="0"/>
              <w:rPr>
                <w:sz w:val="20"/>
                <w:szCs w:val="20"/>
                <w:color w:val="auto"/>
              </w:rPr>
            </w:pPr>
            <w:r>
              <w:rPr>
                <w:rFonts w:ascii="Arial" w:cs="Arial" w:eastAsia="Arial" w:hAnsi="Arial"/>
                <w:sz w:val="18"/>
                <w:szCs w:val="18"/>
                <w:color w:val="auto"/>
                <w:w w:val="99"/>
              </w:rPr>
              <w:t>[ If applicable, insert — The Securities are subject to redemption (1) on</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in any year commencing with the year</w:t>
            </w:r>
          </w:p>
        </w:tc>
        <w:tc>
          <w:tcPr>
            <w:tcW w:w="2060" w:type="dxa"/>
            <w:vAlign w:val="bottom"/>
          </w:tcPr>
          <w:p>
            <w:pPr>
              <w:ind w:left="300"/>
              <w:spacing w:after="0"/>
              <w:rPr>
                <w:sz w:val="20"/>
                <w:szCs w:val="20"/>
                <w:color w:val="auto"/>
              </w:rPr>
            </w:pPr>
            <w:r>
              <w:rPr>
                <w:rFonts w:ascii="Arial" w:cs="Arial" w:eastAsia="Arial" w:hAnsi="Arial"/>
                <w:sz w:val="18"/>
                <w:szCs w:val="18"/>
                <w:color w:val="auto"/>
                <w:w w:val="88"/>
              </w:rPr>
              <w:t>and ending with the year</w:t>
            </w:r>
          </w:p>
        </w:tc>
      </w:tr>
      <w:tr>
        <w:trPr>
          <w:trHeight w:val="20"/>
        </w:trPr>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720" w:type="dxa"/>
            <w:vAlign w:val="bottom"/>
            <w:gridSpan w:val="4"/>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11100" w:type="dxa"/>
            <w:vAlign w:val="bottom"/>
            <w:gridSpan w:val="5"/>
          </w:tcPr>
          <w:p>
            <w:pPr>
              <w:ind w:left="420"/>
              <w:spacing w:after="0"/>
              <w:rPr>
                <w:sz w:val="20"/>
                <w:szCs w:val="20"/>
                <w:color w:val="auto"/>
              </w:rPr>
            </w:pPr>
            <w:r>
              <w:rPr>
                <w:rFonts w:ascii="Arial" w:cs="Arial" w:eastAsia="Arial" w:hAnsi="Arial"/>
                <w:sz w:val="18"/>
                <w:szCs w:val="18"/>
                <w:color w:val="auto"/>
                <w:w w:val="92"/>
              </w:rPr>
              <w:t>through operation of the sinking fund for this series at the Redemption Prices for redemption through operation of the sinking fund (expressed as</w:t>
            </w:r>
          </w:p>
        </w:tc>
      </w:tr>
      <w:tr>
        <w:trPr>
          <w:trHeight w:val="230"/>
        </w:trPr>
        <w:tc>
          <w:tcPr>
            <w:tcW w:w="7200" w:type="dxa"/>
            <w:vAlign w:val="bottom"/>
            <w:gridSpan w:val="4"/>
          </w:tcPr>
          <w:p>
            <w:pPr>
              <w:spacing w:after="0"/>
              <w:rPr>
                <w:sz w:val="20"/>
                <w:szCs w:val="20"/>
                <w:color w:val="auto"/>
              </w:rPr>
            </w:pPr>
            <w:r>
              <w:rPr>
                <w:rFonts w:ascii="Arial" w:cs="Arial" w:eastAsia="Arial" w:hAnsi="Arial"/>
                <w:sz w:val="18"/>
                <w:szCs w:val="18"/>
                <w:color w:val="auto"/>
                <w:w w:val="94"/>
              </w:rPr>
              <w:t>percentages of the principal amount) set forth in the table below, and (2) at any time [on or after</w:t>
            </w:r>
          </w:p>
        </w:tc>
        <w:tc>
          <w:tcPr>
            <w:tcW w:w="4020" w:type="dxa"/>
            <w:vAlign w:val="bottom"/>
            <w:gridSpan w:val="2"/>
          </w:tcPr>
          <w:p>
            <w:pPr>
              <w:ind w:left="300"/>
              <w:spacing w:after="0"/>
              <w:rPr>
                <w:sz w:val="20"/>
                <w:szCs w:val="20"/>
                <w:color w:val="auto"/>
              </w:rPr>
            </w:pPr>
            <w:r>
              <w:rPr>
                <w:rFonts w:ascii="Arial" w:cs="Arial" w:eastAsia="Arial" w:hAnsi="Arial"/>
                <w:sz w:val="18"/>
                <w:szCs w:val="18"/>
                <w:color w:val="auto"/>
              </w:rPr>
              <w:t>], as a whole or in part, at the election of the</w:t>
            </w:r>
          </w:p>
        </w:tc>
      </w:tr>
    </w:tbl>
    <w:p>
      <w:pPr>
        <w:spacing w:after="0"/>
        <w:rPr>
          <w:sz w:val="20"/>
          <w:szCs w:val="20"/>
          <w:color w:val="auto"/>
        </w:rPr>
      </w:pPr>
      <w:r>
        <w:rPr>
          <w:rFonts w:ascii="Arial" w:cs="Arial" w:eastAsia="Arial" w:hAnsi="Arial"/>
          <w:sz w:val="16"/>
          <w:szCs w:val="16"/>
          <w:color w:val="auto"/>
        </w:rPr>
        <w:t>Company, at the Redemption Prices for redemption otherwise than through operation of the sinking fund (expressed as percentages of the principal amount)</w:t>
      </w:r>
    </w:p>
    <w:p>
      <w:pPr>
        <w:spacing w:after="0" w:line="38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set forth in the table below: If redeemed during the 12-month period beginning</w:t>
      </w:r>
      <w:r>
        <w:rPr>
          <w:sz w:val="20"/>
          <w:szCs w:val="20"/>
          <w:color w:val="auto"/>
        </w:rPr>
        <w:tab/>
      </w:r>
      <w:r>
        <w:rPr>
          <w:rFonts w:ascii="Arial" w:cs="Arial" w:eastAsia="Arial" w:hAnsi="Arial"/>
          <w:sz w:val="16"/>
          <w:szCs w:val="16"/>
          <w:color w:val="auto"/>
        </w:rPr>
        <w:t>of the years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106" w:name="page107"/>
    <w:bookmarkEnd w:id="106"/>
    <w:tbl>
      <w:tblPr>
        <w:tblLayout w:type="fixed"/>
        <w:tblInd w:w="138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Redemption Price for</w:t>
            </w:r>
          </w:p>
        </w:tc>
        <w:tc>
          <w:tcPr>
            <w:tcW w:w="13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Redemption Price for</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3120" w:type="dxa"/>
            <w:vAlign w:val="bottom"/>
            <w:gridSpan w:val="2"/>
          </w:tcPr>
          <w:p>
            <w:pPr>
              <w:jc w:val="center"/>
              <w:ind w:left="1228"/>
              <w:spacing w:after="0" w:line="149" w:lineRule="exact"/>
              <w:rPr>
                <w:sz w:val="20"/>
                <w:szCs w:val="20"/>
                <w:color w:val="auto"/>
              </w:rPr>
            </w:pPr>
            <w:r>
              <w:rPr>
                <w:rFonts w:ascii="Arial" w:cs="Arial" w:eastAsia="Arial" w:hAnsi="Arial"/>
                <w:sz w:val="14"/>
                <w:szCs w:val="14"/>
                <w:b w:val="1"/>
                <w:bCs w:val="1"/>
                <w:color w:val="auto"/>
                <w:w w:val="93"/>
              </w:rPr>
              <w:t>Redemption Otherwise Than</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33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Redemption Through</w:t>
            </w:r>
          </w:p>
        </w:tc>
        <w:tc>
          <w:tcPr>
            <w:tcW w:w="13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Through Operation of the</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vMerge w:val="continue"/>
          </w:tcPr>
          <w:p>
            <w:pPr>
              <w:spacing w:after="0"/>
              <w:rPr>
                <w:sz w:val="14"/>
                <w:szCs w:val="14"/>
                <w:color w:val="auto"/>
              </w:rPr>
            </w:pPr>
          </w:p>
        </w:tc>
        <w:tc>
          <w:tcPr>
            <w:tcW w:w="3360" w:type="dxa"/>
            <w:vAlign w:val="bottom"/>
          </w:tcPr>
          <w:p>
            <w:pPr>
              <w:spacing w:after="0"/>
              <w:rPr>
                <w:sz w:val="14"/>
                <w:szCs w:val="14"/>
                <w:color w:val="auto"/>
              </w:rPr>
            </w:pPr>
          </w:p>
        </w:tc>
        <w:tc>
          <w:tcPr>
            <w:tcW w:w="19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Operation of the Sinking Fund</w:t>
            </w:r>
          </w:p>
        </w:tc>
        <w:tc>
          <w:tcPr>
            <w:tcW w:w="1340" w:type="dxa"/>
            <w:vAlign w:val="bottom"/>
          </w:tcPr>
          <w:p>
            <w:pPr>
              <w:spacing w:after="0"/>
              <w:rPr>
                <w:sz w:val="14"/>
                <w:szCs w:val="14"/>
                <w:color w:val="auto"/>
              </w:rPr>
            </w:pPr>
          </w:p>
        </w:tc>
        <w:tc>
          <w:tcPr>
            <w:tcW w:w="17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Sinking Fund</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0"/>
        <w:spacing w:after="0" w:line="279" w:lineRule="auto"/>
        <w:rPr>
          <w:sz w:val="20"/>
          <w:szCs w:val="20"/>
          <w:color w:val="auto"/>
        </w:rPr>
      </w:pPr>
      <w:r>
        <w:rPr>
          <w:rFonts w:ascii="Arial" w:cs="Arial" w:eastAsia="Arial" w:hAnsi="Arial"/>
          <w:sz w:val="17"/>
          <w:szCs w:val="17"/>
          <w:color w:val="auto"/>
        </w:rPr>
        <w:t xml:space="preserve">and thereafter at a Redemption Price equal to % of the principal amount, together in the case of any such redemption (whether through operation of the sinking fund or otherwise) with accrued interest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4"/>
          </w:tcPr>
          <w:p>
            <w:pPr>
              <w:spacing w:after="0"/>
              <w:rPr>
                <w:sz w:val="20"/>
                <w:szCs w:val="20"/>
                <w:color w:val="auto"/>
              </w:rPr>
            </w:pPr>
            <w:r>
              <w:rPr>
                <w:rFonts w:ascii="Arial" w:cs="Arial" w:eastAsia="Arial" w:hAnsi="Arial"/>
                <w:sz w:val="18"/>
                <w:szCs w:val="18"/>
                <w:color w:val="auto"/>
              </w:rPr>
              <w:t>[ If applicable, insert — Notwithstanding the foregoing, the Company may not, prior to</w:t>
            </w:r>
          </w:p>
        </w:tc>
        <w:tc>
          <w:tcPr>
            <w:tcW w:w="4120" w:type="dxa"/>
            <w:vAlign w:val="bottom"/>
            <w:gridSpan w:val="3"/>
          </w:tcPr>
          <w:p>
            <w:pPr>
              <w:ind w:left="340"/>
              <w:spacing w:after="0"/>
              <w:rPr>
                <w:sz w:val="20"/>
                <w:szCs w:val="20"/>
                <w:color w:val="auto"/>
              </w:rPr>
            </w:pPr>
            <w:r>
              <w:rPr>
                <w:rFonts w:ascii="Arial" w:cs="Arial" w:eastAsia="Arial" w:hAnsi="Arial"/>
                <w:sz w:val="18"/>
                <w:szCs w:val="18"/>
                <w:color w:val="auto"/>
                <w:w w:val="90"/>
              </w:rPr>
              <w:t>, redeem any Securities as contemplated by [Clause</w:t>
            </w:r>
          </w:p>
        </w:tc>
        <w:tc>
          <w:tcPr>
            <w:tcW w:w="3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5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2"/>
        </w:trPr>
        <w:tc>
          <w:tcPr>
            <w:tcW w:w="11020" w:type="dxa"/>
            <w:vAlign w:val="bottom"/>
            <w:gridSpan w:val="7"/>
          </w:tcPr>
          <w:p>
            <w:pPr>
              <w:spacing w:after="0"/>
              <w:rPr>
                <w:sz w:val="20"/>
                <w:szCs w:val="20"/>
                <w:color w:val="auto"/>
              </w:rPr>
            </w:pPr>
            <w:r>
              <w:rPr>
                <w:rFonts w:ascii="Arial" w:cs="Arial" w:eastAsia="Arial" w:hAnsi="Arial"/>
                <w:sz w:val="18"/>
                <w:szCs w:val="18"/>
                <w:color w:val="auto"/>
                <w:w w:val="92"/>
              </w:rPr>
              <w:t>(2) of] the preceding paragraph as a part of, or in anticipation of, any refunding operation by the application, directly or indirectly, of moneys borrowed</w:t>
            </w:r>
          </w:p>
        </w:tc>
        <w:tc>
          <w:tcPr>
            <w:tcW w:w="340" w:type="dxa"/>
            <w:vAlign w:val="bottom"/>
          </w:tcPr>
          <w:p>
            <w:pPr>
              <w:spacing w:after="0"/>
              <w:rPr>
                <w:sz w:val="19"/>
                <w:szCs w:val="19"/>
                <w:color w:val="auto"/>
              </w:rPr>
            </w:pPr>
          </w:p>
        </w:tc>
      </w:tr>
      <w:tr>
        <w:trPr>
          <w:trHeight w:val="230"/>
        </w:trPr>
        <w:tc>
          <w:tcPr>
            <w:tcW w:w="9140" w:type="dxa"/>
            <w:vAlign w:val="bottom"/>
            <w:gridSpan w:val="6"/>
          </w:tcPr>
          <w:p>
            <w:pPr>
              <w:spacing w:after="0"/>
              <w:rPr>
                <w:sz w:val="20"/>
                <w:szCs w:val="20"/>
                <w:color w:val="auto"/>
              </w:rPr>
            </w:pPr>
            <w:r>
              <w:rPr>
                <w:rFonts w:ascii="Arial" w:cs="Arial" w:eastAsia="Arial" w:hAnsi="Arial"/>
                <w:sz w:val="18"/>
                <w:szCs w:val="18"/>
                <w:color w:val="auto"/>
                <w:w w:val="95"/>
              </w:rPr>
              <w:t>having an interest cost to the Company (calculated in accordance with generally accepted financial practice) of less than</w:t>
            </w:r>
          </w:p>
        </w:tc>
        <w:tc>
          <w:tcPr>
            <w:tcW w:w="1880" w:type="dxa"/>
            <w:vAlign w:val="bottom"/>
          </w:tcPr>
          <w:p>
            <w:pPr>
              <w:ind w:left="460"/>
              <w:spacing w:after="0"/>
              <w:rPr>
                <w:sz w:val="20"/>
                <w:szCs w:val="20"/>
                <w:color w:val="auto"/>
              </w:rPr>
            </w:pPr>
            <w:r>
              <w:rPr>
                <w:rFonts w:ascii="Arial" w:cs="Arial" w:eastAsia="Arial" w:hAnsi="Arial"/>
                <w:sz w:val="18"/>
                <w:szCs w:val="18"/>
                <w:color w:val="auto"/>
              </w:rPr>
              <w:t>% per annum.]</w:t>
            </w:r>
          </w:p>
        </w:tc>
        <w:tc>
          <w:tcPr>
            <w:tcW w:w="340" w:type="dxa"/>
            <w:vAlign w:val="bottom"/>
          </w:tcPr>
          <w:p>
            <w:pPr>
              <w:spacing w:after="0"/>
              <w:rPr>
                <w:sz w:val="20"/>
                <w:szCs w:val="20"/>
                <w:color w:val="auto"/>
              </w:rPr>
            </w:pPr>
          </w:p>
        </w:tc>
      </w:tr>
      <w:tr>
        <w:trPr>
          <w:trHeight w:val="392"/>
        </w:trPr>
        <w:tc>
          <w:tcPr>
            <w:tcW w:w="6900" w:type="dxa"/>
            <w:vAlign w:val="bottom"/>
            <w:gridSpan w:val="4"/>
          </w:tcPr>
          <w:p>
            <w:pPr>
              <w:spacing w:after="0"/>
              <w:rPr>
                <w:sz w:val="20"/>
                <w:szCs w:val="20"/>
                <w:color w:val="auto"/>
              </w:rPr>
            </w:pPr>
            <w:r>
              <w:rPr>
                <w:rFonts w:ascii="Arial" w:cs="Arial" w:eastAsia="Arial" w:hAnsi="Arial"/>
                <w:sz w:val="18"/>
                <w:szCs w:val="18"/>
                <w:color w:val="auto"/>
                <w:w w:val="96"/>
              </w:rPr>
              <w:t>[ If applicable, insert — The sinking fund for the Securities provides for the redemption on</w:t>
            </w:r>
          </w:p>
        </w:tc>
        <w:tc>
          <w:tcPr>
            <w:tcW w:w="4120" w:type="dxa"/>
            <w:vAlign w:val="bottom"/>
            <w:gridSpan w:val="3"/>
          </w:tcPr>
          <w:p>
            <w:pPr>
              <w:ind w:left="600"/>
              <w:spacing w:after="0"/>
              <w:rPr>
                <w:sz w:val="20"/>
                <w:szCs w:val="20"/>
                <w:color w:val="auto"/>
              </w:rPr>
            </w:pPr>
            <w:r>
              <w:rPr>
                <w:rFonts w:ascii="Arial" w:cs="Arial" w:eastAsia="Arial" w:hAnsi="Arial"/>
                <w:sz w:val="18"/>
                <w:szCs w:val="18"/>
                <w:color w:val="auto"/>
              </w:rPr>
              <w:t>in each year, beginning with the year</w:t>
            </w:r>
          </w:p>
        </w:tc>
        <w:tc>
          <w:tcPr>
            <w:tcW w:w="340" w:type="dxa"/>
            <w:vAlign w:val="bottom"/>
          </w:tcPr>
          <w:p>
            <w:pPr>
              <w:ind w:left="80"/>
              <w:spacing w:after="0"/>
              <w:rPr>
                <w:sz w:val="20"/>
                <w:szCs w:val="20"/>
                <w:color w:val="auto"/>
              </w:rPr>
            </w:pPr>
            <w:r>
              <w:rPr>
                <w:rFonts w:ascii="Arial" w:cs="Arial" w:eastAsia="Arial" w:hAnsi="Arial"/>
                <w:sz w:val="18"/>
                <w:szCs w:val="18"/>
                <w:color w:val="auto"/>
                <w:w w:val="79"/>
              </w:rPr>
              <w:t>and</w:t>
            </w:r>
          </w:p>
        </w:tc>
      </w:tr>
      <w:tr>
        <w:trPr>
          <w:trHeight w:val="20"/>
        </w:trPr>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r>
      <w:tr>
        <w:trPr>
          <w:trHeight w:val="237"/>
        </w:trPr>
        <w:tc>
          <w:tcPr>
            <w:tcW w:w="1500" w:type="dxa"/>
            <w:vAlign w:val="bottom"/>
            <w:gridSpan w:val="2"/>
          </w:tcPr>
          <w:p>
            <w:pPr>
              <w:spacing w:after="0"/>
              <w:rPr>
                <w:sz w:val="20"/>
                <w:szCs w:val="20"/>
                <w:color w:val="auto"/>
              </w:rPr>
            </w:pPr>
            <w:r>
              <w:rPr>
                <w:rFonts w:ascii="Arial" w:cs="Arial" w:eastAsia="Arial" w:hAnsi="Arial"/>
                <w:sz w:val="18"/>
                <w:szCs w:val="18"/>
                <w:color w:val="auto"/>
                <w:w w:val="91"/>
              </w:rPr>
              <w:t>ending with the year</w:t>
            </w:r>
          </w:p>
        </w:tc>
        <w:tc>
          <w:tcPr>
            <w:tcW w:w="2660" w:type="dxa"/>
            <w:vAlign w:val="bottom"/>
          </w:tcPr>
          <w:p>
            <w:pPr>
              <w:ind w:left="920"/>
              <w:spacing w:after="0"/>
              <w:rPr>
                <w:sz w:val="20"/>
                <w:szCs w:val="20"/>
                <w:color w:val="auto"/>
              </w:rPr>
            </w:pPr>
            <w:r>
              <w:rPr>
                <w:rFonts w:ascii="Arial" w:cs="Arial" w:eastAsia="Arial" w:hAnsi="Arial"/>
                <w:sz w:val="18"/>
                <w:szCs w:val="18"/>
                <w:color w:val="auto"/>
              </w:rPr>
              <w:t>, of [not less than] $</w:t>
            </w:r>
          </w:p>
        </w:tc>
        <w:tc>
          <w:tcPr>
            <w:tcW w:w="4220" w:type="dxa"/>
            <w:vAlign w:val="bottom"/>
            <w:gridSpan w:val="2"/>
          </w:tcPr>
          <w:p>
            <w:pPr>
              <w:ind w:left="300"/>
              <w:spacing w:after="0"/>
              <w:rPr>
                <w:sz w:val="20"/>
                <w:szCs w:val="20"/>
                <w:color w:val="auto"/>
              </w:rPr>
            </w:pPr>
            <w:r>
              <w:rPr>
                <w:rFonts w:ascii="Arial" w:cs="Arial" w:eastAsia="Arial" w:hAnsi="Arial"/>
                <w:sz w:val="18"/>
                <w:szCs w:val="18"/>
                <w:color w:val="auto"/>
                <w:w w:val="99"/>
              </w:rPr>
              <w:t>] [(“mandatory sinking fund”) and not more than $</w:t>
            </w:r>
          </w:p>
        </w:tc>
        <w:tc>
          <w:tcPr>
            <w:tcW w:w="2980" w:type="dxa"/>
            <w:vAlign w:val="bottom"/>
            <w:gridSpan w:val="3"/>
          </w:tcPr>
          <w:p>
            <w:pPr>
              <w:ind w:left="260"/>
              <w:spacing w:after="0"/>
              <w:rPr>
                <w:sz w:val="20"/>
                <w:szCs w:val="20"/>
                <w:color w:val="auto"/>
              </w:rPr>
            </w:pPr>
            <w:r>
              <w:rPr>
                <w:rFonts w:ascii="Arial" w:cs="Arial" w:eastAsia="Arial" w:hAnsi="Arial"/>
                <w:sz w:val="18"/>
                <w:szCs w:val="18"/>
                <w:color w:val="auto"/>
                <w:w w:val="97"/>
              </w:rPr>
              <w:t>] aggregate principal amount of the</w:t>
            </w:r>
          </w:p>
        </w:tc>
      </w:tr>
    </w:tbl>
    <w:p>
      <w:pPr>
        <w:ind w:right="580"/>
        <w:spacing w:after="0" w:line="323" w:lineRule="auto"/>
        <w:rPr>
          <w:sz w:val="20"/>
          <w:szCs w:val="20"/>
          <w:color w:val="auto"/>
        </w:rPr>
      </w:pPr>
      <w:r>
        <w:rPr>
          <w:rFonts w:ascii="Arial" w:cs="Arial" w:eastAsia="Arial" w:hAnsi="Arial"/>
          <w:sz w:val="16"/>
          <w:szCs w:val="16"/>
          <w:color w:val="auto"/>
        </w:rPr>
        <w:t xml:space="preserve">Securities. [The Securities acquired or redeemed by the Company otherwise than through [mandatory] sinking fund payments may be credited against subsequent [mandatory] sinking fund payments otherwise required to be made in the [ </w:t>
      </w:r>
      <w:r>
        <w:rPr>
          <w:rFonts w:ascii="Arial" w:cs="Arial" w:eastAsia="Arial" w:hAnsi="Arial"/>
          <w:sz w:val="16"/>
          <w:szCs w:val="16"/>
          <w:u w:val="single" w:color="auto"/>
          <w:color w:val="auto"/>
        </w:rPr>
        <w:t>describe order</w:t>
      </w:r>
      <w:r>
        <w:rPr>
          <w:rFonts w:ascii="Arial" w:cs="Arial" w:eastAsia="Arial" w:hAnsi="Arial"/>
          <w:sz w:val="16"/>
          <w:szCs w:val="16"/>
          <w:color w:val="auto"/>
        </w:rPr>
        <w:t xml:space="preserve"> ] order in which they become due.]]</w:t>
      </w:r>
    </w:p>
    <w:p>
      <w:pPr>
        <w:spacing w:after="0" w:line="1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53" w:right="259" w:bottom="1440" w:gutter="0" w:footer="0" w:header="0"/>
        </w:sectPr>
      </w:pPr>
    </w:p>
    <w:bookmarkStart w:id="107" w:name="page108"/>
    <w:bookmarkEnd w:id="107"/>
    <w:p>
      <w:pPr>
        <w:ind w:right="3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4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1" w:lineRule="exact"/>
        <w:rPr>
          <w:sz w:val="20"/>
          <w:szCs w:val="20"/>
          <w:color w:val="auto"/>
        </w:rPr>
      </w:pPr>
    </w:p>
    <w:p>
      <w:pPr>
        <w:spacing w:after="0"/>
        <w:tabs>
          <w:tab w:leader="none" w:pos="8140" w:val="left"/>
        </w:tabs>
        <w:rPr>
          <w:sz w:val="20"/>
          <w:szCs w:val="20"/>
          <w:color w:val="auto"/>
        </w:rPr>
      </w:pPr>
      <w:r>
        <w:rPr>
          <w:rFonts w:ascii="Arial" w:cs="Arial" w:eastAsia="Arial" w:hAnsi="Arial"/>
          <w:sz w:val="18"/>
          <w:szCs w:val="18"/>
          <w:color w:val="auto"/>
        </w:rPr>
        <w:t>The Securities of this series are issuable only in registered form [without coupons] in denominations of $</w:t>
      </w:r>
      <w:r>
        <w:rPr>
          <w:sz w:val="20"/>
          <w:szCs w:val="20"/>
          <w:color w:val="auto"/>
        </w:rPr>
        <w:tab/>
      </w:r>
      <w:r>
        <w:rPr>
          <w:rFonts w:ascii="Arial" w:cs="Arial" w:eastAsia="Arial" w:hAnsi="Arial"/>
          <w:sz w:val="16"/>
          <w:szCs w:val="16"/>
          <w:color w:val="auto"/>
        </w:rPr>
        <w:t>and any integral multiple thereof.</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74" w:right="25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FORMS OF CERTIFICATION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CERTIFICATE TO BE GIVEN BY PERSON ENTITLED TO RECEIVE BEARER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SECURITY OR TO OBTAIN INTEREST PAYABLE PRIOR TO THE EXCHANGE DATE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right="60" w:firstLine="8"/>
        <w:spacing w:after="0" w:line="251" w:lineRule="auto"/>
        <w:tabs>
          <w:tab w:leader="none" w:pos="24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foreign branches of United States financial institutions (financial institutions, as defined in United States Treasury Regulations 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NN,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4" w:right="2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be dated no earlier than the 15th day prior to (i) the Exchange Date or (ii) the relevant Interest Payment Date occurring prior to the Exchange Date, as applicable]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80"/>
          </w:cols>
          <w:pgMar w:left="240" w:top="274" w:right="57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center"/>
        <w:ind w:left="260" w:right="2220"/>
        <w:spacing w:after="0" w:line="286" w:lineRule="auto"/>
        <w:rPr>
          <w:sz w:val="20"/>
          <w:szCs w:val="20"/>
          <w:color w:val="auto"/>
        </w:rPr>
      </w:pPr>
      <w:r>
        <w:rPr>
          <w:rFonts w:ascii="Arial" w:cs="Arial" w:eastAsia="Arial" w:hAnsi="Arial"/>
          <w:sz w:val="17"/>
          <w:szCs w:val="17"/>
          <w:color w:val="auto"/>
        </w:rPr>
        <w:t>FORM OF CERTIFICATE TO BE GIVEN BY EUROCLEAR AND CLEARSTREAM S.A. IN CONNECTION WITH THE EXCHANGE OF A PORTION OF A TEMPORARY GLOBAL SECURITY OR TO OBTAIN INTEREST PAYABLE PRIOR TO THE EXCHANGE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NN,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w:t>
      </w:r>
    </w:p>
    <w:p>
      <w:pPr>
        <w:spacing w:after="0" w:line="4" w:lineRule="exact"/>
        <w:rPr>
          <w:sz w:val="20"/>
          <w:szCs w:val="20"/>
          <w:color w:val="auto"/>
        </w:rPr>
      </w:pPr>
    </w:p>
    <w:p>
      <w:pPr>
        <w:ind w:right="160" w:firstLine="8"/>
        <w:spacing w:after="0" w:line="261" w:lineRule="auto"/>
        <w:tabs>
          <w:tab w:leader="none" w:pos="2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or (ii)) have certified that they have not acquired the Securities for purposes of resale directly or indirectly to a United States person or to a person within the United States or its possessions.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74"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[To be dated no earlier than the Exchange Date or the relevant Interest Payment Date occurring prior to the Exchange Date, as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[Morgan Guaranty Trust Company of New York, Brussels Office, as Operator of the Euroclear System Clearstream Banking Luxembourg]</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74"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4.9</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ind w:left="4960" w:hanging="956"/>
        <w:spacing w:after="0"/>
        <w:tabs>
          <w:tab w:leader="none" w:pos="4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240"/>
        <w:spacing w:after="0"/>
        <w:rPr>
          <w:rFonts w:ascii="Arial" w:cs="Arial" w:eastAsia="Arial" w:hAnsi="Arial"/>
          <w:sz w:val="18"/>
          <w:szCs w:val="18"/>
          <w:color w:val="auto"/>
        </w:rPr>
      </w:pPr>
      <w:r>
        <w:rPr>
          <w:rFonts w:ascii="Arial" w:cs="Arial" w:eastAsia="Arial" w:hAnsi="Arial"/>
          <w:sz w:val="18"/>
          <w:szCs w:val="18"/>
          <w:color w:val="auto"/>
        </w:rPr>
        <w:t>Trustee</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60"/>
        <w:spacing w:after="0"/>
        <w:tabs>
          <w:tab w:leader="none" w:pos="484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6"/>
          <w:szCs w:val="16"/>
          <w:color w:val="auto"/>
        </w:rPr>
        <w:t>, 201</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Subordinated Debt Securities</w:t>
      </w:r>
    </w:p>
    <w:p>
      <w:pPr>
        <w:sectPr>
          <w:pgSz w:w="11900" w:h="16838" w:orient="portrait"/>
          <w:cols w:equalWidth="0" w:num="1">
            <w:col w:w="10220"/>
          </w:cols>
          <w:pgMar w:left="1440" w:top="121" w:right="239" w:bottom="1440" w:gutter="0" w:footer="0" w:header="0"/>
        </w:sectPr>
      </w:pPr>
    </w:p>
    <w:bookmarkStart w:id="113" w:name="page114"/>
    <w:bookmarkEnd w:id="11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
            <w:vMerge w:val="restart"/>
          </w:tcPr>
          <w:p>
            <w:pPr>
              <w:spacing w:after="0"/>
              <w:rPr>
                <w:sz w:val="20"/>
                <w:szCs w:val="20"/>
                <w:color w:val="auto"/>
              </w:rPr>
            </w:pPr>
            <w:r>
              <w:rPr>
                <w:rFonts w:ascii="Arial" w:cs="Arial" w:eastAsia="Arial" w:hAnsi="Arial"/>
                <w:sz w:val="18"/>
                <w:szCs w:val="18"/>
                <w:color w:val="auto"/>
              </w:rPr>
              <w:t>ARTICLE ONE—DEFINITIONS AND OTHER PROVISIONS OF GENERAL APPLICATION</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102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24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240" w:type="dxa"/>
            <w:vAlign w:val="bottom"/>
          </w:tcPr>
          <w:p>
            <w:pPr>
              <w:ind w:left="280"/>
              <w:spacing w:after="0"/>
              <w:rPr>
                <w:sz w:val="20"/>
                <w:szCs w:val="20"/>
                <w:color w:val="auto"/>
              </w:rPr>
            </w:pPr>
            <w:r>
              <w:rPr>
                <w:rFonts w:ascii="Arial" w:cs="Arial" w:eastAsia="Arial" w:hAnsi="Arial"/>
                <w:sz w:val="18"/>
                <w:szCs w:val="18"/>
                <w:color w:val="auto"/>
              </w:rPr>
              <w:t>Compliance Certificates and Opinions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240" w:type="dxa"/>
            <w:vAlign w:val="bottom"/>
          </w:tcPr>
          <w:p>
            <w:pPr>
              <w:ind w:left="280"/>
              <w:spacing w:after="0"/>
              <w:rPr>
                <w:sz w:val="20"/>
                <w:szCs w:val="20"/>
                <w:color w:val="auto"/>
              </w:rPr>
            </w:pPr>
            <w:r>
              <w:rPr>
                <w:rFonts w:ascii="Arial" w:cs="Arial" w:eastAsia="Arial" w:hAnsi="Arial"/>
                <w:sz w:val="18"/>
                <w:szCs w:val="18"/>
                <w:color w:val="auto"/>
              </w:rPr>
              <w:t>Form of Documents Delivered to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240" w:type="dxa"/>
            <w:vAlign w:val="bottom"/>
          </w:tcPr>
          <w:p>
            <w:pPr>
              <w:ind w:left="280"/>
              <w:spacing w:after="0"/>
              <w:rPr>
                <w:sz w:val="20"/>
                <w:szCs w:val="20"/>
                <w:color w:val="auto"/>
              </w:rPr>
            </w:pPr>
            <w:r>
              <w:rPr>
                <w:rFonts w:ascii="Arial" w:cs="Arial" w:eastAsia="Arial" w:hAnsi="Arial"/>
                <w:sz w:val="18"/>
                <w:szCs w:val="18"/>
                <w:color w:val="auto"/>
              </w:rPr>
              <w:t>Acts of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240" w:type="dxa"/>
            <w:vAlign w:val="bottom"/>
          </w:tcPr>
          <w:p>
            <w:pPr>
              <w:ind w:left="280"/>
              <w:spacing w:after="0"/>
              <w:rPr>
                <w:sz w:val="20"/>
                <w:szCs w:val="20"/>
                <w:color w:val="auto"/>
              </w:rPr>
            </w:pPr>
            <w:r>
              <w:rPr>
                <w:rFonts w:ascii="Arial" w:cs="Arial" w:eastAsia="Arial" w:hAnsi="Arial"/>
                <w:sz w:val="18"/>
                <w:szCs w:val="18"/>
                <w:color w:val="auto"/>
              </w:rPr>
              <w:t>Notices, etc., to Trustee and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240" w:type="dxa"/>
            <w:vAlign w:val="bottom"/>
          </w:tcPr>
          <w:p>
            <w:pPr>
              <w:ind w:left="280"/>
              <w:spacing w:after="0"/>
              <w:rPr>
                <w:sz w:val="20"/>
                <w:szCs w:val="20"/>
                <w:color w:val="auto"/>
              </w:rPr>
            </w:pPr>
            <w:r>
              <w:rPr>
                <w:rFonts w:ascii="Arial" w:cs="Arial" w:eastAsia="Arial" w:hAnsi="Arial"/>
                <w:sz w:val="18"/>
                <w:szCs w:val="18"/>
                <w:color w:val="auto"/>
              </w:rPr>
              <w:t>Notice to Holders;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9240" w:type="dxa"/>
            <w:vAlign w:val="bottom"/>
          </w:tcPr>
          <w:p>
            <w:pPr>
              <w:ind w:left="280"/>
              <w:spacing w:after="0"/>
              <w:rPr>
                <w:sz w:val="20"/>
                <w:szCs w:val="20"/>
                <w:color w:val="auto"/>
              </w:rPr>
            </w:pPr>
            <w:r>
              <w:rPr>
                <w:rFonts w:ascii="Arial" w:cs="Arial" w:eastAsia="Arial" w:hAnsi="Arial"/>
                <w:sz w:val="18"/>
                <w:szCs w:val="18"/>
                <w:color w:val="auto"/>
              </w:rPr>
              <w:t>Counterparts; Effect of Headings and Table of Contents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924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9240" w:type="dxa"/>
            <w:vAlign w:val="bottom"/>
          </w:tcPr>
          <w:p>
            <w:pPr>
              <w:ind w:left="280"/>
              <w:spacing w:after="0"/>
              <w:rPr>
                <w:sz w:val="20"/>
                <w:szCs w:val="20"/>
                <w:color w:val="auto"/>
              </w:rPr>
            </w:pPr>
            <w:r>
              <w:rPr>
                <w:rFonts w:ascii="Arial" w:cs="Arial" w:eastAsia="Arial" w:hAnsi="Arial"/>
                <w:sz w:val="18"/>
                <w:szCs w:val="18"/>
                <w:color w:val="auto"/>
              </w:rPr>
              <w:t>Severability Clause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9240" w:type="dxa"/>
            <w:vAlign w:val="bottom"/>
          </w:tcPr>
          <w:p>
            <w:pPr>
              <w:ind w:left="280"/>
              <w:spacing w:after="0"/>
              <w:rPr>
                <w:sz w:val="20"/>
                <w:szCs w:val="20"/>
                <w:color w:val="auto"/>
              </w:rPr>
            </w:pPr>
            <w:r>
              <w:rPr>
                <w:rFonts w:ascii="Arial" w:cs="Arial" w:eastAsia="Arial" w:hAnsi="Arial"/>
                <w:sz w:val="18"/>
                <w:szCs w:val="18"/>
                <w:color w:val="auto"/>
              </w:rPr>
              <w:t>Benefits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24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240" w:type="dxa"/>
            <w:vAlign w:val="bottom"/>
          </w:tcPr>
          <w:p>
            <w:pPr>
              <w:ind w:left="280"/>
              <w:spacing w:after="0"/>
              <w:rPr>
                <w:sz w:val="20"/>
                <w:szCs w:val="20"/>
                <w:color w:val="auto"/>
              </w:rPr>
            </w:pPr>
            <w:r>
              <w:rPr>
                <w:rFonts w:ascii="Arial" w:cs="Arial" w:eastAsia="Arial" w:hAnsi="Arial"/>
                <w:sz w:val="18"/>
                <w:szCs w:val="18"/>
                <w:color w:val="auto"/>
              </w:rPr>
              <w:t>Legal Holidays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240" w:type="dxa"/>
            <w:vAlign w:val="bottom"/>
          </w:tcPr>
          <w:p>
            <w:pPr>
              <w:ind w:left="280"/>
              <w:spacing w:after="0"/>
              <w:rPr>
                <w:sz w:val="20"/>
                <w:szCs w:val="20"/>
                <w:color w:val="auto"/>
              </w:rPr>
            </w:pPr>
            <w:r>
              <w:rPr>
                <w:rFonts w:ascii="Arial" w:cs="Arial" w:eastAsia="Arial" w:hAnsi="Arial"/>
                <w:sz w:val="18"/>
                <w:szCs w:val="18"/>
                <w:color w:val="auto"/>
              </w:rPr>
              <w:t>Limited Liability; Immunity of Stockholders, Directors, Officers and Agents of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240" w:type="dxa"/>
            <w:vAlign w:val="bottom"/>
          </w:tcPr>
          <w:p>
            <w:pPr>
              <w:ind w:left="280"/>
              <w:spacing w:after="0"/>
              <w:rPr>
                <w:sz w:val="20"/>
                <w:szCs w:val="20"/>
                <w:color w:val="auto"/>
              </w:rPr>
            </w:pPr>
            <w:r>
              <w:rPr>
                <w:rFonts w:ascii="Arial" w:cs="Arial" w:eastAsia="Arial" w:hAnsi="Arial"/>
                <w:sz w:val="18"/>
                <w:szCs w:val="18"/>
                <w:color w:val="auto"/>
              </w:rPr>
              <w:t>Conflict with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20" w:type="dxa"/>
            <w:vAlign w:val="bottom"/>
            <w:gridSpan w:val="2"/>
          </w:tcPr>
          <w:p>
            <w:pPr>
              <w:spacing w:after="0"/>
              <w:rPr>
                <w:sz w:val="20"/>
                <w:szCs w:val="20"/>
                <w:color w:val="auto"/>
              </w:rPr>
            </w:pPr>
            <w:r>
              <w:rPr>
                <w:rFonts w:ascii="Arial" w:cs="Arial" w:eastAsia="Arial" w:hAnsi="Arial"/>
                <w:sz w:val="18"/>
                <w:szCs w:val="18"/>
                <w:color w:val="auto"/>
              </w:rPr>
              <w:t>ARTICLE TWO—SECURITIES FORMS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240" w:type="dxa"/>
            <w:vAlign w:val="bottom"/>
          </w:tcPr>
          <w:p>
            <w:pPr>
              <w:ind w:left="280"/>
              <w:spacing w:after="0"/>
              <w:rPr>
                <w:sz w:val="20"/>
                <w:szCs w:val="20"/>
                <w:color w:val="auto"/>
              </w:rPr>
            </w:pPr>
            <w:r>
              <w:rPr>
                <w:rFonts w:ascii="Arial" w:cs="Arial" w:eastAsia="Arial" w:hAnsi="Arial"/>
                <w:sz w:val="18"/>
                <w:szCs w:val="18"/>
                <w:color w:val="auto"/>
              </w:rPr>
              <w:t>Forms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240" w:type="dxa"/>
            <w:vAlign w:val="bottom"/>
          </w:tcPr>
          <w:p>
            <w:pPr>
              <w:ind w:left="280"/>
              <w:spacing w:after="0"/>
              <w:rPr>
                <w:sz w:val="20"/>
                <w:szCs w:val="20"/>
                <w:color w:val="auto"/>
              </w:rPr>
            </w:pPr>
            <w:r>
              <w:rPr>
                <w:rFonts w:ascii="Arial" w:cs="Arial" w:eastAsia="Arial" w:hAnsi="Arial"/>
                <w:sz w:val="18"/>
                <w:szCs w:val="18"/>
                <w:color w:val="auto"/>
              </w:rPr>
              <w:t>Form of Trustee’s Certificate of Authentication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240" w:type="dxa"/>
            <w:vAlign w:val="bottom"/>
          </w:tcPr>
          <w:p>
            <w:pPr>
              <w:ind w:left="280"/>
              <w:spacing w:after="0"/>
              <w:rPr>
                <w:sz w:val="20"/>
                <w:szCs w:val="20"/>
                <w:color w:val="auto"/>
              </w:rPr>
            </w:pPr>
            <w:r>
              <w:rPr>
                <w:rFonts w:ascii="Arial" w:cs="Arial" w:eastAsia="Arial" w:hAnsi="Arial"/>
                <w:sz w:val="18"/>
                <w:szCs w:val="18"/>
                <w:color w:val="auto"/>
              </w:rPr>
              <w:t>Securities Issuable in Global Form</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20" w:type="dxa"/>
            <w:vAlign w:val="bottom"/>
            <w:gridSpan w:val="2"/>
          </w:tcPr>
          <w:p>
            <w:pPr>
              <w:spacing w:after="0"/>
              <w:rPr>
                <w:sz w:val="20"/>
                <w:szCs w:val="20"/>
                <w:color w:val="auto"/>
              </w:rPr>
            </w:pPr>
            <w:r>
              <w:rPr>
                <w:rFonts w:ascii="Arial" w:cs="Arial" w:eastAsia="Arial" w:hAnsi="Arial"/>
                <w:sz w:val="18"/>
                <w:szCs w:val="18"/>
                <w:color w:val="auto"/>
              </w:rPr>
              <w:t>ARTICLE THREE—THE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240" w:type="dxa"/>
            <w:vAlign w:val="bottom"/>
          </w:tcPr>
          <w:p>
            <w:pPr>
              <w:ind w:left="280"/>
              <w:spacing w:after="0"/>
              <w:rPr>
                <w:sz w:val="20"/>
                <w:szCs w:val="20"/>
                <w:color w:val="auto"/>
              </w:rPr>
            </w:pPr>
            <w:r>
              <w:rPr>
                <w:rFonts w:ascii="Arial" w:cs="Arial" w:eastAsia="Arial" w:hAnsi="Arial"/>
                <w:sz w:val="18"/>
                <w:szCs w:val="18"/>
                <w:color w:val="auto"/>
              </w:rPr>
              <w:t>Amount Unlimited; Issuable in Series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240" w:type="dxa"/>
            <w:vAlign w:val="bottom"/>
          </w:tcPr>
          <w:p>
            <w:pPr>
              <w:ind w:left="280"/>
              <w:spacing w:after="0"/>
              <w:rPr>
                <w:sz w:val="20"/>
                <w:szCs w:val="20"/>
                <w:color w:val="auto"/>
              </w:rPr>
            </w:pPr>
            <w:r>
              <w:rPr>
                <w:rFonts w:ascii="Arial" w:cs="Arial" w:eastAsia="Arial" w:hAnsi="Arial"/>
                <w:sz w:val="18"/>
                <w:szCs w:val="18"/>
                <w:color w:val="auto"/>
              </w:rPr>
              <w:t>Denominations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240" w:type="dxa"/>
            <w:vAlign w:val="bottom"/>
          </w:tcPr>
          <w:p>
            <w:pPr>
              <w:ind w:left="280"/>
              <w:spacing w:after="0"/>
              <w:rPr>
                <w:sz w:val="20"/>
                <w:szCs w:val="20"/>
                <w:color w:val="auto"/>
              </w:rPr>
            </w:pPr>
            <w:r>
              <w:rPr>
                <w:rFonts w:ascii="Arial" w:cs="Arial" w:eastAsia="Arial" w:hAnsi="Arial"/>
                <w:sz w:val="18"/>
                <w:szCs w:val="18"/>
                <w:color w:val="auto"/>
              </w:rPr>
              <w:t>Execution, Authentication, Delivery and Dating</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24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9240" w:type="dxa"/>
            <w:vAlign w:val="bottom"/>
          </w:tcPr>
          <w:p>
            <w:pPr>
              <w:ind w:left="280"/>
              <w:spacing w:after="0"/>
              <w:rPr>
                <w:sz w:val="20"/>
                <w:szCs w:val="20"/>
                <w:color w:val="auto"/>
              </w:rPr>
            </w:pPr>
            <w:r>
              <w:rPr>
                <w:rFonts w:ascii="Arial" w:cs="Arial" w:eastAsia="Arial" w:hAnsi="Arial"/>
                <w:sz w:val="18"/>
                <w:szCs w:val="18"/>
                <w:color w:val="auto"/>
              </w:rPr>
              <w:t>Registration, Registration of Transfer, Conversion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9240" w:type="dxa"/>
            <w:vAlign w:val="bottom"/>
          </w:tcPr>
          <w:p>
            <w:pPr>
              <w:ind w:left="28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9240" w:type="dxa"/>
            <w:vAlign w:val="bottom"/>
          </w:tcPr>
          <w:p>
            <w:pPr>
              <w:ind w:left="28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9240" w:type="dxa"/>
            <w:vAlign w:val="bottom"/>
          </w:tcPr>
          <w:p>
            <w:pPr>
              <w:ind w:left="280"/>
              <w:spacing w:after="0"/>
              <w:rPr>
                <w:sz w:val="20"/>
                <w:szCs w:val="20"/>
                <w:color w:val="auto"/>
              </w:rPr>
            </w:pPr>
            <w:r>
              <w:rPr>
                <w:rFonts w:ascii="Arial" w:cs="Arial" w:eastAsia="Arial" w:hAnsi="Arial"/>
                <w:sz w:val="18"/>
                <w:szCs w:val="18"/>
                <w:color w:val="auto"/>
              </w:rPr>
              <w:t>Persons Deemed Owners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924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240" w:type="dxa"/>
            <w:vAlign w:val="bottom"/>
          </w:tcPr>
          <w:p>
            <w:pPr>
              <w:ind w:left="280"/>
              <w:spacing w:after="0"/>
              <w:rPr>
                <w:sz w:val="20"/>
                <w:szCs w:val="20"/>
                <w:color w:val="auto"/>
              </w:rPr>
            </w:pPr>
            <w:r>
              <w:rPr>
                <w:rFonts w:ascii="Arial" w:cs="Arial" w:eastAsia="Arial" w:hAnsi="Arial"/>
                <w:sz w:val="18"/>
                <w:szCs w:val="18"/>
                <w:color w:val="auto"/>
              </w:rPr>
              <w:t>Computation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240" w:type="dxa"/>
            <w:vAlign w:val="bottom"/>
          </w:tcPr>
          <w:p>
            <w:pPr>
              <w:ind w:left="280"/>
              <w:spacing w:after="0"/>
              <w:rPr>
                <w:sz w:val="20"/>
                <w:szCs w:val="20"/>
                <w:color w:val="auto"/>
              </w:rPr>
            </w:pPr>
            <w:r>
              <w:rPr>
                <w:rFonts w:ascii="Arial" w:cs="Arial" w:eastAsia="Arial" w:hAnsi="Arial"/>
                <w:sz w:val="18"/>
                <w:szCs w:val="18"/>
                <w:color w:val="auto"/>
              </w:rPr>
              <w:t>CUSIP Numbers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20" w:type="dxa"/>
            <w:vAlign w:val="bottom"/>
            <w:gridSpan w:val="2"/>
          </w:tcPr>
          <w:p>
            <w:pPr>
              <w:spacing w:after="0"/>
              <w:rPr>
                <w:sz w:val="20"/>
                <w:szCs w:val="20"/>
                <w:color w:val="auto"/>
              </w:rPr>
            </w:pPr>
            <w:r>
              <w:rPr>
                <w:rFonts w:ascii="Arial" w:cs="Arial" w:eastAsia="Arial" w:hAnsi="Arial"/>
                <w:sz w:val="18"/>
                <w:szCs w:val="18"/>
                <w:color w:val="auto"/>
              </w:rPr>
              <w:t>ARTICLE FOUR—SATISFACTION AND DISCHARGE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9240" w:type="dxa"/>
            <w:vAlign w:val="bottom"/>
          </w:tcPr>
          <w:p>
            <w:pPr>
              <w:ind w:left="28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9240" w:type="dxa"/>
            <w:vAlign w:val="bottom"/>
          </w:tcPr>
          <w:p>
            <w:pPr>
              <w:ind w:left="280"/>
              <w:spacing w:after="0"/>
              <w:rPr>
                <w:sz w:val="20"/>
                <w:szCs w:val="20"/>
                <w:color w:val="auto"/>
              </w:rPr>
            </w:pPr>
            <w:r>
              <w:rPr>
                <w:rFonts w:ascii="Arial" w:cs="Arial" w:eastAsia="Arial" w:hAnsi="Arial"/>
                <w:sz w:val="18"/>
                <w:szCs w:val="18"/>
                <w:color w:val="auto"/>
              </w:rPr>
              <w:t>Application of Trust Funds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020" w:type="dxa"/>
            <w:vAlign w:val="bottom"/>
            <w:gridSpan w:val="2"/>
          </w:tcPr>
          <w:p>
            <w:pPr>
              <w:spacing w:after="0"/>
              <w:rPr>
                <w:sz w:val="20"/>
                <w:szCs w:val="20"/>
                <w:color w:val="auto"/>
              </w:rPr>
            </w:pPr>
            <w:r>
              <w:rPr>
                <w:rFonts w:ascii="Arial" w:cs="Arial" w:eastAsia="Arial" w:hAnsi="Arial"/>
                <w:sz w:val="18"/>
                <w:szCs w:val="18"/>
                <w:color w:val="auto"/>
              </w:rPr>
              <w:t>ARTICLE FIVE—REMEDIES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924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9240" w:type="dxa"/>
            <w:vAlign w:val="bottom"/>
          </w:tcPr>
          <w:p>
            <w:pPr>
              <w:ind w:left="280"/>
              <w:spacing w:after="0"/>
              <w:rPr>
                <w:sz w:val="20"/>
                <w:szCs w:val="20"/>
                <w:color w:val="auto"/>
              </w:rPr>
            </w:pPr>
            <w:r>
              <w:rPr>
                <w:rFonts w:ascii="Arial" w:cs="Arial" w:eastAsia="Arial" w:hAnsi="Arial"/>
                <w:sz w:val="18"/>
                <w:szCs w:val="18"/>
                <w:color w:val="auto"/>
              </w:rPr>
              <w:t>Acceleration of Maturity; Rescission and Annulment</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9240" w:type="dxa"/>
            <w:vAlign w:val="bottom"/>
          </w:tcPr>
          <w:p>
            <w:pPr>
              <w:ind w:left="280"/>
              <w:spacing w:after="0"/>
              <w:rPr>
                <w:sz w:val="20"/>
                <w:szCs w:val="20"/>
                <w:color w:val="auto"/>
              </w:rPr>
            </w:pPr>
            <w:r>
              <w:rPr>
                <w:rFonts w:ascii="Arial" w:cs="Arial" w:eastAsia="Arial" w:hAnsi="Arial"/>
                <w:sz w:val="18"/>
                <w:szCs w:val="18"/>
                <w:color w:val="auto"/>
              </w:rPr>
              <w:t>Collection of Indebtedness and Suits for Enforcement by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9240" w:type="dxa"/>
            <w:vAlign w:val="bottom"/>
          </w:tcPr>
          <w:p>
            <w:pPr>
              <w:ind w:left="280"/>
              <w:spacing w:after="0"/>
              <w:rPr>
                <w:sz w:val="20"/>
                <w:szCs w:val="20"/>
                <w:color w:val="auto"/>
              </w:rPr>
            </w:pPr>
            <w:r>
              <w:rPr>
                <w:rFonts w:ascii="Arial" w:cs="Arial" w:eastAsia="Arial" w:hAnsi="Arial"/>
                <w:sz w:val="18"/>
                <w:szCs w:val="18"/>
                <w:color w:val="auto"/>
              </w:rPr>
              <w:t>Trustee May File Proofs of Claim</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9080" w:type="dxa"/>
            <w:vAlign w:val="bottom"/>
          </w:tcPr>
          <w:p>
            <w:pPr>
              <w:ind w:left="22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9080" w:type="dxa"/>
            <w:vAlign w:val="bottom"/>
          </w:tcPr>
          <w:p>
            <w:pPr>
              <w:ind w:left="220"/>
              <w:spacing w:after="0"/>
              <w:rPr>
                <w:sz w:val="20"/>
                <w:szCs w:val="20"/>
                <w:color w:val="auto"/>
              </w:rPr>
            </w:pPr>
            <w:r>
              <w:rPr>
                <w:rFonts w:ascii="Arial" w:cs="Arial" w:eastAsia="Arial" w:hAnsi="Arial"/>
                <w:sz w:val="18"/>
                <w:szCs w:val="18"/>
                <w:color w:val="auto"/>
              </w:rPr>
              <w:t>Application of Money Collected</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908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9080" w:type="dxa"/>
            <w:vAlign w:val="bottom"/>
          </w:tcPr>
          <w:p>
            <w:pPr>
              <w:ind w:left="220"/>
              <w:spacing w:after="0"/>
              <w:rPr>
                <w:sz w:val="20"/>
                <w:szCs w:val="20"/>
                <w:color w:val="auto"/>
              </w:rPr>
            </w:pPr>
            <w:r>
              <w:rPr>
                <w:rFonts w:ascii="Arial" w:cs="Arial" w:eastAsia="Arial" w:hAnsi="Arial"/>
                <w:sz w:val="18"/>
                <w:szCs w:val="18"/>
                <w:color w:val="auto"/>
              </w:rPr>
              <w:t>Unconditional Right of Holders to Receive Principal, Premium or Make-Whole Amount, if any, and Interest</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9080" w:type="dxa"/>
            <w:vAlign w:val="bottom"/>
          </w:tcPr>
          <w:p>
            <w:pPr>
              <w:ind w:left="220"/>
              <w:spacing w:after="0"/>
              <w:rPr>
                <w:sz w:val="20"/>
                <w:szCs w:val="20"/>
                <w:color w:val="auto"/>
              </w:rPr>
            </w:pPr>
            <w:r>
              <w:rPr>
                <w:rFonts w:ascii="Arial" w:cs="Arial" w:eastAsia="Arial" w:hAnsi="Arial"/>
                <w:sz w:val="18"/>
                <w:szCs w:val="18"/>
                <w:color w:val="auto"/>
              </w:rPr>
              <w:t>Restoration of Rights and Remedies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9080" w:type="dxa"/>
            <w:vAlign w:val="bottom"/>
          </w:tcPr>
          <w:p>
            <w:pPr>
              <w:ind w:left="220"/>
              <w:spacing w:after="0"/>
              <w:rPr>
                <w:sz w:val="20"/>
                <w:szCs w:val="20"/>
                <w:color w:val="auto"/>
              </w:rPr>
            </w:pPr>
            <w:r>
              <w:rPr>
                <w:rFonts w:ascii="Arial" w:cs="Arial" w:eastAsia="Arial" w:hAnsi="Arial"/>
                <w:sz w:val="18"/>
                <w:szCs w:val="18"/>
                <w:color w:val="auto"/>
              </w:rPr>
              <w:t>Rights and Remedies Cumulative</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9080" w:type="dxa"/>
            <w:vAlign w:val="bottom"/>
          </w:tcPr>
          <w:p>
            <w:pPr>
              <w:ind w:left="220"/>
              <w:spacing w:after="0"/>
              <w:rPr>
                <w:sz w:val="20"/>
                <w:szCs w:val="20"/>
                <w:color w:val="auto"/>
              </w:rPr>
            </w:pPr>
            <w:r>
              <w:rPr>
                <w:rFonts w:ascii="Arial" w:cs="Arial" w:eastAsia="Arial" w:hAnsi="Arial"/>
                <w:sz w:val="18"/>
                <w:szCs w:val="18"/>
                <w:color w:val="auto"/>
              </w:rPr>
              <w:t>Delay or Omission Not Waiver</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9080" w:type="dxa"/>
            <w:vAlign w:val="bottom"/>
          </w:tcPr>
          <w:p>
            <w:pPr>
              <w:ind w:left="220"/>
              <w:spacing w:after="0"/>
              <w:rPr>
                <w:sz w:val="20"/>
                <w:szCs w:val="20"/>
                <w:color w:val="auto"/>
              </w:rPr>
            </w:pPr>
            <w:r>
              <w:rPr>
                <w:rFonts w:ascii="Arial" w:cs="Arial" w:eastAsia="Arial" w:hAnsi="Arial"/>
                <w:sz w:val="18"/>
                <w:szCs w:val="18"/>
                <w:color w:val="auto"/>
              </w:rPr>
              <w:t>Control by Holders of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908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9080" w:type="dxa"/>
            <w:vAlign w:val="bottom"/>
          </w:tcPr>
          <w:p>
            <w:pPr>
              <w:ind w:left="220"/>
              <w:spacing w:after="0"/>
              <w:rPr>
                <w:sz w:val="20"/>
                <w:szCs w:val="20"/>
                <w:color w:val="auto"/>
              </w:rPr>
            </w:pPr>
            <w:r>
              <w:rPr>
                <w:rFonts w:ascii="Arial" w:cs="Arial" w:eastAsia="Arial" w:hAnsi="Arial"/>
                <w:sz w:val="18"/>
                <w:szCs w:val="18"/>
                <w:color w:val="auto"/>
              </w:rPr>
              <w:t>Waiver of Usury, Stay or Extension Laws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908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0800" w:type="dxa"/>
            <w:vAlign w:val="bottom"/>
            <w:gridSpan w:val="2"/>
          </w:tcPr>
          <w:p>
            <w:pPr>
              <w:spacing w:after="0"/>
              <w:rPr>
                <w:sz w:val="20"/>
                <w:szCs w:val="20"/>
                <w:color w:val="auto"/>
              </w:rPr>
            </w:pPr>
            <w:r>
              <w:rPr>
                <w:rFonts w:ascii="Arial" w:cs="Arial" w:eastAsia="Arial" w:hAnsi="Arial"/>
                <w:sz w:val="18"/>
                <w:szCs w:val="18"/>
                <w:color w:val="auto"/>
              </w:rPr>
              <w:t>ARTICLE SIX—THE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908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9080" w:type="dxa"/>
            <w:vAlign w:val="bottom"/>
          </w:tcPr>
          <w:p>
            <w:pPr>
              <w:ind w:left="220"/>
              <w:spacing w:after="0"/>
              <w:rPr>
                <w:sz w:val="20"/>
                <w:szCs w:val="20"/>
                <w:color w:val="auto"/>
              </w:rPr>
            </w:pPr>
            <w:r>
              <w:rPr>
                <w:rFonts w:ascii="Arial" w:cs="Arial" w:eastAsia="Arial" w:hAnsi="Arial"/>
                <w:sz w:val="18"/>
                <w:szCs w:val="18"/>
                <w:color w:val="auto"/>
              </w:rPr>
              <w:t>Certain Rights of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9080" w:type="dxa"/>
            <w:vAlign w:val="bottom"/>
          </w:tcPr>
          <w:p>
            <w:pPr>
              <w:ind w:left="220"/>
              <w:spacing w:after="0"/>
              <w:rPr>
                <w:sz w:val="20"/>
                <w:szCs w:val="20"/>
                <w:color w:val="auto"/>
              </w:rPr>
            </w:pPr>
            <w:r>
              <w:rPr>
                <w:rFonts w:ascii="Arial" w:cs="Arial" w:eastAsia="Arial" w:hAnsi="Arial"/>
                <w:sz w:val="18"/>
                <w:szCs w:val="18"/>
                <w:color w:val="auto"/>
              </w:rPr>
              <w:t>Not Responsible for Recitals or Issuance of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9080" w:type="dxa"/>
            <w:vAlign w:val="bottom"/>
          </w:tcPr>
          <w:p>
            <w:pPr>
              <w:ind w:left="220"/>
              <w:spacing w:after="0"/>
              <w:rPr>
                <w:sz w:val="20"/>
                <w:szCs w:val="20"/>
                <w:color w:val="auto"/>
              </w:rPr>
            </w:pPr>
            <w:r>
              <w:rPr>
                <w:rFonts w:ascii="Arial" w:cs="Arial" w:eastAsia="Arial" w:hAnsi="Arial"/>
                <w:sz w:val="18"/>
                <w:szCs w:val="18"/>
                <w:color w:val="auto"/>
              </w:rPr>
              <w:t>May Hold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9080" w:type="dxa"/>
            <w:vAlign w:val="bottom"/>
          </w:tcPr>
          <w:p>
            <w:pPr>
              <w:ind w:left="220"/>
              <w:spacing w:after="0"/>
              <w:rPr>
                <w:sz w:val="20"/>
                <w:szCs w:val="20"/>
                <w:color w:val="auto"/>
              </w:rPr>
            </w:pPr>
            <w:r>
              <w:rPr>
                <w:rFonts w:ascii="Arial" w:cs="Arial" w:eastAsia="Arial" w:hAnsi="Arial"/>
                <w:sz w:val="18"/>
                <w:szCs w:val="18"/>
                <w:color w:val="auto"/>
              </w:rPr>
              <w:t>Money Held in Trust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9080" w:type="dxa"/>
            <w:vAlign w:val="bottom"/>
          </w:tcPr>
          <w:p>
            <w:pPr>
              <w:ind w:left="220"/>
              <w:spacing w:after="0"/>
              <w:rPr>
                <w:sz w:val="20"/>
                <w:szCs w:val="20"/>
                <w:color w:val="auto"/>
              </w:rPr>
            </w:pPr>
            <w:r>
              <w:rPr>
                <w:rFonts w:ascii="Arial" w:cs="Arial" w:eastAsia="Arial" w:hAnsi="Arial"/>
                <w:sz w:val="18"/>
                <w:szCs w:val="18"/>
                <w:color w:val="auto"/>
              </w:rPr>
              <w:t>Compensation and Reimbursement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9080" w:type="dxa"/>
            <w:vAlign w:val="bottom"/>
          </w:tcPr>
          <w:p>
            <w:pPr>
              <w:ind w:left="220"/>
              <w:spacing w:after="0"/>
              <w:rPr>
                <w:sz w:val="20"/>
                <w:szCs w:val="20"/>
                <w:color w:val="auto"/>
              </w:rPr>
            </w:pPr>
            <w:r>
              <w:rPr>
                <w:rFonts w:ascii="Arial" w:cs="Arial" w:eastAsia="Arial" w:hAnsi="Arial"/>
                <w:sz w:val="18"/>
                <w:szCs w:val="18"/>
                <w:color w:val="auto"/>
              </w:rPr>
              <w:t>Corporate Trustee Required; Eligibility; Conflicting Interests</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9080" w:type="dxa"/>
            <w:vAlign w:val="bottom"/>
          </w:tcPr>
          <w:p>
            <w:pPr>
              <w:ind w:left="220"/>
              <w:spacing w:after="0"/>
              <w:rPr>
                <w:sz w:val="20"/>
                <w:szCs w:val="20"/>
                <w:color w:val="auto"/>
              </w:rPr>
            </w:pPr>
            <w:r>
              <w:rPr>
                <w:rFonts w:ascii="Arial" w:cs="Arial" w:eastAsia="Arial" w:hAnsi="Arial"/>
                <w:sz w:val="18"/>
                <w:szCs w:val="18"/>
                <w:color w:val="auto"/>
              </w:rPr>
              <w:t>Resignation and Removal; Appointment of Successor</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9080" w:type="dxa"/>
            <w:vAlign w:val="bottom"/>
          </w:tcPr>
          <w:p>
            <w:pPr>
              <w:ind w:left="220"/>
              <w:spacing w:after="0"/>
              <w:rPr>
                <w:sz w:val="20"/>
                <w:szCs w:val="20"/>
                <w:color w:val="auto"/>
              </w:rPr>
            </w:pPr>
            <w:r>
              <w:rPr>
                <w:rFonts w:ascii="Arial" w:cs="Arial" w:eastAsia="Arial" w:hAnsi="Arial"/>
                <w:sz w:val="18"/>
                <w:szCs w:val="18"/>
                <w:color w:val="auto"/>
              </w:rPr>
              <w:t>Acceptance of Appointment by Successor</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9080" w:type="dxa"/>
            <w:vAlign w:val="bottom"/>
          </w:tcPr>
          <w:p>
            <w:pPr>
              <w:ind w:left="220"/>
              <w:spacing w:after="0"/>
              <w:rPr>
                <w:sz w:val="20"/>
                <w:szCs w:val="20"/>
                <w:color w:val="auto"/>
              </w:rPr>
            </w:pPr>
            <w:r>
              <w:rPr>
                <w:rFonts w:ascii="Arial" w:cs="Arial" w:eastAsia="Arial" w:hAnsi="Arial"/>
                <w:sz w:val="18"/>
                <w:szCs w:val="18"/>
                <w:color w:val="auto"/>
              </w:rPr>
              <w:t>Merger, Conversion, Consolidation or Succession to Business</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9080" w:type="dxa"/>
            <w:vAlign w:val="bottom"/>
          </w:tcPr>
          <w:p>
            <w:pPr>
              <w:ind w:left="220"/>
              <w:spacing w:after="0"/>
              <w:rPr>
                <w:sz w:val="20"/>
                <w:szCs w:val="20"/>
                <w:color w:val="auto"/>
              </w:rPr>
            </w:pPr>
            <w:r>
              <w:rPr>
                <w:rFonts w:ascii="Arial" w:cs="Arial" w:eastAsia="Arial" w:hAnsi="Arial"/>
                <w:sz w:val="18"/>
                <w:szCs w:val="18"/>
                <w:color w:val="auto"/>
              </w:rPr>
              <w:t>Appointment of Authenticating Agent</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9080" w:type="dxa"/>
            <w:vAlign w:val="bottom"/>
          </w:tcPr>
          <w:p>
            <w:pPr>
              <w:ind w:left="220"/>
              <w:spacing w:after="0"/>
              <w:rPr>
                <w:sz w:val="20"/>
                <w:szCs w:val="20"/>
                <w:color w:val="auto"/>
              </w:rPr>
            </w:pPr>
            <w:r>
              <w:rPr>
                <w:rFonts w:ascii="Arial" w:cs="Arial" w:eastAsia="Arial" w:hAnsi="Arial"/>
                <w:sz w:val="18"/>
                <w:szCs w:val="18"/>
                <w:color w:val="auto"/>
              </w:rPr>
              <w:t>Certain Duties and Responsibilities of the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0800" w:type="dxa"/>
            <w:vAlign w:val="bottom"/>
            <w:gridSpan w:val="2"/>
          </w:tcPr>
          <w:p>
            <w:pPr>
              <w:spacing w:after="0"/>
              <w:rPr>
                <w:sz w:val="20"/>
                <w:szCs w:val="20"/>
                <w:color w:val="auto"/>
              </w:rPr>
            </w:pPr>
            <w:r>
              <w:rPr>
                <w:rFonts w:ascii="Arial" w:cs="Arial" w:eastAsia="Arial" w:hAnsi="Arial"/>
                <w:sz w:val="18"/>
                <w:szCs w:val="18"/>
                <w:color w:val="auto"/>
              </w:rPr>
              <w:t>ARTICLE SEVEN—HOLDERS’ LISTS AND REPORTS BY TRUSTEE AND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9080" w:type="dxa"/>
            <w:vAlign w:val="bottom"/>
          </w:tcPr>
          <w:p>
            <w:pPr>
              <w:ind w:left="220"/>
              <w:spacing w:after="0"/>
              <w:rPr>
                <w:sz w:val="20"/>
                <w:szCs w:val="20"/>
                <w:color w:val="auto"/>
              </w:rPr>
            </w:pPr>
            <w:r>
              <w:rPr>
                <w:rFonts w:ascii="Arial" w:cs="Arial" w:eastAsia="Arial" w:hAnsi="Arial"/>
                <w:sz w:val="18"/>
                <w:szCs w:val="18"/>
                <w:color w:val="auto"/>
              </w:rPr>
              <w:t>Disclosure of Names and Addresses of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9080" w:type="dxa"/>
            <w:vAlign w:val="bottom"/>
          </w:tcPr>
          <w:p>
            <w:pPr>
              <w:ind w:left="220"/>
              <w:spacing w:after="0"/>
              <w:rPr>
                <w:sz w:val="20"/>
                <w:szCs w:val="20"/>
                <w:color w:val="auto"/>
              </w:rPr>
            </w:pPr>
            <w:r>
              <w:rPr>
                <w:rFonts w:ascii="Arial" w:cs="Arial" w:eastAsia="Arial" w:hAnsi="Arial"/>
                <w:sz w:val="18"/>
                <w:szCs w:val="18"/>
                <w:color w:val="auto"/>
              </w:rPr>
              <w:t>Reports by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9080" w:type="dxa"/>
            <w:vAlign w:val="bottom"/>
          </w:tcPr>
          <w:p>
            <w:pPr>
              <w:ind w:left="220"/>
              <w:spacing w:after="0"/>
              <w:rPr>
                <w:sz w:val="20"/>
                <w:szCs w:val="20"/>
                <w:color w:val="auto"/>
              </w:rPr>
            </w:pPr>
            <w:r>
              <w:rPr>
                <w:rFonts w:ascii="Arial" w:cs="Arial" w:eastAsia="Arial" w:hAnsi="Arial"/>
                <w:sz w:val="18"/>
                <w:szCs w:val="18"/>
                <w:color w:val="auto"/>
              </w:rPr>
              <w:t>Reports by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9080" w:type="dxa"/>
            <w:vAlign w:val="bottom"/>
          </w:tcPr>
          <w:p>
            <w:pPr>
              <w:ind w:left="220"/>
              <w:spacing w:after="0"/>
              <w:rPr>
                <w:sz w:val="20"/>
                <w:szCs w:val="20"/>
                <w:color w:val="auto"/>
              </w:rPr>
            </w:pPr>
            <w:r>
              <w:rPr>
                <w:rFonts w:ascii="Arial" w:cs="Arial" w:eastAsia="Arial" w:hAnsi="Arial"/>
                <w:sz w:val="18"/>
                <w:szCs w:val="18"/>
                <w:color w:val="auto"/>
              </w:rPr>
              <w:t>Company to Furnish Trustee Names and Addresses of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10800" w:type="dxa"/>
            <w:vAlign w:val="bottom"/>
            <w:gridSpan w:val="2"/>
          </w:tcPr>
          <w:p>
            <w:pPr>
              <w:spacing w:after="0"/>
              <w:rPr>
                <w:sz w:val="20"/>
                <w:szCs w:val="20"/>
                <w:color w:val="auto"/>
              </w:rPr>
            </w:pPr>
            <w:r>
              <w:rPr>
                <w:rFonts w:ascii="Arial" w:cs="Arial" w:eastAsia="Arial" w:hAnsi="Arial"/>
                <w:sz w:val="18"/>
                <w:szCs w:val="18"/>
                <w:color w:val="auto"/>
              </w:rPr>
              <w:t>ARTICLE EIGHT—CONSOLIDATION, MERGER, SALE, LEASE OR CONVEYANCE</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9080" w:type="dxa"/>
            <w:vAlign w:val="bottom"/>
          </w:tcPr>
          <w:p>
            <w:pPr>
              <w:ind w:left="220"/>
              <w:spacing w:after="0"/>
              <w:rPr>
                <w:sz w:val="20"/>
                <w:szCs w:val="20"/>
                <w:color w:val="auto"/>
              </w:rPr>
            </w:pPr>
            <w:r>
              <w:rPr>
                <w:rFonts w:ascii="Arial" w:cs="Arial" w:eastAsia="Arial" w:hAnsi="Arial"/>
                <w:sz w:val="18"/>
                <w:szCs w:val="18"/>
                <w:color w:val="auto"/>
                <w:w w:val="93"/>
              </w:rPr>
              <w:t>Consolidations and Mergers of Company and Sales, Leases and Conveyances Permitted Subject to Certain Conditions</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9080" w:type="dxa"/>
            <w:vAlign w:val="bottom"/>
          </w:tcPr>
          <w:p>
            <w:pPr>
              <w:ind w:left="220"/>
              <w:spacing w:after="0"/>
              <w:rPr>
                <w:sz w:val="20"/>
                <w:szCs w:val="20"/>
                <w:color w:val="auto"/>
              </w:rPr>
            </w:pPr>
            <w:r>
              <w:rPr>
                <w:rFonts w:ascii="Arial" w:cs="Arial" w:eastAsia="Arial" w:hAnsi="Arial"/>
                <w:sz w:val="18"/>
                <w:szCs w:val="18"/>
                <w:color w:val="auto"/>
              </w:rPr>
              <w:t>Rights and Duties of Successor Corporation</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9080" w:type="dxa"/>
            <w:vAlign w:val="bottom"/>
          </w:tcPr>
          <w:p>
            <w:pPr>
              <w:ind w:left="220"/>
              <w:spacing w:after="0"/>
              <w:rPr>
                <w:sz w:val="20"/>
                <w:szCs w:val="20"/>
                <w:color w:val="auto"/>
              </w:rPr>
            </w:pPr>
            <w:r>
              <w:rPr>
                <w:rFonts w:ascii="Arial" w:cs="Arial" w:eastAsia="Arial" w:hAnsi="Arial"/>
                <w:sz w:val="18"/>
                <w:szCs w:val="18"/>
                <w:color w:val="auto"/>
              </w:rPr>
              <w:t>Officers’ Certificate and Opinion of Counsel</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0800" w:type="dxa"/>
            <w:vAlign w:val="bottom"/>
            <w:gridSpan w:val="2"/>
          </w:tcPr>
          <w:p>
            <w:pPr>
              <w:spacing w:after="0"/>
              <w:rPr>
                <w:sz w:val="20"/>
                <w:szCs w:val="20"/>
                <w:color w:val="auto"/>
              </w:rPr>
            </w:pPr>
            <w:r>
              <w:rPr>
                <w:rFonts w:ascii="Arial" w:cs="Arial" w:eastAsia="Arial" w:hAnsi="Arial"/>
                <w:sz w:val="18"/>
                <w:szCs w:val="18"/>
                <w:color w:val="auto"/>
              </w:rPr>
              <w:t>ARTICLE NINE—SUPPLEMENTAL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9080" w:type="dxa"/>
            <w:vAlign w:val="bottom"/>
          </w:tcPr>
          <w:p>
            <w:pPr>
              <w:ind w:left="220"/>
              <w:spacing w:after="0"/>
              <w:rPr>
                <w:sz w:val="20"/>
                <w:szCs w:val="20"/>
                <w:color w:val="auto"/>
              </w:rPr>
            </w:pPr>
            <w:r>
              <w:rPr>
                <w:rFonts w:ascii="Arial" w:cs="Arial" w:eastAsia="Arial" w:hAnsi="Arial"/>
                <w:sz w:val="18"/>
                <w:szCs w:val="18"/>
                <w:color w:val="auto"/>
              </w:rPr>
              <w:t>Supplemental Indentures Without Consent of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9080" w:type="dxa"/>
            <w:vAlign w:val="bottom"/>
          </w:tcPr>
          <w:p>
            <w:pPr>
              <w:ind w:left="220"/>
              <w:spacing w:after="0"/>
              <w:rPr>
                <w:sz w:val="20"/>
                <w:szCs w:val="20"/>
                <w:color w:val="auto"/>
              </w:rPr>
            </w:pPr>
            <w:r>
              <w:rPr>
                <w:rFonts w:ascii="Arial" w:cs="Arial" w:eastAsia="Arial" w:hAnsi="Arial"/>
                <w:sz w:val="18"/>
                <w:szCs w:val="18"/>
                <w:color w:val="auto"/>
              </w:rPr>
              <w:t>Supplemental Indentures with Consent of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9080" w:type="dxa"/>
            <w:vAlign w:val="bottom"/>
          </w:tcPr>
          <w:p>
            <w:pPr>
              <w:ind w:left="220"/>
              <w:spacing w:after="0"/>
              <w:rPr>
                <w:sz w:val="20"/>
                <w:szCs w:val="20"/>
                <w:color w:val="auto"/>
              </w:rPr>
            </w:pPr>
            <w:r>
              <w:rPr>
                <w:rFonts w:ascii="Arial" w:cs="Arial" w:eastAsia="Arial" w:hAnsi="Arial"/>
                <w:sz w:val="18"/>
                <w:szCs w:val="18"/>
                <w:color w:val="auto"/>
              </w:rPr>
              <w:t>Execution of Supplemental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9080" w:type="dxa"/>
            <w:vAlign w:val="bottom"/>
          </w:tcPr>
          <w:p>
            <w:pPr>
              <w:ind w:left="220"/>
              <w:spacing w:after="0"/>
              <w:rPr>
                <w:sz w:val="20"/>
                <w:szCs w:val="20"/>
                <w:color w:val="auto"/>
              </w:rPr>
            </w:pPr>
            <w:r>
              <w:rPr>
                <w:rFonts w:ascii="Arial" w:cs="Arial" w:eastAsia="Arial" w:hAnsi="Arial"/>
                <w:sz w:val="18"/>
                <w:szCs w:val="18"/>
                <w:color w:val="auto"/>
              </w:rPr>
              <w:t>Effect of Supplemental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9080" w:type="dxa"/>
            <w:vAlign w:val="bottom"/>
          </w:tcPr>
          <w:p>
            <w:pPr>
              <w:ind w:left="220"/>
              <w:spacing w:after="0"/>
              <w:rPr>
                <w:sz w:val="20"/>
                <w:szCs w:val="20"/>
                <w:color w:val="auto"/>
              </w:rPr>
            </w:pPr>
            <w:r>
              <w:rPr>
                <w:rFonts w:ascii="Arial" w:cs="Arial" w:eastAsia="Arial" w:hAnsi="Arial"/>
                <w:sz w:val="18"/>
                <w:szCs w:val="18"/>
                <w:color w:val="auto"/>
              </w:rPr>
              <w:t>Conformity with Trust Indenture Act</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9080" w:type="dxa"/>
            <w:vAlign w:val="bottom"/>
          </w:tcPr>
          <w:p>
            <w:pPr>
              <w:ind w:left="220"/>
              <w:spacing w:after="0"/>
              <w:rPr>
                <w:sz w:val="20"/>
                <w:szCs w:val="20"/>
                <w:color w:val="auto"/>
              </w:rPr>
            </w:pPr>
            <w:r>
              <w:rPr>
                <w:rFonts w:ascii="Arial" w:cs="Arial" w:eastAsia="Arial" w:hAnsi="Arial"/>
                <w:sz w:val="18"/>
                <w:szCs w:val="18"/>
                <w:color w:val="auto"/>
              </w:rPr>
              <w:t>Reference in Securities to Supplemental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ARTICLE TEN—COVENANTS</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8440" w:type="dxa"/>
            <w:vAlign w:val="bottom"/>
          </w:tcPr>
          <w:p>
            <w:pPr>
              <w:ind w:left="220"/>
              <w:spacing w:after="0"/>
              <w:rPr>
                <w:sz w:val="20"/>
                <w:szCs w:val="20"/>
                <w:color w:val="auto"/>
              </w:rPr>
            </w:pPr>
            <w:r>
              <w:rPr>
                <w:rFonts w:ascii="Arial" w:cs="Arial" w:eastAsia="Arial" w:hAnsi="Arial"/>
                <w:sz w:val="18"/>
                <w:szCs w:val="18"/>
                <w:color w:val="auto"/>
              </w:rPr>
              <w:t>Payment of Principal, Premium or Make-Whole Amount, if any; and Interest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8440" w:type="dxa"/>
            <w:vAlign w:val="bottom"/>
          </w:tcPr>
          <w:p>
            <w:pPr>
              <w:ind w:left="220"/>
              <w:spacing w:after="0"/>
              <w:rPr>
                <w:sz w:val="20"/>
                <w:szCs w:val="20"/>
                <w:color w:val="auto"/>
              </w:rPr>
            </w:pPr>
            <w:r>
              <w:rPr>
                <w:rFonts w:ascii="Arial" w:cs="Arial" w:eastAsia="Arial" w:hAnsi="Arial"/>
                <w:sz w:val="18"/>
                <w:szCs w:val="18"/>
                <w:color w:val="auto"/>
              </w:rPr>
              <w:t>Maintenance of Office or Agency</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8440" w:type="dxa"/>
            <w:vAlign w:val="bottom"/>
          </w:tcPr>
          <w:p>
            <w:pPr>
              <w:ind w:left="220"/>
              <w:spacing w:after="0"/>
              <w:rPr>
                <w:sz w:val="20"/>
                <w:szCs w:val="20"/>
                <w:color w:val="auto"/>
              </w:rPr>
            </w:pPr>
            <w:r>
              <w:rPr>
                <w:rFonts w:ascii="Arial" w:cs="Arial" w:eastAsia="Arial" w:hAnsi="Arial"/>
                <w:sz w:val="18"/>
                <w:szCs w:val="18"/>
                <w:color w:val="auto"/>
              </w:rPr>
              <w:t>Money for Securities Payments to Be Held in Trust</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8440" w:type="dxa"/>
            <w:vAlign w:val="bottom"/>
          </w:tcPr>
          <w:p>
            <w:pPr>
              <w:ind w:left="220"/>
              <w:spacing w:after="0"/>
              <w:rPr>
                <w:sz w:val="20"/>
                <w:szCs w:val="20"/>
                <w:color w:val="auto"/>
              </w:rPr>
            </w:pPr>
            <w:r>
              <w:rPr>
                <w:rFonts w:ascii="Arial" w:cs="Arial" w:eastAsia="Arial" w:hAnsi="Arial"/>
                <w:sz w:val="18"/>
                <w:szCs w:val="18"/>
                <w:color w:val="auto"/>
              </w:rPr>
              <w:t>Existence</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8440" w:type="dxa"/>
            <w:vAlign w:val="bottom"/>
          </w:tcPr>
          <w:p>
            <w:pPr>
              <w:ind w:left="220"/>
              <w:spacing w:after="0"/>
              <w:rPr>
                <w:sz w:val="20"/>
                <w:szCs w:val="20"/>
                <w:color w:val="auto"/>
              </w:rPr>
            </w:pPr>
            <w:r>
              <w:rPr>
                <w:rFonts w:ascii="Arial" w:cs="Arial" w:eastAsia="Arial" w:hAnsi="Arial"/>
                <w:sz w:val="18"/>
                <w:szCs w:val="18"/>
                <w:color w:val="auto"/>
              </w:rPr>
              <w:t>Maintenance of Properties</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844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1007.</w:t>
            </w:r>
          </w:p>
        </w:tc>
        <w:tc>
          <w:tcPr>
            <w:tcW w:w="8440" w:type="dxa"/>
            <w:vAlign w:val="bottom"/>
          </w:tcPr>
          <w:p>
            <w:pPr>
              <w:ind w:left="220"/>
              <w:spacing w:after="0"/>
              <w:rPr>
                <w:sz w:val="20"/>
                <w:szCs w:val="20"/>
                <w:color w:val="auto"/>
              </w:rPr>
            </w:pPr>
            <w:r>
              <w:rPr>
                <w:rFonts w:ascii="Arial" w:cs="Arial" w:eastAsia="Arial" w:hAnsi="Arial"/>
                <w:sz w:val="18"/>
                <w:szCs w:val="18"/>
                <w:color w:val="auto"/>
              </w:rPr>
              <w:t>Payment of Taxes and Other Claims</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1008.</w:t>
            </w:r>
          </w:p>
        </w:tc>
        <w:tc>
          <w:tcPr>
            <w:tcW w:w="8440" w:type="dxa"/>
            <w:vAlign w:val="bottom"/>
          </w:tcPr>
          <w:p>
            <w:pPr>
              <w:ind w:left="220"/>
              <w:spacing w:after="0"/>
              <w:rPr>
                <w:sz w:val="20"/>
                <w:szCs w:val="20"/>
                <w:color w:val="auto"/>
              </w:rPr>
            </w:pPr>
            <w:r>
              <w:rPr>
                <w:rFonts w:ascii="Arial" w:cs="Arial" w:eastAsia="Arial" w:hAnsi="Arial"/>
                <w:sz w:val="18"/>
                <w:szCs w:val="18"/>
                <w:color w:val="auto"/>
              </w:rPr>
              <w:t>Statement as to Compliance</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1009.</w:t>
            </w:r>
          </w:p>
        </w:tc>
        <w:tc>
          <w:tcPr>
            <w:tcW w:w="8440" w:type="dxa"/>
            <w:vAlign w:val="bottom"/>
          </w:tcPr>
          <w:p>
            <w:pPr>
              <w:ind w:left="220"/>
              <w:spacing w:after="0"/>
              <w:rPr>
                <w:sz w:val="20"/>
                <w:szCs w:val="20"/>
                <w:color w:val="auto"/>
              </w:rPr>
            </w:pPr>
            <w:r>
              <w:rPr>
                <w:rFonts w:ascii="Arial" w:cs="Arial" w:eastAsia="Arial" w:hAnsi="Arial"/>
                <w:sz w:val="18"/>
                <w:szCs w:val="18"/>
                <w:color w:val="auto"/>
              </w:rPr>
              <w:t>Waiver of Certain Covenants</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ELEVEN—REDEMPTION OF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8440" w:type="dxa"/>
            <w:vAlign w:val="bottom"/>
          </w:tcPr>
          <w:p>
            <w:pPr>
              <w:ind w:left="220"/>
              <w:spacing w:after="0"/>
              <w:rPr>
                <w:sz w:val="20"/>
                <w:szCs w:val="20"/>
                <w:color w:val="auto"/>
              </w:rPr>
            </w:pPr>
            <w:r>
              <w:rPr>
                <w:rFonts w:ascii="Arial" w:cs="Arial" w:eastAsia="Arial" w:hAnsi="Arial"/>
                <w:sz w:val="18"/>
                <w:szCs w:val="18"/>
                <w:color w:val="auto"/>
              </w:rPr>
              <w:t>Applicability of Article</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8440" w:type="dxa"/>
            <w:vAlign w:val="bottom"/>
          </w:tcPr>
          <w:p>
            <w:pPr>
              <w:ind w:left="220"/>
              <w:spacing w:after="0"/>
              <w:rPr>
                <w:sz w:val="20"/>
                <w:szCs w:val="20"/>
                <w:color w:val="auto"/>
              </w:rPr>
            </w:pPr>
            <w:r>
              <w:rPr>
                <w:rFonts w:ascii="Arial" w:cs="Arial" w:eastAsia="Arial" w:hAnsi="Arial"/>
                <w:sz w:val="18"/>
                <w:szCs w:val="18"/>
                <w:color w:val="auto"/>
              </w:rPr>
              <w:t>Election to Redeem; Notice to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8440" w:type="dxa"/>
            <w:vAlign w:val="bottom"/>
          </w:tcPr>
          <w:p>
            <w:pPr>
              <w:ind w:left="220"/>
              <w:spacing w:after="0"/>
              <w:rPr>
                <w:sz w:val="20"/>
                <w:szCs w:val="20"/>
                <w:color w:val="auto"/>
              </w:rPr>
            </w:pPr>
            <w:r>
              <w:rPr>
                <w:rFonts w:ascii="Arial" w:cs="Arial" w:eastAsia="Arial" w:hAnsi="Arial"/>
                <w:sz w:val="18"/>
                <w:szCs w:val="18"/>
                <w:color w:val="auto"/>
              </w:rPr>
              <w:t>Selection by Trustee of Securities to Be Redeemed</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8440" w:type="dxa"/>
            <w:vAlign w:val="bottom"/>
          </w:tcPr>
          <w:p>
            <w:pPr>
              <w:ind w:left="220"/>
              <w:spacing w:after="0"/>
              <w:rPr>
                <w:sz w:val="20"/>
                <w:szCs w:val="20"/>
                <w:color w:val="auto"/>
              </w:rPr>
            </w:pPr>
            <w:r>
              <w:rPr>
                <w:rFonts w:ascii="Arial" w:cs="Arial" w:eastAsia="Arial" w:hAnsi="Arial"/>
                <w:sz w:val="18"/>
                <w:szCs w:val="18"/>
                <w:color w:val="auto"/>
              </w:rPr>
              <w:t>Notice of Redemption</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8440" w:type="dxa"/>
            <w:vAlign w:val="bottom"/>
          </w:tcPr>
          <w:p>
            <w:pPr>
              <w:ind w:left="220"/>
              <w:spacing w:after="0"/>
              <w:rPr>
                <w:sz w:val="20"/>
                <w:szCs w:val="20"/>
                <w:color w:val="auto"/>
              </w:rPr>
            </w:pPr>
            <w:r>
              <w:rPr>
                <w:rFonts w:ascii="Arial" w:cs="Arial" w:eastAsia="Arial" w:hAnsi="Arial"/>
                <w:sz w:val="18"/>
                <w:szCs w:val="18"/>
                <w:color w:val="auto"/>
              </w:rPr>
              <w:t>Deposit of Redemption Price</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8440" w:type="dxa"/>
            <w:vAlign w:val="bottom"/>
          </w:tcPr>
          <w:p>
            <w:pPr>
              <w:ind w:left="220"/>
              <w:spacing w:after="0"/>
              <w:rPr>
                <w:sz w:val="20"/>
                <w:szCs w:val="20"/>
                <w:color w:val="auto"/>
              </w:rPr>
            </w:pPr>
            <w:r>
              <w:rPr>
                <w:rFonts w:ascii="Arial" w:cs="Arial" w:eastAsia="Arial" w:hAnsi="Arial"/>
                <w:sz w:val="18"/>
                <w:szCs w:val="18"/>
                <w:color w:val="auto"/>
              </w:rPr>
              <w:t>Securities Payable on Redemption Date</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8440" w:type="dxa"/>
            <w:vAlign w:val="bottom"/>
          </w:tcPr>
          <w:p>
            <w:pPr>
              <w:ind w:left="220"/>
              <w:spacing w:after="0"/>
              <w:rPr>
                <w:sz w:val="20"/>
                <w:szCs w:val="20"/>
                <w:color w:val="auto"/>
              </w:rPr>
            </w:pPr>
            <w:r>
              <w:rPr>
                <w:rFonts w:ascii="Arial" w:cs="Arial" w:eastAsia="Arial" w:hAnsi="Arial"/>
                <w:sz w:val="18"/>
                <w:szCs w:val="18"/>
                <w:color w:val="auto"/>
              </w:rPr>
              <w:t>Securities Redeemed in Part</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TWELVE—SINKING FUNDS</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8440" w:type="dxa"/>
            <w:vAlign w:val="bottom"/>
          </w:tcPr>
          <w:p>
            <w:pPr>
              <w:ind w:left="220"/>
              <w:spacing w:after="0"/>
              <w:rPr>
                <w:sz w:val="20"/>
                <w:szCs w:val="20"/>
                <w:color w:val="auto"/>
              </w:rPr>
            </w:pPr>
            <w:r>
              <w:rPr>
                <w:rFonts w:ascii="Arial" w:cs="Arial" w:eastAsia="Arial" w:hAnsi="Arial"/>
                <w:sz w:val="18"/>
                <w:szCs w:val="18"/>
                <w:color w:val="auto"/>
              </w:rPr>
              <w:t>Applicability of Article</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8440" w:type="dxa"/>
            <w:vAlign w:val="bottom"/>
          </w:tcPr>
          <w:p>
            <w:pPr>
              <w:ind w:left="220"/>
              <w:spacing w:after="0"/>
              <w:rPr>
                <w:sz w:val="20"/>
                <w:szCs w:val="20"/>
                <w:color w:val="auto"/>
              </w:rPr>
            </w:pPr>
            <w:r>
              <w:rPr>
                <w:rFonts w:ascii="Arial" w:cs="Arial" w:eastAsia="Arial" w:hAnsi="Arial"/>
                <w:sz w:val="18"/>
                <w:szCs w:val="18"/>
                <w:color w:val="auto"/>
              </w:rPr>
              <w:t>Satisfaction of Sinking Fund Payments with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8440" w:type="dxa"/>
            <w:vAlign w:val="bottom"/>
          </w:tcPr>
          <w:p>
            <w:pPr>
              <w:ind w:left="220"/>
              <w:spacing w:after="0"/>
              <w:rPr>
                <w:sz w:val="20"/>
                <w:szCs w:val="20"/>
                <w:color w:val="auto"/>
              </w:rPr>
            </w:pPr>
            <w:r>
              <w:rPr>
                <w:rFonts w:ascii="Arial" w:cs="Arial" w:eastAsia="Arial" w:hAnsi="Arial"/>
                <w:sz w:val="18"/>
                <w:szCs w:val="18"/>
                <w:color w:val="auto"/>
              </w:rPr>
              <w:t>Redemption of Securities for Sinking Fund</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THIRTEEN—REPAYMENT AT THE OPTION OF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8440" w:type="dxa"/>
            <w:vAlign w:val="bottom"/>
          </w:tcPr>
          <w:p>
            <w:pPr>
              <w:ind w:left="220"/>
              <w:spacing w:after="0"/>
              <w:rPr>
                <w:sz w:val="20"/>
                <w:szCs w:val="20"/>
                <w:color w:val="auto"/>
              </w:rPr>
            </w:pPr>
            <w:r>
              <w:rPr>
                <w:rFonts w:ascii="Arial" w:cs="Arial" w:eastAsia="Arial" w:hAnsi="Arial"/>
                <w:sz w:val="18"/>
                <w:szCs w:val="18"/>
                <w:color w:val="auto"/>
              </w:rPr>
              <w:t>Applicability of Article</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8440" w:type="dxa"/>
            <w:vAlign w:val="bottom"/>
          </w:tcPr>
          <w:p>
            <w:pPr>
              <w:ind w:left="220"/>
              <w:spacing w:after="0"/>
              <w:rPr>
                <w:sz w:val="20"/>
                <w:szCs w:val="20"/>
                <w:color w:val="auto"/>
              </w:rPr>
            </w:pPr>
            <w:r>
              <w:rPr>
                <w:rFonts w:ascii="Arial" w:cs="Arial" w:eastAsia="Arial" w:hAnsi="Arial"/>
                <w:sz w:val="18"/>
                <w:szCs w:val="18"/>
                <w:color w:val="auto"/>
              </w:rPr>
              <w:t>Repayment of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8440" w:type="dxa"/>
            <w:vAlign w:val="bottom"/>
          </w:tcPr>
          <w:p>
            <w:pPr>
              <w:ind w:left="220"/>
              <w:spacing w:after="0"/>
              <w:rPr>
                <w:sz w:val="20"/>
                <w:szCs w:val="20"/>
                <w:color w:val="auto"/>
              </w:rPr>
            </w:pPr>
            <w:r>
              <w:rPr>
                <w:rFonts w:ascii="Arial" w:cs="Arial" w:eastAsia="Arial" w:hAnsi="Arial"/>
                <w:sz w:val="18"/>
                <w:szCs w:val="18"/>
                <w:color w:val="auto"/>
              </w:rPr>
              <w:t>Exercise of Option</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8440" w:type="dxa"/>
            <w:vAlign w:val="bottom"/>
          </w:tcPr>
          <w:p>
            <w:pPr>
              <w:ind w:left="220"/>
              <w:spacing w:after="0"/>
              <w:rPr>
                <w:sz w:val="20"/>
                <w:szCs w:val="20"/>
                <w:color w:val="auto"/>
              </w:rPr>
            </w:pPr>
            <w:r>
              <w:rPr>
                <w:rFonts w:ascii="Arial" w:cs="Arial" w:eastAsia="Arial" w:hAnsi="Arial"/>
                <w:sz w:val="18"/>
                <w:szCs w:val="18"/>
                <w:color w:val="auto"/>
              </w:rPr>
              <w:t>When Securities Presented for Repayment Become Due and Payable</w:t>
            </w: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8440" w:type="dxa"/>
            <w:vAlign w:val="bottom"/>
          </w:tcPr>
          <w:p>
            <w:pPr>
              <w:ind w:left="220"/>
              <w:spacing w:after="0"/>
              <w:rPr>
                <w:sz w:val="20"/>
                <w:szCs w:val="20"/>
                <w:color w:val="auto"/>
              </w:rPr>
            </w:pPr>
            <w:r>
              <w:rPr>
                <w:rFonts w:ascii="Arial" w:cs="Arial" w:eastAsia="Arial" w:hAnsi="Arial"/>
                <w:sz w:val="18"/>
                <w:szCs w:val="18"/>
                <w:color w:val="auto"/>
              </w:rPr>
              <w:t>Securities Repaid in Part</w:t>
            </w: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FOURTEEN—DEFEASANCE AND 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8440" w:type="dxa"/>
            <w:vAlign w:val="bottom"/>
          </w:tcPr>
          <w:p>
            <w:pPr>
              <w:ind w:left="22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8440" w:type="dxa"/>
            <w:vAlign w:val="bottom"/>
          </w:tcPr>
          <w:p>
            <w:pPr>
              <w:ind w:left="220"/>
              <w:spacing w:after="0"/>
              <w:rPr>
                <w:sz w:val="20"/>
                <w:szCs w:val="20"/>
                <w:color w:val="auto"/>
              </w:rPr>
            </w:pPr>
            <w:r>
              <w:rPr>
                <w:rFonts w:ascii="Arial" w:cs="Arial" w:eastAsia="Arial" w:hAnsi="Arial"/>
                <w:sz w:val="18"/>
                <w:szCs w:val="18"/>
                <w:color w:val="auto"/>
              </w:rPr>
              <w:t>Defeasance and Discharge</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1403.</w:t>
            </w:r>
          </w:p>
        </w:tc>
        <w:tc>
          <w:tcPr>
            <w:tcW w:w="8440" w:type="dxa"/>
            <w:vAlign w:val="bottom"/>
          </w:tcPr>
          <w:p>
            <w:pPr>
              <w:ind w:left="220"/>
              <w:spacing w:after="0"/>
              <w:rPr>
                <w:sz w:val="20"/>
                <w:szCs w:val="20"/>
                <w:color w:val="auto"/>
              </w:rPr>
            </w:pPr>
            <w:r>
              <w:rPr>
                <w:rFonts w:ascii="Arial" w:cs="Arial" w:eastAsia="Arial" w:hAnsi="Arial"/>
                <w:sz w:val="18"/>
                <w:szCs w:val="18"/>
                <w:color w:val="auto"/>
              </w:rPr>
              <w:t>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1404.</w:t>
            </w:r>
          </w:p>
        </w:tc>
        <w:tc>
          <w:tcPr>
            <w:tcW w:w="8440" w:type="dxa"/>
            <w:vAlign w:val="bottom"/>
          </w:tcPr>
          <w:p>
            <w:pPr>
              <w:ind w:left="220"/>
              <w:spacing w:after="0"/>
              <w:rPr>
                <w:sz w:val="20"/>
                <w:szCs w:val="20"/>
                <w:color w:val="auto"/>
              </w:rPr>
            </w:pPr>
            <w:r>
              <w:rPr>
                <w:rFonts w:ascii="Arial" w:cs="Arial" w:eastAsia="Arial" w:hAnsi="Arial"/>
                <w:sz w:val="18"/>
                <w:szCs w:val="18"/>
                <w:color w:val="auto"/>
              </w:rPr>
              <w:t>Conditions to Defeasance or 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1405.</w:t>
            </w:r>
          </w:p>
        </w:tc>
        <w:tc>
          <w:tcPr>
            <w:tcW w:w="8440" w:type="dxa"/>
            <w:vAlign w:val="bottom"/>
          </w:tcPr>
          <w:p>
            <w:pPr>
              <w:ind w:left="22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FIFTEEN—MEETINGS OF HOLDERS OF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1501.</w:t>
            </w:r>
          </w:p>
        </w:tc>
        <w:tc>
          <w:tcPr>
            <w:tcW w:w="8440" w:type="dxa"/>
            <w:vAlign w:val="bottom"/>
          </w:tcPr>
          <w:p>
            <w:pPr>
              <w:ind w:left="220"/>
              <w:spacing w:after="0"/>
              <w:rPr>
                <w:sz w:val="20"/>
                <w:szCs w:val="20"/>
                <w:color w:val="auto"/>
              </w:rPr>
            </w:pPr>
            <w:r>
              <w:rPr>
                <w:rFonts w:ascii="Arial" w:cs="Arial" w:eastAsia="Arial" w:hAnsi="Arial"/>
                <w:sz w:val="18"/>
                <w:szCs w:val="18"/>
                <w:color w:val="auto"/>
              </w:rPr>
              <w:t>Purposes for Which Meetings May Be Called</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8440" w:type="dxa"/>
            <w:vAlign w:val="bottom"/>
          </w:tcPr>
          <w:p>
            <w:pPr>
              <w:ind w:left="220"/>
              <w:spacing w:after="0"/>
              <w:rPr>
                <w:sz w:val="20"/>
                <w:szCs w:val="20"/>
                <w:color w:val="auto"/>
              </w:rPr>
            </w:pPr>
            <w:r>
              <w:rPr>
                <w:rFonts w:ascii="Arial" w:cs="Arial" w:eastAsia="Arial" w:hAnsi="Arial"/>
                <w:sz w:val="18"/>
                <w:szCs w:val="18"/>
                <w:color w:val="auto"/>
              </w:rPr>
              <w:t>Call, Notice and Place of Meetings</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8440" w:type="dxa"/>
            <w:vAlign w:val="bottom"/>
          </w:tcPr>
          <w:p>
            <w:pPr>
              <w:ind w:left="220"/>
              <w:spacing w:after="0"/>
              <w:rPr>
                <w:sz w:val="20"/>
                <w:szCs w:val="20"/>
                <w:color w:val="auto"/>
              </w:rPr>
            </w:pPr>
            <w:r>
              <w:rPr>
                <w:rFonts w:ascii="Arial" w:cs="Arial" w:eastAsia="Arial" w:hAnsi="Arial"/>
                <w:sz w:val="18"/>
                <w:szCs w:val="18"/>
                <w:color w:val="auto"/>
              </w:rPr>
              <w:t>Persons Entitled to Vote at Meetings</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8440" w:type="dxa"/>
            <w:vAlign w:val="bottom"/>
          </w:tcPr>
          <w:p>
            <w:pPr>
              <w:ind w:left="220"/>
              <w:spacing w:after="0"/>
              <w:rPr>
                <w:sz w:val="20"/>
                <w:szCs w:val="20"/>
                <w:color w:val="auto"/>
              </w:rPr>
            </w:pPr>
            <w:r>
              <w:rPr>
                <w:rFonts w:ascii="Arial" w:cs="Arial" w:eastAsia="Arial" w:hAnsi="Arial"/>
                <w:sz w:val="18"/>
                <w:szCs w:val="18"/>
                <w:color w:val="auto"/>
              </w:rPr>
              <w:t>Quorum; Action</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8440" w:type="dxa"/>
            <w:vAlign w:val="bottom"/>
          </w:tcPr>
          <w:p>
            <w:pPr>
              <w:ind w:left="22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7820" w:type="dxa"/>
            <w:vAlign w:val="bottom"/>
          </w:tcPr>
          <w:p>
            <w:pPr>
              <w:ind w:left="220"/>
              <w:spacing w:after="0"/>
              <w:rPr>
                <w:sz w:val="20"/>
                <w:szCs w:val="20"/>
                <w:color w:val="auto"/>
              </w:rPr>
            </w:pPr>
            <w:r>
              <w:rPr>
                <w:rFonts w:ascii="Arial" w:cs="Arial" w:eastAsia="Arial" w:hAnsi="Arial"/>
                <w:sz w:val="18"/>
                <w:szCs w:val="18"/>
                <w:color w:val="auto"/>
              </w:rPr>
              <w:t>Counting Votes and Recording Action of Meetings</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9640" w:type="dxa"/>
            <w:vAlign w:val="bottom"/>
            <w:gridSpan w:val="2"/>
          </w:tcPr>
          <w:p>
            <w:pPr>
              <w:spacing w:after="0"/>
              <w:rPr>
                <w:sz w:val="20"/>
                <w:szCs w:val="20"/>
                <w:color w:val="auto"/>
              </w:rPr>
            </w:pPr>
            <w:r>
              <w:rPr>
                <w:rFonts w:ascii="Arial" w:cs="Arial" w:eastAsia="Arial" w:hAnsi="Arial"/>
                <w:sz w:val="18"/>
                <w:szCs w:val="18"/>
                <w:color w:val="auto"/>
              </w:rPr>
              <w:t>ARTICLE SIXTEEN—SUBORDINATION OF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1601.</w:t>
            </w:r>
          </w:p>
        </w:tc>
        <w:tc>
          <w:tcPr>
            <w:tcW w:w="7820" w:type="dxa"/>
            <w:vAlign w:val="bottom"/>
          </w:tcPr>
          <w:p>
            <w:pPr>
              <w:ind w:left="220"/>
              <w:spacing w:after="0"/>
              <w:rPr>
                <w:sz w:val="20"/>
                <w:szCs w:val="20"/>
                <w:color w:val="auto"/>
              </w:rPr>
            </w:pPr>
            <w:r>
              <w:rPr>
                <w:rFonts w:ascii="Arial" w:cs="Arial" w:eastAsia="Arial" w:hAnsi="Arial"/>
                <w:sz w:val="18"/>
                <w:szCs w:val="18"/>
                <w:color w:val="auto"/>
              </w:rPr>
              <w:t>Agreement to Subordinate</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1602.</w:t>
            </w:r>
          </w:p>
        </w:tc>
        <w:tc>
          <w:tcPr>
            <w:tcW w:w="7820" w:type="dxa"/>
            <w:vAlign w:val="bottom"/>
          </w:tcPr>
          <w:p>
            <w:pPr>
              <w:ind w:left="220"/>
              <w:spacing w:after="0"/>
              <w:rPr>
                <w:sz w:val="20"/>
                <w:szCs w:val="20"/>
                <w:color w:val="auto"/>
              </w:rPr>
            </w:pPr>
            <w:r>
              <w:rPr>
                <w:rFonts w:ascii="Arial" w:cs="Arial" w:eastAsia="Arial" w:hAnsi="Arial"/>
                <w:sz w:val="18"/>
                <w:szCs w:val="18"/>
                <w:color w:val="auto"/>
              </w:rPr>
              <w:t>Payment Over of Proceeds upon Dissolution, Etc</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1603.</w:t>
            </w:r>
          </w:p>
        </w:tc>
        <w:tc>
          <w:tcPr>
            <w:tcW w:w="7820" w:type="dxa"/>
            <w:vAlign w:val="bottom"/>
          </w:tcPr>
          <w:p>
            <w:pPr>
              <w:ind w:left="220"/>
              <w:spacing w:after="0"/>
              <w:rPr>
                <w:sz w:val="20"/>
                <w:szCs w:val="20"/>
                <w:color w:val="auto"/>
              </w:rPr>
            </w:pPr>
            <w:r>
              <w:rPr>
                <w:rFonts w:ascii="Arial" w:cs="Arial" w:eastAsia="Arial" w:hAnsi="Arial"/>
                <w:sz w:val="18"/>
                <w:szCs w:val="18"/>
                <w:color w:val="auto"/>
              </w:rPr>
              <w:t>No Payment When Senior Indebtedness in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1604.</w:t>
            </w:r>
          </w:p>
        </w:tc>
        <w:tc>
          <w:tcPr>
            <w:tcW w:w="7820" w:type="dxa"/>
            <w:vAlign w:val="bottom"/>
          </w:tcPr>
          <w:p>
            <w:pPr>
              <w:ind w:left="220"/>
              <w:spacing w:after="0"/>
              <w:rPr>
                <w:sz w:val="20"/>
                <w:szCs w:val="20"/>
                <w:color w:val="auto"/>
              </w:rPr>
            </w:pPr>
            <w:r>
              <w:rPr>
                <w:rFonts w:ascii="Arial" w:cs="Arial" w:eastAsia="Arial" w:hAnsi="Arial"/>
                <w:sz w:val="18"/>
                <w:szCs w:val="18"/>
                <w:color w:val="auto"/>
              </w:rPr>
              <w:t>Reliance by Senior Indebtedness on Subordination Provisions</w:t>
            </w:r>
          </w:p>
        </w:tc>
        <w:tc>
          <w:tcPr>
            <w:tcW w:w="1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1605.</w:t>
            </w:r>
          </w:p>
        </w:tc>
        <w:tc>
          <w:tcPr>
            <w:tcW w:w="7820" w:type="dxa"/>
            <w:vAlign w:val="bottom"/>
          </w:tcPr>
          <w:p>
            <w:pPr>
              <w:ind w:left="220"/>
              <w:spacing w:after="0"/>
              <w:rPr>
                <w:sz w:val="20"/>
                <w:szCs w:val="20"/>
                <w:color w:val="auto"/>
              </w:rPr>
            </w:pPr>
            <w:r>
              <w:rPr>
                <w:rFonts w:ascii="Arial" w:cs="Arial" w:eastAsia="Arial" w:hAnsi="Arial"/>
                <w:sz w:val="18"/>
                <w:szCs w:val="18"/>
                <w:color w:val="auto"/>
              </w:rPr>
              <w:t>Subrogation to Rights of Holders of Senior Indebtedness</w:t>
            </w:r>
          </w:p>
        </w:tc>
        <w:tc>
          <w:tcPr>
            <w:tcW w:w="1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1606.</w:t>
            </w:r>
          </w:p>
        </w:tc>
        <w:tc>
          <w:tcPr>
            <w:tcW w:w="7820" w:type="dxa"/>
            <w:vAlign w:val="bottom"/>
          </w:tcPr>
          <w:p>
            <w:pPr>
              <w:ind w:left="220"/>
              <w:spacing w:after="0"/>
              <w:rPr>
                <w:sz w:val="20"/>
                <w:szCs w:val="20"/>
                <w:color w:val="auto"/>
              </w:rPr>
            </w:pPr>
            <w:r>
              <w:rPr>
                <w:rFonts w:ascii="Arial" w:cs="Arial" w:eastAsia="Arial" w:hAnsi="Arial"/>
                <w:sz w:val="18"/>
                <w:szCs w:val="18"/>
                <w:color w:val="auto"/>
              </w:rPr>
              <w:t>Provisions Solely to Define Relative Rights</w:t>
            </w:r>
          </w:p>
        </w:tc>
        <w:tc>
          <w:tcPr>
            <w:tcW w:w="1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1607.</w:t>
            </w:r>
          </w:p>
        </w:tc>
        <w:tc>
          <w:tcPr>
            <w:tcW w:w="7820" w:type="dxa"/>
            <w:vAlign w:val="bottom"/>
          </w:tcPr>
          <w:p>
            <w:pPr>
              <w:ind w:left="220"/>
              <w:spacing w:after="0"/>
              <w:rPr>
                <w:sz w:val="20"/>
                <w:szCs w:val="20"/>
                <w:color w:val="auto"/>
              </w:rPr>
            </w:pPr>
            <w:r>
              <w:rPr>
                <w:rFonts w:ascii="Arial" w:cs="Arial" w:eastAsia="Arial" w:hAnsi="Arial"/>
                <w:sz w:val="18"/>
                <w:szCs w:val="18"/>
                <w:color w:val="auto"/>
              </w:rPr>
              <w:t>Trustee to Effectuate Subordination</w:t>
            </w: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1608.</w:t>
            </w:r>
          </w:p>
        </w:tc>
        <w:tc>
          <w:tcPr>
            <w:tcW w:w="7820" w:type="dxa"/>
            <w:vAlign w:val="bottom"/>
          </w:tcPr>
          <w:p>
            <w:pPr>
              <w:ind w:left="220"/>
              <w:spacing w:after="0"/>
              <w:rPr>
                <w:sz w:val="20"/>
                <w:szCs w:val="20"/>
                <w:color w:val="auto"/>
              </w:rPr>
            </w:pPr>
            <w:r>
              <w:rPr>
                <w:rFonts w:ascii="Arial" w:cs="Arial" w:eastAsia="Arial" w:hAnsi="Arial"/>
                <w:sz w:val="18"/>
                <w:szCs w:val="18"/>
                <w:color w:val="auto"/>
              </w:rPr>
              <w:t>No Waiver of Subordination Provisions</w:t>
            </w: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1609.</w:t>
            </w:r>
          </w:p>
        </w:tc>
        <w:tc>
          <w:tcPr>
            <w:tcW w:w="7820" w:type="dxa"/>
            <w:vAlign w:val="bottom"/>
          </w:tcPr>
          <w:p>
            <w:pPr>
              <w:ind w:left="220"/>
              <w:spacing w:after="0"/>
              <w:rPr>
                <w:sz w:val="20"/>
                <w:szCs w:val="20"/>
                <w:color w:val="auto"/>
              </w:rPr>
            </w:pPr>
            <w:r>
              <w:rPr>
                <w:rFonts w:ascii="Arial" w:cs="Arial" w:eastAsia="Arial" w:hAnsi="Arial"/>
                <w:sz w:val="18"/>
                <w:szCs w:val="18"/>
                <w:color w:val="auto"/>
              </w:rPr>
              <w:t>Notice to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1610.</w:t>
            </w:r>
          </w:p>
        </w:tc>
        <w:tc>
          <w:tcPr>
            <w:tcW w:w="7820" w:type="dxa"/>
            <w:vAlign w:val="bottom"/>
          </w:tcPr>
          <w:p>
            <w:pPr>
              <w:ind w:left="220"/>
              <w:spacing w:after="0"/>
              <w:rPr>
                <w:sz w:val="20"/>
                <w:szCs w:val="20"/>
                <w:color w:val="auto"/>
              </w:rPr>
            </w:pPr>
            <w:r>
              <w:rPr>
                <w:rFonts w:ascii="Arial" w:cs="Arial" w:eastAsia="Arial" w:hAnsi="Arial"/>
                <w:sz w:val="18"/>
                <w:szCs w:val="18"/>
                <w:color w:val="auto"/>
              </w:rPr>
              <w:t>Reliance on Judicial Order or Certificate of Liquidating Agent</w:t>
            </w: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1611.</w:t>
            </w:r>
          </w:p>
        </w:tc>
        <w:tc>
          <w:tcPr>
            <w:tcW w:w="7820" w:type="dxa"/>
            <w:vAlign w:val="bottom"/>
          </w:tcPr>
          <w:p>
            <w:pPr>
              <w:ind w:left="220"/>
              <w:spacing w:after="0"/>
              <w:rPr>
                <w:sz w:val="20"/>
                <w:szCs w:val="20"/>
                <w:color w:val="auto"/>
              </w:rPr>
            </w:pPr>
            <w:r>
              <w:rPr>
                <w:rFonts w:ascii="Arial" w:cs="Arial" w:eastAsia="Arial" w:hAnsi="Arial"/>
                <w:sz w:val="18"/>
                <w:szCs w:val="18"/>
                <w:color w:val="auto"/>
              </w:rPr>
              <w:t>Trustee Not Fiduciary for Holders of Senior Indebtedness</w:t>
            </w: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1612.</w:t>
            </w:r>
          </w:p>
        </w:tc>
        <w:tc>
          <w:tcPr>
            <w:tcW w:w="7820" w:type="dxa"/>
            <w:vAlign w:val="bottom"/>
          </w:tcPr>
          <w:p>
            <w:pPr>
              <w:ind w:left="220"/>
              <w:spacing w:after="0"/>
              <w:rPr>
                <w:sz w:val="20"/>
                <w:szCs w:val="20"/>
                <w:color w:val="auto"/>
              </w:rPr>
            </w:pPr>
            <w:r>
              <w:rPr>
                <w:rFonts w:ascii="Arial" w:cs="Arial" w:eastAsia="Arial" w:hAnsi="Arial"/>
                <w:sz w:val="18"/>
                <w:szCs w:val="18"/>
                <w:color w:val="auto"/>
              </w:rPr>
              <w:t>Rights of Trustee as Holder of Senior Indebtedness; Preservation of Trustee’s Rights</w:t>
            </w: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1613.</w:t>
            </w:r>
          </w:p>
        </w:tc>
        <w:tc>
          <w:tcPr>
            <w:tcW w:w="7820" w:type="dxa"/>
            <w:vAlign w:val="bottom"/>
          </w:tcPr>
          <w:p>
            <w:pPr>
              <w:ind w:left="220"/>
              <w:spacing w:after="0"/>
              <w:rPr>
                <w:sz w:val="20"/>
                <w:szCs w:val="20"/>
                <w:color w:val="auto"/>
              </w:rPr>
            </w:pPr>
            <w:r>
              <w:rPr>
                <w:rFonts w:ascii="Arial" w:cs="Arial" w:eastAsia="Arial" w:hAnsi="Arial"/>
                <w:sz w:val="18"/>
                <w:szCs w:val="18"/>
                <w:color w:val="auto"/>
              </w:rPr>
              <w:t>Article Applicable to Paying Agents</w:t>
            </w: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9640" w:type="dxa"/>
            <w:vAlign w:val="bottom"/>
            <w:gridSpan w:val="2"/>
          </w:tcPr>
          <w:p>
            <w:pPr>
              <w:spacing w:after="0"/>
              <w:rPr>
                <w:sz w:val="20"/>
                <w:szCs w:val="20"/>
                <w:color w:val="auto"/>
              </w:rPr>
            </w:pPr>
            <w:r>
              <w:rPr>
                <w:rFonts w:ascii="Arial" w:cs="Arial" w:eastAsia="Arial" w:hAnsi="Arial"/>
                <w:sz w:val="18"/>
                <w:szCs w:val="18"/>
                <w:color w:val="auto"/>
              </w:rPr>
              <w:t>ARTICLE SEVENTEEN—CONVERSION OF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1701.</w:t>
            </w:r>
          </w:p>
        </w:tc>
        <w:tc>
          <w:tcPr>
            <w:tcW w:w="7820" w:type="dxa"/>
            <w:vAlign w:val="bottom"/>
          </w:tcPr>
          <w:p>
            <w:pPr>
              <w:ind w:left="220"/>
              <w:spacing w:after="0"/>
              <w:rPr>
                <w:sz w:val="20"/>
                <w:szCs w:val="20"/>
                <w:color w:val="auto"/>
              </w:rPr>
            </w:pPr>
            <w:r>
              <w:rPr>
                <w:rFonts w:ascii="Arial" w:cs="Arial" w:eastAsia="Arial" w:hAnsi="Arial"/>
                <w:sz w:val="18"/>
                <w:szCs w:val="18"/>
                <w:color w:val="auto"/>
              </w:rPr>
              <w:t>Applicability of Article; Conversion Privilege and Conversion Price</w:t>
            </w: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1702.</w:t>
            </w:r>
          </w:p>
        </w:tc>
        <w:tc>
          <w:tcPr>
            <w:tcW w:w="7820" w:type="dxa"/>
            <w:vAlign w:val="bottom"/>
          </w:tcPr>
          <w:p>
            <w:pPr>
              <w:ind w:left="220"/>
              <w:spacing w:after="0"/>
              <w:rPr>
                <w:sz w:val="20"/>
                <w:szCs w:val="20"/>
                <w:color w:val="auto"/>
              </w:rPr>
            </w:pPr>
            <w:r>
              <w:rPr>
                <w:rFonts w:ascii="Arial" w:cs="Arial" w:eastAsia="Arial" w:hAnsi="Arial"/>
                <w:sz w:val="18"/>
                <w:szCs w:val="18"/>
                <w:color w:val="auto"/>
              </w:rPr>
              <w:t>Exercise of Conversion Privilege</w:t>
            </w:r>
          </w:p>
        </w:tc>
        <w:tc>
          <w:tcPr>
            <w:tcW w:w="1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1703.</w:t>
            </w:r>
          </w:p>
        </w:tc>
        <w:tc>
          <w:tcPr>
            <w:tcW w:w="7820" w:type="dxa"/>
            <w:vAlign w:val="bottom"/>
          </w:tcPr>
          <w:p>
            <w:pPr>
              <w:ind w:left="220"/>
              <w:spacing w:after="0"/>
              <w:rPr>
                <w:sz w:val="20"/>
                <w:szCs w:val="20"/>
                <w:color w:val="auto"/>
              </w:rPr>
            </w:pPr>
            <w:r>
              <w:rPr>
                <w:rFonts w:ascii="Arial" w:cs="Arial" w:eastAsia="Arial" w:hAnsi="Arial"/>
                <w:sz w:val="18"/>
                <w:szCs w:val="18"/>
                <w:color w:val="auto"/>
              </w:rPr>
              <w:t>Fractions of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1704.</w:t>
            </w:r>
          </w:p>
        </w:tc>
        <w:tc>
          <w:tcPr>
            <w:tcW w:w="7820" w:type="dxa"/>
            <w:vAlign w:val="bottom"/>
          </w:tcPr>
          <w:p>
            <w:pPr>
              <w:ind w:left="220"/>
              <w:spacing w:after="0"/>
              <w:rPr>
                <w:sz w:val="20"/>
                <w:szCs w:val="20"/>
                <w:color w:val="auto"/>
              </w:rPr>
            </w:pPr>
            <w:r>
              <w:rPr>
                <w:rFonts w:ascii="Arial" w:cs="Arial" w:eastAsia="Arial" w:hAnsi="Arial"/>
                <w:sz w:val="18"/>
                <w:szCs w:val="18"/>
                <w:color w:val="auto"/>
              </w:rPr>
              <w:t>Adjustment of Conversion Price</w:t>
            </w:r>
          </w:p>
        </w:tc>
        <w:tc>
          <w:tcPr>
            <w:tcW w:w="1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1705.</w:t>
            </w:r>
          </w:p>
        </w:tc>
        <w:tc>
          <w:tcPr>
            <w:tcW w:w="7820" w:type="dxa"/>
            <w:vAlign w:val="bottom"/>
          </w:tcPr>
          <w:p>
            <w:pPr>
              <w:ind w:left="220"/>
              <w:spacing w:after="0"/>
              <w:rPr>
                <w:sz w:val="20"/>
                <w:szCs w:val="20"/>
                <w:color w:val="auto"/>
              </w:rPr>
            </w:pPr>
            <w:r>
              <w:rPr>
                <w:rFonts w:ascii="Arial" w:cs="Arial" w:eastAsia="Arial" w:hAnsi="Arial"/>
                <w:sz w:val="18"/>
                <w:szCs w:val="18"/>
                <w:color w:val="auto"/>
              </w:rPr>
              <w:t>Notice of Adjustments of Conversion Price</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1706.</w:t>
            </w:r>
          </w:p>
        </w:tc>
        <w:tc>
          <w:tcPr>
            <w:tcW w:w="7820" w:type="dxa"/>
            <w:vAlign w:val="bottom"/>
          </w:tcPr>
          <w:p>
            <w:pPr>
              <w:ind w:left="220"/>
              <w:spacing w:after="0"/>
              <w:rPr>
                <w:sz w:val="20"/>
                <w:szCs w:val="20"/>
                <w:color w:val="auto"/>
              </w:rPr>
            </w:pPr>
            <w:r>
              <w:rPr>
                <w:rFonts w:ascii="Arial" w:cs="Arial" w:eastAsia="Arial" w:hAnsi="Arial"/>
                <w:sz w:val="18"/>
                <w:szCs w:val="18"/>
                <w:color w:val="auto"/>
              </w:rPr>
              <w:t>Notice of Certain Corporate Action</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1707.</w:t>
            </w:r>
          </w:p>
        </w:tc>
        <w:tc>
          <w:tcPr>
            <w:tcW w:w="7820" w:type="dxa"/>
            <w:vAlign w:val="bottom"/>
          </w:tcPr>
          <w:p>
            <w:pPr>
              <w:ind w:left="220"/>
              <w:spacing w:after="0"/>
              <w:rPr>
                <w:sz w:val="20"/>
                <w:szCs w:val="20"/>
                <w:color w:val="auto"/>
              </w:rPr>
            </w:pPr>
            <w:r>
              <w:rPr>
                <w:rFonts w:ascii="Arial" w:cs="Arial" w:eastAsia="Arial" w:hAnsi="Arial"/>
                <w:sz w:val="18"/>
                <w:szCs w:val="18"/>
                <w:color w:val="auto"/>
              </w:rPr>
              <w:t>Company to Reserve Common Stock</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1708.</w:t>
            </w:r>
          </w:p>
        </w:tc>
        <w:tc>
          <w:tcPr>
            <w:tcW w:w="7820" w:type="dxa"/>
            <w:vAlign w:val="bottom"/>
          </w:tcPr>
          <w:p>
            <w:pPr>
              <w:ind w:left="220"/>
              <w:spacing w:after="0"/>
              <w:rPr>
                <w:sz w:val="20"/>
                <w:szCs w:val="20"/>
                <w:color w:val="auto"/>
              </w:rPr>
            </w:pPr>
            <w:r>
              <w:rPr>
                <w:rFonts w:ascii="Arial" w:cs="Arial" w:eastAsia="Arial" w:hAnsi="Arial"/>
                <w:sz w:val="18"/>
                <w:szCs w:val="18"/>
                <w:color w:val="auto"/>
              </w:rPr>
              <w:t>Taxes on Conversion</w:t>
            </w: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1709.</w:t>
            </w:r>
          </w:p>
        </w:tc>
        <w:tc>
          <w:tcPr>
            <w:tcW w:w="7820" w:type="dxa"/>
            <w:vAlign w:val="bottom"/>
          </w:tcPr>
          <w:p>
            <w:pPr>
              <w:ind w:left="220"/>
              <w:spacing w:after="0"/>
              <w:rPr>
                <w:sz w:val="20"/>
                <w:szCs w:val="20"/>
                <w:color w:val="auto"/>
              </w:rPr>
            </w:pPr>
            <w:r>
              <w:rPr>
                <w:rFonts w:ascii="Arial" w:cs="Arial" w:eastAsia="Arial" w:hAnsi="Arial"/>
                <w:sz w:val="18"/>
                <w:szCs w:val="18"/>
                <w:color w:val="auto"/>
              </w:rPr>
              <w:t>Covenants as to Common Stock</w:t>
            </w: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1710.</w:t>
            </w:r>
          </w:p>
        </w:tc>
        <w:tc>
          <w:tcPr>
            <w:tcW w:w="7820" w:type="dxa"/>
            <w:vAlign w:val="bottom"/>
          </w:tcPr>
          <w:p>
            <w:pPr>
              <w:ind w:left="220"/>
              <w:spacing w:after="0"/>
              <w:rPr>
                <w:sz w:val="20"/>
                <w:szCs w:val="20"/>
                <w:color w:val="auto"/>
              </w:rPr>
            </w:pPr>
            <w:r>
              <w:rPr>
                <w:rFonts w:ascii="Arial" w:cs="Arial" w:eastAsia="Arial" w:hAnsi="Arial"/>
                <w:sz w:val="18"/>
                <w:szCs w:val="18"/>
                <w:color w:val="auto"/>
              </w:rPr>
              <w:t>Cancellation of Converted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1711.</w:t>
            </w:r>
          </w:p>
        </w:tc>
        <w:tc>
          <w:tcPr>
            <w:tcW w:w="7820" w:type="dxa"/>
            <w:vAlign w:val="bottom"/>
          </w:tcPr>
          <w:p>
            <w:pPr>
              <w:ind w:left="220"/>
              <w:spacing w:after="0"/>
              <w:rPr>
                <w:sz w:val="20"/>
                <w:szCs w:val="20"/>
                <w:color w:val="auto"/>
              </w:rPr>
            </w:pPr>
            <w:r>
              <w:rPr>
                <w:rFonts w:ascii="Arial" w:cs="Arial" w:eastAsia="Arial" w:hAnsi="Arial"/>
                <w:sz w:val="18"/>
                <w:szCs w:val="18"/>
                <w:color w:val="auto"/>
              </w:rPr>
              <w:t>Provisions in Case of Consolidation, Merger or Sale of Assets; Special Distributions</w:t>
            </w: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1712.</w:t>
            </w:r>
          </w:p>
        </w:tc>
        <w:tc>
          <w:tcPr>
            <w:tcW w:w="7820" w:type="dxa"/>
            <w:vAlign w:val="bottom"/>
          </w:tcPr>
          <w:p>
            <w:pPr>
              <w:ind w:left="220"/>
              <w:spacing w:after="0"/>
              <w:rPr>
                <w:sz w:val="20"/>
                <w:szCs w:val="20"/>
                <w:color w:val="auto"/>
              </w:rPr>
            </w:pPr>
            <w:r>
              <w:rPr>
                <w:rFonts w:ascii="Arial" w:cs="Arial" w:eastAsia="Arial" w:hAnsi="Arial"/>
                <w:sz w:val="18"/>
                <w:szCs w:val="18"/>
                <w:color w:val="auto"/>
              </w:rPr>
              <w:t>Trustee Adjustment Disclaimer; Company Determination Final</w:t>
            </w: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SECTION 1713.</w:t>
            </w:r>
          </w:p>
        </w:tc>
        <w:tc>
          <w:tcPr>
            <w:tcW w:w="7820" w:type="dxa"/>
            <w:vAlign w:val="bottom"/>
          </w:tcPr>
          <w:p>
            <w:pPr>
              <w:ind w:left="220"/>
              <w:spacing w:after="0"/>
              <w:rPr>
                <w:sz w:val="20"/>
                <w:szCs w:val="20"/>
                <w:color w:val="auto"/>
              </w:rPr>
            </w:pPr>
            <w:r>
              <w:rPr>
                <w:rFonts w:ascii="Arial" w:cs="Arial" w:eastAsia="Arial" w:hAnsi="Arial"/>
                <w:sz w:val="18"/>
                <w:szCs w:val="18"/>
                <w:color w:val="auto"/>
              </w:rPr>
              <w:t>When No Adjustment Required</w:t>
            </w: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1714.</w:t>
            </w:r>
          </w:p>
        </w:tc>
        <w:tc>
          <w:tcPr>
            <w:tcW w:w="7820" w:type="dxa"/>
            <w:vAlign w:val="bottom"/>
          </w:tcPr>
          <w:p>
            <w:pPr>
              <w:ind w:left="220"/>
              <w:spacing w:after="0"/>
              <w:rPr>
                <w:sz w:val="20"/>
                <w:szCs w:val="20"/>
                <w:color w:val="auto"/>
              </w:rPr>
            </w:pPr>
            <w:r>
              <w:rPr>
                <w:rFonts w:ascii="Arial" w:cs="Arial" w:eastAsia="Arial" w:hAnsi="Arial"/>
                <w:sz w:val="18"/>
                <w:szCs w:val="18"/>
                <w:color w:val="auto"/>
              </w:rPr>
              <w:t>Equivalent Adjustments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8820" w:type="dxa"/>
            <w:vAlign w:val="bottom"/>
            <w:gridSpan w:val="2"/>
          </w:tcPr>
          <w:p>
            <w:pPr>
              <w:ind w:left="3620"/>
              <w:spacing w:after="0"/>
              <w:rPr>
                <w:sz w:val="20"/>
                <w:szCs w:val="20"/>
                <w:color w:val="auto"/>
              </w:rPr>
            </w:pPr>
            <w:r>
              <w:rPr>
                <w:rFonts w:ascii="Arial" w:cs="Arial" w:eastAsia="Arial" w:hAnsi="Arial"/>
                <w:sz w:val="18"/>
                <w:szCs w:val="18"/>
                <w:color w:val="auto"/>
              </w:rPr>
              <w:t>NN, INC.</w:t>
            </w:r>
          </w:p>
        </w:tc>
        <w:tc>
          <w:tcPr>
            <w:tcW w:w="860" w:type="dxa"/>
            <w:vAlign w:val="bottom"/>
          </w:tcPr>
          <w:p>
            <w:pPr>
              <w:spacing w:after="0"/>
              <w:rPr>
                <w:sz w:val="20"/>
                <w:szCs w:val="20"/>
                <w:color w:val="auto"/>
              </w:rPr>
            </w:pPr>
          </w:p>
        </w:tc>
      </w:tr>
      <w:tr>
        <w:trPr>
          <w:trHeight w:val="432"/>
        </w:trPr>
        <w:tc>
          <w:tcPr>
            <w:tcW w:w="10560" w:type="dxa"/>
            <w:vAlign w:val="bottom"/>
            <w:gridSpan w:val="3"/>
          </w:tcPr>
          <w:p>
            <w:pPr>
              <w:spacing w:after="0"/>
              <w:rPr>
                <w:sz w:val="20"/>
                <w:szCs w:val="20"/>
                <w:color w:val="auto"/>
              </w:rPr>
            </w:pPr>
            <w:r>
              <w:rPr>
                <w:rFonts w:ascii="Arial" w:cs="Arial" w:eastAsia="Arial" w:hAnsi="Arial"/>
                <w:sz w:val="18"/>
                <w:szCs w:val="18"/>
                <w:color w:val="auto"/>
                <w:w w:val="93"/>
              </w:rPr>
              <w:t>Reconciliation and tie between the Trust Indenture Act of 1939, as amended (the “Trust Indenture Act” or “TIA”) and the Indenture, dated as of</w:t>
            </w:r>
          </w:p>
        </w:tc>
        <w:tc>
          <w:tcPr>
            <w:tcW w:w="860" w:type="dxa"/>
            <w:vAlign w:val="bottom"/>
          </w:tcPr>
          <w:p>
            <w:pPr>
              <w:jc w:val="right"/>
              <w:spacing w:after="0"/>
              <w:rPr>
                <w:sz w:val="20"/>
                <w:szCs w:val="20"/>
                <w:color w:val="auto"/>
              </w:rPr>
            </w:pPr>
            <w:r>
              <w:rPr>
                <w:rFonts w:ascii="Arial" w:cs="Arial" w:eastAsia="Arial" w:hAnsi="Arial"/>
                <w:sz w:val="18"/>
                <w:szCs w:val="18"/>
                <w:color w:val="auto"/>
              </w:rPr>
              <w:t>, 201  .</w:t>
            </w:r>
          </w:p>
        </w:tc>
      </w:tr>
      <w:tr>
        <w:trPr>
          <w:trHeight w:val="412"/>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Trust Indenture Act Section</w:t>
            </w:r>
          </w:p>
        </w:tc>
        <w:tc>
          <w:tcPr>
            <w:tcW w:w="4320" w:type="dxa"/>
            <w:vAlign w:val="bottom"/>
          </w:tcPr>
          <w:p>
            <w:pPr>
              <w:spacing w:after="0"/>
              <w:rPr>
                <w:sz w:val="24"/>
                <w:szCs w:val="24"/>
                <w:color w:val="auto"/>
              </w:rPr>
            </w:pPr>
          </w:p>
        </w:tc>
        <w:tc>
          <w:tcPr>
            <w:tcW w:w="450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Indenture Section</w:t>
            </w:r>
          </w:p>
        </w:tc>
        <w:tc>
          <w:tcPr>
            <w:tcW w:w="860" w:type="dxa"/>
            <w:vAlign w:val="bottom"/>
            <w:tcBorders>
              <w:bottom w:val="single" w:sz="8" w:color="auto"/>
            </w:tcBorders>
          </w:tcPr>
          <w:p>
            <w:pPr>
              <w:spacing w:after="0"/>
              <w:rPr>
                <w:sz w:val="24"/>
                <w:szCs w:val="24"/>
                <w:color w:val="auto"/>
              </w:rPr>
            </w:pPr>
          </w:p>
        </w:tc>
      </w:tr>
      <w:tr>
        <w:trPr>
          <w:trHeight w:val="189"/>
        </w:trPr>
        <w:tc>
          <w:tcPr>
            <w:tcW w:w="1740" w:type="dxa"/>
            <w:vAlign w:val="bottom"/>
          </w:tcPr>
          <w:p>
            <w:pPr>
              <w:spacing w:after="0" w:line="189" w:lineRule="exact"/>
              <w:rPr>
                <w:sz w:val="20"/>
                <w:szCs w:val="20"/>
                <w:color w:val="auto"/>
              </w:rPr>
            </w:pPr>
            <w:r>
              <w:rPr>
                <w:rFonts w:ascii="Arial" w:cs="Arial" w:eastAsia="Arial" w:hAnsi="Arial"/>
                <w:sz w:val="18"/>
                <w:szCs w:val="18"/>
                <w:color w:val="auto"/>
              </w:rPr>
              <w:t>§ 310(a)(1)</w:t>
            </w:r>
          </w:p>
        </w:tc>
        <w:tc>
          <w:tcPr>
            <w:tcW w:w="4320" w:type="dxa"/>
            <w:vAlign w:val="bottom"/>
          </w:tcPr>
          <w:p>
            <w:pPr>
              <w:spacing w:after="0"/>
              <w:rPr>
                <w:sz w:val="16"/>
                <w:szCs w:val="16"/>
                <w:color w:val="auto"/>
              </w:rPr>
            </w:pPr>
          </w:p>
        </w:tc>
        <w:tc>
          <w:tcPr>
            <w:tcW w:w="4500" w:type="dxa"/>
            <w:vAlign w:val="bottom"/>
          </w:tcPr>
          <w:p>
            <w:pPr>
              <w:spacing w:after="0" w:line="189" w:lineRule="exact"/>
              <w:rPr>
                <w:sz w:val="20"/>
                <w:szCs w:val="20"/>
                <w:color w:val="auto"/>
              </w:rPr>
            </w:pPr>
            <w:r>
              <w:rPr>
                <w:rFonts w:ascii="Arial" w:cs="Arial" w:eastAsia="Arial" w:hAnsi="Arial"/>
                <w:sz w:val="18"/>
                <w:szCs w:val="18"/>
                <w:color w:val="auto"/>
              </w:rPr>
              <w:t>607</w:t>
            </w:r>
          </w:p>
        </w:tc>
        <w:tc>
          <w:tcPr>
            <w:tcW w:w="860" w:type="dxa"/>
            <w:vAlign w:val="bottom"/>
          </w:tcPr>
          <w:p>
            <w:pPr>
              <w:spacing w:after="0"/>
              <w:rPr>
                <w:sz w:val="16"/>
                <w:szCs w:val="16"/>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(a)(2)</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607</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(b)</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607, 608</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 312(c)</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701</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 313(a)</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702</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(c)</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702</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 314(a)</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703</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(a)(4)</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1008</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(c)(1)</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102</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(c)(2)</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102</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102</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 315(b)</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601</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w w:val="90"/>
              </w:rPr>
              <w:t>§ 316(a) (last sentence)</w:t>
            </w:r>
          </w:p>
        </w:tc>
        <w:tc>
          <w:tcPr>
            <w:tcW w:w="43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101(“Outstanding”)</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(a)(1)(A)</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502, 512</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(a)(1)(B)</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513</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(b)</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508</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 317(a)(1)</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503</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(a)(2)</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504</w:t>
            </w:r>
          </w:p>
        </w:tc>
        <w:tc>
          <w:tcPr>
            <w:tcW w:w="86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 318(a)</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111</w:t>
            </w:r>
          </w:p>
        </w:tc>
        <w:tc>
          <w:tcPr>
            <w:tcW w:w="86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(c)</w:t>
            </w:r>
          </w:p>
        </w:tc>
        <w:tc>
          <w:tcPr>
            <w:tcW w:w="8820" w:type="dxa"/>
            <w:vAlign w:val="bottom"/>
            <w:gridSpan w:val="2"/>
          </w:tcPr>
          <w:p>
            <w:pPr>
              <w:ind w:left="4320"/>
              <w:spacing w:after="0"/>
              <w:rPr>
                <w:sz w:val="20"/>
                <w:szCs w:val="20"/>
                <w:color w:val="auto"/>
              </w:rPr>
            </w:pPr>
            <w:r>
              <w:rPr>
                <w:rFonts w:ascii="Arial" w:cs="Arial" w:eastAsia="Arial" w:hAnsi="Arial"/>
                <w:sz w:val="18"/>
                <w:szCs w:val="18"/>
                <w:color w:val="auto"/>
              </w:rPr>
              <w:t>111</w:t>
            </w:r>
          </w:p>
        </w:tc>
        <w:tc>
          <w:tcPr>
            <w:tcW w:w="8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274" w:right="239" w:bottom="1440" w:gutter="0" w:footer="0" w:header="0"/>
        </w:sectPr>
      </w:pPr>
    </w:p>
    <w:bookmarkStart w:id="118" w:name="page119"/>
    <w:bookmarkEnd w:id="118"/>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is dated as of , 201 , between NN, INC., a corporation organized under the laws of the State of Massachusetts (hereinafter called the “Company”), having its principal office at 2000 Waters Edge Drive, Johnson City, Tennessee 37604, and [ ], as Trustee hereunder (hereinafter called the “Trustee”), having a Corporate Trust Office at [ ].</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 provide for the issuance from time to time of the Securities, to be issued in one or more Series as provided in this Indenture.</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ONE—DEFINITIONS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Indenture, except as otherwise expressly provided or unless the context otherwise requires:</w:t>
      </w:r>
    </w:p>
    <w:p>
      <w:pPr>
        <w:spacing w:after="0" w:line="117" w:lineRule="exact"/>
        <w:rPr>
          <w:sz w:val="20"/>
          <w:szCs w:val="20"/>
          <w:color w:val="auto"/>
        </w:rPr>
      </w:pPr>
    </w:p>
    <w:p>
      <w:pPr>
        <w:ind w:left="260" w:hanging="252"/>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right="60" w:firstLine="8"/>
        <w:spacing w:after="0" w:line="264"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117" w:lineRule="exact"/>
        <w:rPr>
          <w:rFonts w:ascii="Arial" w:cs="Arial" w:eastAsia="Arial" w:hAnsi="Arial"/>
          <w:sz w:val="18"/>
          <w:szCs w:val="18"/>
          <w:color w:val="auto"/>
        </w:rPr>
      </w:pPr>
    </w:p>
    <w:p>
      <w:pPr>
        <w:ind w:right="580" w:firstLine="8"/>
        <w:spacing w:after="0" w:line="277"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611 hereof to act on behalf of the Trustee to authenticate Securities of one or more Series.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the bearer.</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Resolution</w:t>
      </w:r>
      <w:r>
        <w:rPr>
          <w:rFonts w:ascii="Arial" w:cs="Arial" w:eastAsia="Arial" w:hAnsi="Arial"/>
          <w:sz w:val="17"/>
          <w:szCs w:val="17"/>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Luxembourg, société anonyme, or its successor.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the closing price of a share of Common Stock of the Company as reported on the NASDAQ Global Select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thereunder.</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has the meaning specified in Section 1711.</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Conversion Price</w:t>
      </w:r>
      <w:r>
        <w:rPr>
          <w:rFonts w:ascii="Arial" w:cs="Arial" w:eastAsia="Arial" w:hAnsi="Arial"/>
          <w:sz w:val="18"/>
          <w:szCs w:val="18"/>
          <w:color w:val="auto"/>
        </w:rPr>
        <w:t>” has the meaning specified in Section 1701.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 which</w:t>
      </w:r>
    </w:p>
    <w:p>
      <w:pPr>
        <w:spacing w:after="0" w:line="46"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color w:val="auto"/>
        </w:rPr>
        <w:t>office at the date hereof is located at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Record Date</w:t>
      </w:r>
      <w:r>
        <w:rPr>
          <w:rFonts w:ascii="Arial" w:cs="Arial" w:eastAsia="Arial" w:hAnsi="Arial"/>
          <w:sz w:val="18"/>
          <w:szCs w:val="18"/>
          <w:color w:val="auto"/>
        </w:rPr>
        <w:t>” has the meaning specified in Section 1711.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xml:space="preserve">” or the sign “ </w:t>
      </w:r>
      <w:r>
        <w:rPr>
          <w:rFonts w:ascii="Arial" w:cs="Arial" w:eastAsia="Arial" w:hAnsi="Arial"/>
          <w:sz w:val="18"/>
          <w:szCs w:val="18"/>
          <w:u w:val="single" w:color="auto"/>
          <w:color w:val="auto"/>
        </w:rPr>
        <w:t>$</w:t>
      </w:r>
      <w:r>
        <w:rPr>
          <w:rFonts w:ascii="Arial" w:cs="Arial" w:eastAsia="Arial" w:hAnsi="Arial"/>
          <w:sz w:val="18"/>
          <w:szCs w:val="18"/>
          <w:color w:val="auto"/>
        </w:rPr>
        <w:t xml:space="preserve"> “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Morgan Guaranty Trust Company of New York, Brussels office, or its successor, as operator of the Euroclear System.</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Communities</w:t>
      </w:r>
      <w:r>
        <w:rPr>
          <w:rFonts w:ascii="Arial" w:cs="Arial" w:eastAsia="Arial" w:hAnsi="Arial"/>
          <w:sz w:val="18"/>
          <w:szCs w:val="18"/>
          <w:color w:val="auto"/>
        </w:rPr>
        <w:t>” means the European Economic Community, the European Coal and Steel Community and the European Atomic Energy Community.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 as in force at the date as of which this Indenture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Exchange Act is amended after such date, “Exchange Act” means to the extent required by any such amendment, the Exchange Act as so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Currency</w:t>
      </w:r>
      <w:r>
        <w:rPr>
          <w:rFonts w:ascii="Arial" w:cs="Arial" w:eastAsia="Arial" w:hAnsi="Arial"/>
          <w:sz w:val="17"/>
          <w:szCs w:val="17"/>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except as otherwise provided herein, generally accepted accounting principles, as in effect from time to time, as used in the United States applied on a consistent basis.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121" w:name="page122"/>
    <w:bookmarkEnd w:id="121"/>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Obligations</w:t>
      </w:r>
      <w:r>
        <w:rPr>
          <w:rFonts w:ascii="Arial" w:cs="Arial" w:eastAsia="Arial" w:hAnsi="Arial"/>
          <w:sz w:val="18"/>
          <w:szCs w:val="18"/>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Guaranty by any Person shall not include endorsements by such Person for collection or deposit, in either case in the ordinary course of business. The terms “</w:t>
      </w:r>
      <w:r>
        <w:rPr>
          <w:rFonts w:ascii="Arial" w:cs="Arial" w:eastAsia="Arial" w:hAnsi="Arial"/>
          <w:sz w:val="18"/>
          <w:szCs w:val="18"/>
          <w:u w:val="single" w:color="auto"/>
          <w:color w:val="auto"/>
        </w:rPr>
        <w:t>Guaranteed</w:t>
      </w:r>
      <w:r>
        <w:rPr>
          <w:rFonts w:ascii="Arial" w:cs="Arial" w:eastAsia="Arial" w:hAnsi="Arial"/>
          <w:sz w:val="18"/>
          <w:szCs w:val="18"/>
          <w:color w:val="auto"/>
        </w:rPr>
        <w:t>,” “</w:t>
      </w:r>
      <w:r>
        <w:rPr>
          <w:rFonts w:ascii="Arial" w:cs="Arial" w:eastAsia="Arial" w:hAnsi="Arial"/>
          <w:sz w:val="18"/>
          <w:szCs w:val="18"/>
          <w:u w:val="single" w:color="auto"/>
          <w:color w:val="auto"/>
        </w:rPr>
        <w:t>Guaranteeing</w:t>
      </w:r>
      <w:r>
        <w:rPr>
          <w:rFonts w:ascii="Arial" w:cs="Arial" w:eastAsia="Arial" w:hAnsi="Arial"/>
          <w:sz w:val="18"/>
          <w:szCs w:val="18"/>
          <w:color w:val="auto"/>
        </w:rPr>
        <w:t>” and “</w:t>
      </w:r>
      <w:r>
        <w:rPr>
          <w:rFonts w:ascii="Arial" w:cs="Arial" w:eastAsia="Arial" w:hAnsi="Arial"/>
          <w:sz w:val="18"/>
          <w:szCs w:val="18"/>
          <w:u w:val="single" w:color="auto"/>
          <w:color w:val="auto"/>
        </w:rPr>
        <w:t>Guarantor</w:t>
      </w:r>
      <w:r>
        <w:rPr>
          <w:rFonts w:ascii="Arial" w:cs="Arial" w:eastAsia="Arial" w:hAnsi="Arial"/>
          <w:sz w:val="18"/>
          <w:szCs w:val="18"/>
          <w:color w:val="auto"/>
        </w:rPr>
        <w:t>” shall have meanings correlative to the foregoing.</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any Person, without duplication, (i) any Obligation of such Person relating to any indebtedness of such Person (A) for borrowed money (whether or not the recourse of the lender is to the whole of the assets, of such person or only to a portion thereof), (B) 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 or services purchased in the ordinary course of business (other than trade accounts payable arising in the ordinary course of business), (D) 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22" w:name="page123"/>
    <w:bookmarkEnd w:id="122"/>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shall mean interest payable after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of the Distribution</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w:t>
      </w:r>
      <w:r>
        <w:rPr>
          <w:rFonts w:ascii="Arial" w:cs="Arial" w:eastAsia="Arial" w:hAnsi="Arial"/>
          <w:sz w:val="16"/>
          <w:szCs w:val="16"/>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4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Original Issue Discount Security</w:t>
      </w:r>
      <w:r>
        <w:rPr>
          <w:rFonts w:ascii="Arial" w:cs="Arial" w:eastAsia="Arial" w:hAnsi="Arial"/>
          <w:sz w:val="16"/>
          <w:szCs w:val="16"/>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means, as of the date of determination, all Securities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62" w:lineRule="exact"/>
        <w:rPr>
          <w:sz w:val="20"/>
          <w:szCs w:val="20"/>
          <w:color w:val="auto"/>
        </w:rPr>
      </w:pPr>
    </w:p>
    <w:p>
      <w:pPr>
        <w:ind w:left="220" w:hanging="212"/>
        <w:spacing w:after="0"/>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117" w:lineRule="exact"/>
        <w:rPr>
          <w:rFonts w:ascii="Arial" w:cs="Arial" w:eastAsia="Arial" w:hAnsi="Arial"/>
          <w:sz w:val="18"/>
          <w:szCs w:val="18"/>
          <w:color w:val="auto"/>
        </w:rPr>
      </w:pPr>
    </w:p>
    <w:p>
      <w:pPr>
        <w:ind w:firstLine="8"/>
        <w:spacing w:after="0" w:line="257" w:lineRule="auto"/>
        <w:tabs>
          <w:tab w:leader="none" w:pos="2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Securities are to be redeemed, notice of such redemption has been duly given pursuant to this Indenture or provision therefor satisfactory to the Trustee has been made;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123" w:name="page124"/>
    <w:bookmarkEnd w:id="123"/>
    <w:p>
      <w:pPr>
        <w:ind w:right="540" w:firstLine="8"/>
        <w:spacing w:after="0" w:line="277" w:lineRule="auto"/>
        <w:tabs>
          <w:tab w:leader="none" w:pos="315"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except to the extent provided in Sections 1402 and 1403, with respect to which the Company has effected Defeasance and/or Covenant Defeasance as provided in Article Fourteen; and</w:t>
      </w:r>
    </w:p>
    <w:p>
      <w:pPr>
        <w:spacing w:after="0" w:line="62" w:lineRule="exact"/>
        <w:rPr>
          <w:rFonts w:ascii="Arial" w:cs="Arial" w:eastAsia="Arial" w:hAnsi="Arial"/>
          <w:sz w:val="18"/>
          <w:szCs w:val="18"/>
          <w:color w:val="auto"/>
        </w:rPr>
      </w:pPr>
    </w:p>
    <w:p>
      <w:pPr>
        <w:ind w:right="200" w:firstLine="8"/>
        <w:spacing w:after="0" w:line="286" w:lineRule="auto"/>
        <w:tabs>
          <w:tab w:leader="none" w:pos="30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or Make-Whole Amount, if any) or interest on any Securities or coupons on behalf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Blockage Notice</w:t>
      </w:r>
      <w:r>
        <w:rPr>
          <w:rFonts w:ascii="Arial" w:cs="Arial" w:eastAsia="Arial" w:hAnsi="Arial"/>
          <w:sz w:val="18"/>
          <w:szCs w:val="18"/>
          <w:color w:val="auto"/>
        </w:rPr>
        <w:t>” and “</w:t>
      </w:r>
      <w:r>
        <w:rPr>
          <w:rFonts w:ascii="Arial" w:cs="Arial" w:eastAsia="Arial" w:hAnsi="Arial"/>
          <w:sz w:val="18"/>
          <w:szCs w:val="18"/>
          <w:u w:val="single" w:color="auto"/>
          <w:color w:val="auto"/>
        </w:rPr>
        <w:t>Payment Blockage Period</w:t>
      </w:r>
      <w:r>
        <w:rPr>
          <w:rFonts w:ascii="Arial" w:cs="Arial" w:eastAsia="Arial" w:hAnsi="Arial"/>
          <w:sz w:val="18"/>
          <w:szCs w:val="18"/>
          <w:color w:val="auto"/>
        </w:rPr>
        <w:t>” have the respective meanings specified in Section 1603.</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7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shall mean any Security which is registered in the Security Register.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the price at which it is to be repaid by or pursuant to this Indenture.</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Payment</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w:t>
      </w:r>
      <w:r>
        <w:rPr>
          <w:rFonts w:ascii="Arial" w:cs="Arial" w:eastAsia="Arial" w:hAnsi="Arial"/>
          <w:sz w:val="16"/>
          <w:szCs w:val="16"/>
          <w:color w:val="auto"/>
        </w:rPr>
        <w:t>” and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xml:space="preserve">”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 such Indebtedness; (2) any Indebtedness which by its terms refers explicitly to the Securities and states that such Indebtedness shall not be senior, shall be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or shall be subordinated in right of payment to the Securities; and (3) with respect to any series of Securities, any Indebtedness of the Company evidenced by Securities of the same or of another series. Notwithstanding anything to the contrary in the foregoing, Senior Indebtedness shall not include: (a) Indebtedness of or amounts owed by the Company for compensation to employees, or for goods, materials or services purchased in the ordinary course of business, or (b) Indebtedness of the Company to a Subsidiary of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Series</w:t>
      </w:r>
      <w:r>
        <w:rPr>
          <w:rFonts w:ascii="Arial" w:cs="Arial" w:eastAsia="Arial" w:hAnsi="Arial"/>
          <w:sz w:val="18"/>
          <w:szCs w:val="18"/>
          <w:color w:val="auto"/>
        </w:rPr>
        <w:t>” of Securities means all securities denoted as part of the same series authorized by or pursuant to a particular Board Resolution.</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Short Term 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which is a “significant subsidiary” (as defined in Article I, Rule 1-02 of Regulation S-X, promulgated under the Securities Act of 1933, as amended) of the Company.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Company pursuant to Section 307.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Global Select Market is open for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and as in force at the date as of which this Indenture was executed, except as provided in Section 905.</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Distribution</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Yield to Maturity</w:t>
      </w:r>
      <w:r>
        <w:rPr>
          <w:rFonts w:ascii="Arial" w:cs="Arial" w:eastAsia="Arial" w:hAnsi="Arial"/>
          <w:sz w:val="17"/>
          <w:szCs w:val="17"/>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(including certificates delivered pursuant to Section 1008) shall include:</w:t>
      </w:r>
    </w:p>
    <w:p>
      <w:pPr>
        <w:spacing w:after="0" w:line="62" w:lineRule="exact"/>
        <w:rPr>
          <w:sz w:val="20"/>
          <w:szCs w:val="20"/>
          <w:color w:val="auto"/>
        </w:rPr>
      </w:pPr>
    </w:p>
    <w:p>
      <w:pPr>
        <w:jc w:val="center"/>
        <w:ind w:left="5660" w:right="680" w:hanging="5652"/>
        <w:spacing w:after="0" w:line="449" w:lineRule="auto"/>
        <w:tabs>
          <w:tab w:leader="none" w:pos="2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condition or covenant and the definitions herein relating thereto; 8</w:t>
      </w:r>
    </w:p>
    <w:p>
      <w:pPr>
        <w:sectPr>
          <w:pgSz w:w="11900" w:h="16838" w:orient="portrait"/>
          <w:cols w:equalWidth="0" w:num="1">
            <w:col w:w="11420"/>
          </w:cols>
          <w:pgMar w:left="240" w:top="274" w:right="239" w:bottom="1440" w:gutter="0" w:footer="0" w:header="0"/>
        </w:sectPr>
      </w:pPr>
    </w:p>
    <w:bookmarkStart w:id="126" w:name="page127"/>
    <w:bookmarkEnd w:id="126"/>
    <w:p>
      <w:pPr>
        <w:ind w:right="400" w:firstLine="8"/>
        <w:spacing w:after="0" w:line="277"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620" w:firstLine="8"/>
        <w:spacing w:after="0" w:line="277"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firstLine="8"/>
        <w:spacing w:after="0" w:line="268" w:lineRule="auto"/>
        <w:tabs>
          <w:tab w:leader="none" w:pos="24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79" w:lineRule="exact"/>
        <w:rPr>
          <w:rFonts w:ascii="Arial" w:cs="Arial" w:eastAsia="Arial" w:hAnsi="Arial"/>
          <w:sz w:val="17"/>
          <w:szCs w:val="17"/>
          <w:color w:val="auto"/>
        </w:rPr>
      </w:pPr>
    </w:p>
    <w:p>
      <w:pPr>
        <w:ind w:right="160" w:firstLine="8"/>
        <w:spacing w:after="0" w:line="276" w:lineRule="auto"/>
        <w:tabs>
          <w:tab w:leader="none" w:pos="25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7" w:name="page128"/>
    <w:bookmarkEnd w:id="127"/>
    <w:p>
      <w:pPr>
        <w:ind w:right="100" w:firstLine="8"/>
        <w:spacing w:after="0" w:line="277" w:lineRule="auto"/>
        <w:tabs>
          <w:tab w:leader="none" w:pos="245"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62" w:lineRule="exact"/>
        <w:rPr>
          <w:rFonts w:ascii="Arial" w:cs="Arial" w:eastAsia="Arial" w:hAnsi="Arial"/>
          <w:sz w:val="18"/>
          <w:szCs w:val="18"/>
          <w:color w:val="auto"/>
        </w:rPr>
      </w:pPr>
    </w:p>
    <w:p>
      <w:pPr>
        <w:ind w:right="60" w:firstLine="8"/>
        <w:spacing w:after="0" w:line="271" w:lineRule="auto"/>
        <w:tabs>
          <w:tab w:leader="none" w:pos="25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70" w:lineRule="exact"/>
        <w:rPr>
          <w:rFonts w:ascii="Arial" w:cs="Arial" w:eastAsia="Arial" w:hAnsi="Arial"/>
          <w:sz w:val="17"/>
          <w:szCs w:val="17"/>
          <w:color w:val="auto"/>
        </w:rPr>
      </w:pPr>
    </w:p>
    <w:p>
      <w:pPr>
        <w:ind w:firstLine="8"/>
        <w:spacing w:after="0" w:line="269" w:lineRule="auto"/>
        <w:tabs>
          <w:tab w:leader="none" w:pos="24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74" w:lineRule="exact"/>
        <w:rPr>
          <w:rFonts w:ascii="Arial" w:cs="Arial" w:eastAsia="Arial" w:hAnsi="Arial"/>
          <w:sz w:val="17"/>
          <w:szCs w:val="17"/>
          <w:color w:val="auto"/>
        </w:rPr>
      </w:pPr>
    </w:p>
    <w:p>
      <w:pPr>
        <w:ind w:right="20" w:firstLine="8"/>
        <w:spacing w:after="0" w:line="279" w:lineRule="auto"/>
        <w:tabs>
          <w:tab w:leader="none" w:pos="22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 the Trustee by any Holder or by the Company shall be sufficient for every purpose hereunder if made, given, furnished or filed in writing to or with the</w:t>
      </w:r>
    </w:p>
    <w:p>
      <w:pPr>
        <w:spacing w:after="0" w:line="46" w:lineRule="exact"/>
        <w:rPr>
          <w:sz w:val="20"/>
          <w:szCs w:val="20"/>
          <w:color w:val="auto"/>
        </w:rPr>
      </w:pPr>
    </w:p>
    <w:p>
      <w:pPr>
        <w:spacing w:after="0"/>
        <w:tabs>
          <w:tab w:leader="none" w:pos="1340" w:val="left"/>
          <w:tab w:leader="none" w:pos="9080" w:val="left"/>
        </w:tabs>
        <w:rPr>
          <w:sz w:val="20"/>
          <w:szCs w:val="20"/>
          <w:color w:val="auto"/>
        </w:rPr>
      </w:pPr>
      <w:r>
        <w:rPr>
          <w:rFonts w:ascii="Arial" w:cs="Arial" w:eastAsia="Arial" w:hAnsi="Arial"/>
          <w:sz w:val="18"/>
          <w:szCs w:val="18"/>
          <w:color w:val="auto"/>
        </w:rPr>
        <w:t>Trustee at [</w:t>
      </w:r>
      <w:r>
        <w:rPr>
          <w:sz w:val="20"/>
          <w:szCs w:val="20"/>
          <w:color w:val="auto"/>
        </w:rPr>
        <w:tab/>
      </w:r>
      <w:r>
        <w:rPr>
          <w:rFonts w:ascii="Arial" w:cs="Arial" w:eastAsia="Arial" w:hAnsi="Arial"/>
          <w:sz w:val="18"/>
          <w:szCs w:val="18"/>
          <w:color w:val="auto"/>
        </w:rPr>
        <w:t>] or at any other address previously furnished in writing to the Company by the Trustee, Attention: [</w:t>
      </w:r>
      <w:r>
        <w:rPr>
          <w:sz w:val="20"/>
          <w:szCs w:val="20"/>
          <w:color w:val="auto"/>
        </w:rPr>
        <w:tab/>
      </w:r>
      <w:r>
        <w:rPr>
          <w:rFonts w:ascii="Arial" w:cs="Arial" w:eastAsia="Arial" w:hAnsi="Arial"/>
          <w:sz w:val="17"/>
          <w:szCs w:val="17"/>
          <w:color w:val="auto"/>
        </w:rPr>
        <w:t>]; or</w:t>
      </w:r>
    </w:p>
    <w:p>
      <w:pPr>
        <w:spacing w:after="0" w:line="211" w:lineRule="exact"/>
        <w:rPr>
          <w:sz w:val="20"/>
          <w:szCs w:val="20"/>
          <w:color w:val="auto"/>
        </w:rPr>
      </w:pPr>
    </w:p>
    <w:p>
      <w:pPr>
        <w:ind w:right="40" w:firstLine="8"/>
        <w:spacing w:after="0" w:line="291" w:lineRule="auto"/>
        <w:tabs>
          <w:tab w:leader="none" w:pos="25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w:t>
      </w:r>
    </w:p>
    <w:p>
      <w:pPr>
        <w:spacing w:after="0"/>
        <w:tabs>
          <w:tab w:leader="none" w:pos="7420" w:val="left"/>
        </w:tabs>
        <w:rPr>
          <w:sz w:val="20"/>
          <w:szCs w:val="20"/>
          <w:color w:val="auto"/>
        </w:rPr>
      </w:pPr>
      <w:r>
        <w:rPr>
          <w:rFonts w:ascii="Arial" w:cs="Arial" w:eastAsia="Arial" w:hAnsi="Arial"/>
          <w:sz w:val="18"/>
          <w:szCs w:val="18"/>
          <w:color w:val="auto"/>
        </w:rPr>
        <w:t>at any other address previously furnished in writing to the Trustee by the Company, Attention: [</w:t>
      </w:r>
      <w:r>
        <w:rPr>
          <w:sz w:val="20"/>
          <w:szCs w:val="20"/>
          <w:color w:val="auto"/>
        </w:rPr>
        <w:tab/>
      </w:r>
      <w:r>
        <w:rPr>
          <w:rFonts w:ascii="Arial" w:cs="Arial" w:eastAsia="Arial" w:hAnsi="Arial"/>
          <w:sz w:val="17"/>
          <w:szCs w:val="17"/>
          <w:color w:val="auto"/>
        </w:rPr>
        <w:t>]; 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(3) either the Trustee or the Company, by the other party or by any Holder, shall be sufficient for every purpose hereunder if given by facsimile transmission,</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receipt confirmed by telephone followed by an original copy delivered by guaranteed overnight courier; if to the Trustee at facsimile number [ ]; and if to the Company at facsimile number [ ].</w:t>
      </w:r>
    </w:p>
    <w:p>
      <w:pPr>
        <w:spacing w:after="0" w:line="18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28" w:name="page129"/>
    <w:bookmarkEnd w:id="128"/>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29" w:name="page130"/>
    <w:bookmarkEnd w:id="129"/>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112. </w:t>
      </w:r>
      <w:r>
        <w:rPr>
          <w:rFonts w:ascii="Arial" w:cs="Arial" w:eastAsia="Arial" w:hAnsi="Arial"/>
          <w:sz w:val="16"/>
          <w:szCs w:val="16"/>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Limited Liability; Immunity of Stockholders, Directors, Officers and Agents of the Company</w:t>
      </w:r>
      <w:r>
        <w:rPr>
          <w:rFonts w:ascii="Arial" w:cs="Arial" w:eastAsia="Arial" w:hAnsi="Arial"/>
          <w:sz w:val="16"/>
          <w:szCs w:val="16"/>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TWO—SECURITIES FORMS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xml:space="preserve">. The Registered Securities, if any, of each series and the Bearer Securities, if any, of each series and related coupons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30" w:name="page131"/>
    <w:bookmarkEnd w:id="130"/>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jc w:val="right"/>
        <w:ind w:left="5480" w:right="5180" w:hanging="2"/>
        <w:spacing w:after="0" w:line="310" w:lineRule="auto"/>
        <w:tabs>
          <w:tab w:leader="none" w:pos="60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as Trustee</w:t>
      </w:r>
    </w:p>
    <w:p>
      <w:pPr>
        <w:spacing w:after="0" w:line="1"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5715</wp:posOffset>
            </wp:positionV>
            <wp:extent cx="3404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-19050</wp:posOffset>
            </wp:positionV>
            <wp:extent cx="4572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Securities Issuable in Global Form</w:t>
      </w:r>
      <w:r>
        <w:rPr>
          <w:rFonts w:ascii="Arial" w:cs="Arial" w:eastAsia="Arial" w:hAnsi="Arial"/>
          <w:sz w:val="16"/>
          <w:szCs w:val="16"/>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THREE—THE SECURITIES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57" w:lineRule="exact"/>
        <w:rPr>
          <w:sz w:val="20"/>
          <w:szCs w:val="20"/>
          <w:color w:val="auto"/>
        </w:rPr>
      </w:pPr>
    </w:p>
    <w:p>
      <w:pPr>
        <w:ind w:right="760" w:firstLine="8"/>
        <w:spacing w:after="0" w:line="277"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62" w:lineRule="exact"/>
        <w:rPr>
          <w:rFonts w:ascii="Arial" w:cs="Arial" w:eastAsia="Arial" w:hAnsi="Arial"/>
          <w:sz w:val="18"/>
          <w:szCs w:val="18"/>
          <w:color w:val="auto"/>
        </w:rPr>
      </w:pPr>
    </w:p>
    <w:p>
      <w:pPr>
        <w:ind w:right="260" w:firstLine="8"/>
        <w:spacing w:after="0" w:line="312" w:lineRule="auto"/>
        <w:tabs>
          <w:tab w:leader="none" w:pos="2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38" w:lineRule="exact"/>
        <w:rPr>
          <w:rFonts w:ascii="Arial" w:cs="Arial" w:eastAsia="Arial" w:hAnsi="Arial"/>
          <w:sz w:val="16"/>
          <w:szCs w:val="16"/>
          <w:color w:val="auto"/>
        </w:rPr>
      </w:pPr>
    </w:p>
    <w:p>
      <w:pPr>
        <w:jc w:val="both"/>
        <w:ind w:right="520" w:firstLine="8"/>
        <w:spacing w:after="0" w:line="312" w:lineRule="auto"/>
        <w:tabs>
          <w:tab w:leader="none" w:pos="2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38" w:lineRule="exact"/>
        <w:rPr>
          <w:rFonts w:ascii="Arial" w:cs="Arial" w:eastAsia="Arial" w:hAnsi="Arial"/>
          <w:sz w:val="16"/>
          <w:szCs w:val="16"/>
          <w:color w:val="auto"/>
        </w:rPr>
      </w:pPr>
    </w:p>
    <w:p>
      <w:pPr>
        <w:ind w:right="680" w:firstLine="8"/>
        <w:spacing w:after="0" w:line="308" w:lineRule="auto"/>
        <w:tabs>
          <w:tab w:leader="none" w:pos="2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38" w:lineRule="exact"/>
        <w:rPr>
          <w:rFonts w:ascii="Arial" w:cs="Arial" w:eastAsia="Arial" w:hAnsi="Arial"/>
          <w:sz w:val="17"/>
          <w:szCs w:val="17"/>
          <w:color w:val="auto"/>
        </w:rPr>
      </w:pPr>
    </w:p>
    <w:p>
      <w:pPr>
        <w:ind w:left="260" w:hanging="252"/>
        <w:spacing w:after="0"/>
        <w:tabs>
          <w:tab w:leader="none" w:pos="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on which the principal of such Securities will be payable;</w:t>
      </w:r>
    </w:p>
    <w:p>
      <w:pPr>
        <w:spacing w:after="0" w:line="117" w:lineRule="exact"/>
        <w:rPr>
          <w:rFonts w:ascii="Arial" w:cs="Arial" w:eastAsia="Arial" w:hAnsi="Arial"/>
          <w:sz w:val="18"/>
          <w:szCs w:val="18"/>
          <w:color w:val="auto"/>
        </w:rPr>
      </w:pPr>
    </w:p>
    <w:p>
      <w:pPr>
        <w:ind w:right="520" w:firstLine="8"/>
        <w:spacing w:after="0" w:line="277"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62" w:lineRule="exact"/>
        <w:rPr>
          <w:rFonts w:ascii="Arial" w:cs="Arial" w:eastAsia="Arial" w:hAnsi="Arial"/>
          <w:sz w:val="18"/>
          <w:szCs w:val="18"/>
          <w:color w:val="auto"/>
        </w:rPr>
      </w:pPr>
    </w:p>
    <w:p>
      <w:pPr>
        <w:ind w:right="100" w:firstLine="8"/>
        <w:spacing w:after="0" w:line="312" w:lineRule="auto"/>
        <w:tabs>
          <w:tab w:leader="none" w:pos="2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38" w:lineRule="exact"/>
        <w:rPr>
          <w:rFonts w:ascii="Arial" w:cs="Arial" w:eastAsia="Arial" w:hAnsi="Arial"/>
          <w:sz w:val="16"/>
          <w:szCs w:val="16"/>
          <w:color w:val="auto"/>
        </w:rPr>
      </w:pPr>
    </w:p>
    <w:p>
      <w:pPr>
        <w:ind w:firstLine="8"/>
        <w:spacing w:after="0" w:line="277"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pacing w:after="0" w:line="62" w:lineRule="exact"/>
        <w:rPr>
          <w:rFonts w:ascii="Arial" w:cs="Arial" w:eastAsia="Arial" w:hAnsi="Arial"/>
          <w:sz w:val="18"/>
          <w:szCs w:val="18"/>
          <w:color w:val="auto"/>
        </w:rPr>
      </w:pPr>
    </w:p>
    <w:p>
      <w:pPr>
        <w:ind w:right="40" w:firstLine="8"/>
        <w:spacing w:after="0" w:line="264"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73" w:lineRule="exact"/>
        <w:rPr>
          <w:rFonts w:ascii="Arial" w:cs="Arial" w:eastAsia="Arial" w:hAnsi="Arial"/>
          <w:sz w:val="18"/>
          <w:szCs w:val="18"/>
          <w:color w:val="auto"/>
        </w:rPr>
      </w:pPr>
    </w:p>
    <w:p>
      <w:pPr>
        <w:ind w:right="140" w:firstLine="8"/>
        <w:spacing w:after="0" w:line="277" w:lineRule="auto"/>
        <w:tabs>
          <w:tab w:leader="none" w:pos="3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62" w:lineRule="exact"/>
        <w:rPr>
          <w:rFonts w:ascii="Arial" w:cs="Arial" w:eastAsia="Arial" w:hAnsi="Arial"/>
          <w:sz w:val="18"/>
          <w:szCs w:val="18"/>
          <w:color w:val="auto"/>
        </w:rPr>
      </w:pPr>
    </w:p>
    <w:p>
      <w:pPr>
        <w:jc w:val="both"/>
        <w:ind w:firstLine="8"/>
        <w:spacing w:after="0" w:line="264" w:lineRule="auto"/>
        <w:tabs>
          <w:tab w:leader="none" w:pos="33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73" w:lineRule="exact"/>
        <w:rPr>
          <w:rFonts w:ascii="Arial" w:cs="Arial" w:eastAsia="Arial" w:hAnsi="Arial"/>
          <w:sz w:val="18"/>
          <w:szCs w:val="18"/>
          <w:color w:val="auto"/>
        </w:rPr>
      </w:pPr>
    </w:p>
    <w:p>
      <w:pPr>
        <w:ind w:firstLine="8"/>
        <w:spacing w:after="0" w:line="264" w:lineRule="auto"/>
        <w:tabs>
          <w:tab w:leader="none" w:pos="3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73" w:lineRule="exact"/>
        <w:rPr>
          <w:rFonts w:ascii="Arial" w:cs="Arial" w:eastAsia="Arial" w:hAnsi="Arial"/>
          <w:sz w:val="18"/>
          <w:szCs w:val="18"/>
          <w:color w:val="auto"/>
        </w:rPr>
      </w:pPr>
    </w:p>
    <w:p>
      <w:pPr>
        <w:ind w:right="200" w:firstLine="8"/>
        <w:spacing w:after="0" w:line="279" w:lineRule="auto"/>
        <w:tabs>
          <w:tab w:leader="none" w:pos="34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32" w:name="page133"/>
    <w:bookmarkEnd w:id="132"/>
    <w:p>
      <w:pPr>
        <w:ind w:left="-8" w:right="60" w:firstLine="8"/>
        <w:spacing w:after="0" w:line="273" w:lineRule="auto"/>
        <w:tabs>
          <w:tab w:leader="none" w:pos="337" w:val="left"/>
        </w:tabs>
        <w:numPr>
          <w:ilvl w:val="0"/>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70" w:lineRule="exact"/>
        <w:rPr>
          <w:rFonts w:ascii="Arial" w:cs="Arial" w:eastAsia="Arial" w:hAnsi="Arial"/>
          <w:sz w:val="17"/>
          <w:szCs w:val="17"/>
          <w:color w:val="auto"/>
        </w:rPr>
      </w:pPr>
    </w:p>
    <w:p>
      <w:pPr>
        <w:ind w:left="352" w:hanging="352"/>
        <w:spacing w:after="0"/>
        <w:tabs>
          <w:tab w:leader="none" w:pos="35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Provisions, if any, granting special rights to the Holders of Securities of the series upon the occurrence of such events as may be specified;</w:t>
      </w:r>
    </w:p>
    <w:p>
      <w:pPr>
        <w:spacing w:after="0" w:line="128" w:lineRule="exact"/>
        <w:rPr>
          <w:rFonts w:ascii="Arial" w:cs="Arial" w:eastAsia="Arial" w:hAnsi="Arial"/>
          <w:sz w:val="17"/>
          <w:szCs w:val="17"/>
          <w:color w:val="auto"/>
        </w:rPr>
      </w:pPr>
    </w:p>
    <w:p>
      <w:pPr>
        <w:ind w:left="-8" w:right="80" w:firstLine="8"/>
        <w:spacing w:after="0" w:line="277" w:lineRule="auto"/>
        <w:tabs>
          <w:tab w:leader="none" w:pos="3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62" w:lineRule="exact"/>
        <w:rPr>
          <w:rFonts w:ascii="Arial" w:cs="Arial" w:eastAsia="Arial" w:hAnsi="Arial"/>
          <w:sz w:val="18"/>
          <w:szCs w:val="18"/>
          <w:color w:val="auto"/>
        </w:rPr>
      </w:pPr>
    </w:p>
    <w:p>
      <w:pPr>
        <w:ind w:left="-8" w:right="880" w:firstLine="8"/>
        <w:spacing w:after="0" w:line="342" w:lineRule="auto"/>
        <w:tabs>
          <w:tab w:leader="none" w:pos="33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5" w:lineRule="exact"/>
        <w:rPr>
          <w:rFonts w:ascii="Arial" w:cs="Arial" w:eastAsia="Arial" w:hAnsi="Arial"/>
          <w:sz w:val="16"/>
          <w:szCs w:val="16"/>
          <w:color w:val="auto"/>
        </w:rPr>
      </w:pPr>
    </w:p>
    <w:p>
      <w:pPr>
        <w:ind w:left="-8" w:right="120" w:firstLine="8"/>
        <w:spacing w:after="0" w:line="254" w:lineRule="auto"/>
        <w:tabs>
          <w:tab w:leader="none" w:pos="3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84" w:lineRule="exact"/>
        <w:rPr>
          <w:rFonts w:ascii="Arial" w:cs="Arial" w:eastAsia="Arial" w:hAnsi="Arial"/>
          <w:sz w:val="18"/>
          <w:szCs w:val="18"/>
          <w:color w:val="auto"/>
        </w:rPr>
      </w:pPr>
    </w:p>
    <w:p>
      <w:pPr>
        <w:ind w:left="-8" w:right="360" w:firstLine="8"/>
        <w:spacing w:after="0" w:line="277" w:lineRule="auto"/>
        <w:tabs>
          <w:tab w:leader="none" w:pos="3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62" w:lineRule="exact"/>
        <w:rPr>
          <w:rFonts w:ascii="Arial" w:cs="Arial" w:eastAsia="Arial" w:hAnsi="Arial"/>
          <w:sz w:val="18"/>
          <w:szCs w:val="18"/>
          <w:color w:val="auto"/>
        </w:rPr>
      </w:pPr>
    </w:p>
    <w:p>
      <w:pPr>
        <w:ind w:left="-8" w:right="20" w:firstLine="8"/>
        <w:spacing w:after="0" w:line="273" w:lineRule="auto"/>
        <w:tabs>
          <w:tab w:leader="none" w:pos="33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each case, that the manner of determining such Person or making such payment shall be acceptable to the Trustee (as not imposing on it any undue administrative burden or risk of liability);</w:t>
      </w:r>
    </w:p>
    <w:p>
      <w:pPr>
        <w:spacing w:after="0" w:line="70" w:lineRule="exact"/>
        <w:rPr>
          <w:rFonts w:ascii="Arial" w:cs="Arial" w:eastAsia="Arial" w:hAnsi="Arial"/>
          <w:sz w:val="17"/>
          <w:szCs w:val="17"/>
          <w:color w:val="auto"/>
        </w:rPr>
      </w:pPr>
    </w:p>
    <w:p>
      <w:pPr>
        <w:ind w:left="352" w:hanging="352"/>
        <w:spacing w:after="0"/>
        <w:tabs>
          <w:tab w:leader="none" w:pos="3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applicability, if any, of the Defeasance and Covenant Defeasance provisions of Article Fourteen hereof to the Securities of the series;</w:t>
      </w:r>
    </w:p>
    <w:p>
      <w:pPr>
        <w:spacing w:after="0" w:line="117" w:lineRule="exact"/>
        <w:rPr>
          <w:rFonts w:ascii="Arial" w:cs="Arial" w:eastAsia="Arial" w:hAnsi="Arial"/>
          <w:sz w:val="18"/>
          <w:szCs w:val="18"/>
          <w:color w:val="auto"/>
        </w:rPr>
      </w:pPr>
    </w:p>
    <w:p>
      <w:pPr>
        <w:ind w:left="-8" w:right="120" w:firstLine="8"/>
        <w:spacing w:after="0" w:line="259" w:lineRule="auto"/>
        <w:tabs>
          <w:tab w:leader="none" w:pos="3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78" w:lineRule="exact"/>
        <w:rPr>
          <w:rFonts w:ascii="Arial" w:cs="Arial" w:eastAsia="Arial" w:hAnsi="Arial"/>
          <w:sz w:val="18"/>
          <w:szCs w:val="18"/>
          <w:color w:val="auto"/>
        </w:rPr>
      </w:pPr>
    </w:p>
    <w:p>
      <w:pPr>
        <w:ind w:left="-8" w:firstLine="8"/>
        <w:spacing w:after="0" w:line="264" w:lineRule="auto"/>
        <w:tabs>
          <w:tab w:leader="none" w:pos="3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73" w:lineRule="exact"/>
        <w:rPr>
          <w:rFonts w:ascii="Arial" w:cs="Arial" w:eastAsia="Arial" w:hAnsi="Arial"/>
          <w:sz w:val="18"/>
          <w:szCs w:val="18"/>
          <w:color w:val="auto"/>
        </w:rPr>
      </w:pPr>
    </w:p>
    <w:p>
      <w:pPr>
        <w:ind w:left="-8" w:right="100" w:firstLine="8"/>
        <w:spacing w:after="0" w:line="277" w:lineRule="auto"/>
        <w:tabs>
          <w:tab w:leader="none" w:pos="3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72"/>
          </w:cols>
          <w:pgMar w:left="248" w:top="274" w:right="279" w:bottom="1440" w:gutter="0" w:footer="0" w:header="0"/>
        </w:sectPr>
      </w:pPr>
    </w:p>
    <w:bookmarkStart w:id="133" w:name="page134"/>
    <w:bookmarkEnd w:id="133"/>
    <w:p>
      <w:pPr>
        <w:ind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Denominations</w:t>
      </w:r>
      <w:r>
        <w:rPr>
          <w:rFonts w:ascii="Arial" w:cs="Arial" w:eastAsia="Arial" w:hAnsi="Arial"/>
          <w:sz w:val="16"/>
          <w:szCs w:val="16"/>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5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connection with its original issuance, no Bearer Security shall be mailed or otherwise delivered to any location in the United States;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7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 Opinion of Counsel stating that</w:t>
      </w:r>
    </w:p>
    <w:p>
      <w:pPr>
        <w:spacing w:after="0" w:line="117" w:lineRule="exact"/>
        <w:rPr>
          <w:sz w:val="20"/>
          <w:szCs w:val="20"/>
          <w:color w:val="auto"/>
        </w:rPr>
      </w:pPr>
    </w:p>
    <w:p>
      <w:pPr>
        <w:ind w:left="260" w:hanging="252"/>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form or forms of such Securities and any coupons have been established in conformity with the provisions of this Indenture;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terms of such Securities and any coupons have been established in conformity with the provisions of this Indenture; and</w:t>
      </w:r>
    </w:p>
    <w:p>
      <w:pPr>
        <w:spacing w:after="0" w:line="117" w:lineRule="exact"/>
        <w:rPr>
          <w:rFonts w:ascii="Arial" w:cs="Arial" w:eastAsia="Arial" w:hAnsi="Arial"/>
          <w:sz w:val="18"/>
          <w:szCs w:val="18"/>
          <w:color w:val="auto"/>
        </w:rPr>
      </w:pPr>
    </w:p>
    <w:p>
      <w:pPr>
        <w:ind w:right="40" w:firstLine="8"/>
        <w:spacing w:after="0" w:line="297" w:lineRule="auto"/>
        <w:tabs>
          <w:tab w:leader="none" w:pos="24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50" w:lineRule="exact"/>
        <w:rPr>
          <w:sz w:val="20"/>
          <w:szCs w:val="20"/>
          <w:color w:val="auto"/>
        </w:rPr>
      </w:pPr>
    </w:p>
    <w:p>
      <w:pPr>
        <w:ind w:right="80" w:firstLine="8"/>
        <w:spacing w:after="0" w:line="264" w:lineRule="auto"/>
        <w:tabs>
          <w:tab w:leader="none" w:pos="26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60" w:firstLine="8"/>
        <w:spacing w:after="0" w:line="255" w:lineRule="auto"/>
        <w:tabs>
          <w:tab w:leader="none" w:pos="24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35" w:name="page136"/>
    <w:bookmarkEnd w:id="135"/>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definitive Bearer Security shall be delivered in exchange for a temporary Registered Security;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83" w:lineRule="exact"/>
        <w:rPr>
          <w:sz w:val="20"/>
          <w:szCs w:val="20"/>
          <w:color w:val="auto"/>
        </w:rPr>
      </w:pPr>
    </w:p>
    <w:p>
      <w:pPr>
        <w:ind w:right="60" w:firstLine="8"/>
        <w:spacing w:after="0" w:line="276" w:lineRule="auto"/>
        <w:tabs>
          <w:tab w:leader="none" w:pos="2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to this Indenture or in such other form as may be established pursuant to Section 301;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definitive Bearer Securities shall be delivered in exchange for a portion of a temporary Global Security only in compliance with the requirements of Section 303.</w:t>
      </w:r>
    </w:p>
    <w:p>
      <w:pPr>
        <w:spacing w:after="0" w:line="16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Until exchanged in full as hereinabove provided, the temporary Securities of any series shall in all respects be entitled to the same benefits under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Indenture as definitive Securities of the same series and of like tenor authenticated and delivered hereunder, except that, unless otherwise specified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Section 301, interest payable on a temporary Global Security on an Interest Payment Date for Securities of such series occurring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Exchange Date shall be payable to Euroclear and Clearstream on such Interest Payment Date upon delivery by Euroclear and Clearstream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Trustee of a certificate or certificates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forms as may be established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for credit without further interest on or after such Interest Payment Date to the respective accounts of Persons who are the beneficial owners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temporary Global Security on such Interest Payment Date and who have each delivered to Euroclear or Clearstream, as the case may be, a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dated no earlier than 15 days prior to the Interest Payment Date occurring prior to such Exchange Date in the form set forth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such other forms as may be established pursuant to Section 301). Notwithstanding anything to the contrary herein contained, the certifications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paragraph shall satisfy the certification requirements of the preceding two paragraphs of this Section 304(b) and of the third paragraph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this Indenture and the interests of the Persons who are the beneficial owners of the temporary Global Security with respect to which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was made will be exchanged for definitive Securities of the same series and of like tenor on the Exchange Date or the date of certification if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occurs after the Exchange Date, without further act or deed by such beneficial owners. Except as otherwise provided in this paragraph, no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or interest owing with respect to a beneficial interest in a temporary Global Security will be made unless and until such interest in such temporary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 Security shall have been exchanged for an interest in a definitive Security. Any interest so received by Euroclear and Clearstream and not paid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provided shall be returned to the Trustee prior to the expiration of two years after such Interest Payment Date in order to be repaid to the Company.</w:t>
      </w:r>
    </w:p>
    <w:p>
      <w:pPr>
        <w:spacing w:after="0" w:line="23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5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Registration, Registration of Transfer, Conversion and Exchange</w:t>
      </w:r>
      <w:r>
        <w:rPr>
          <w:rFonts w:ascii="Arial" w:cs="Arial" w:eastAsia="Arial" w:hAnsi="Arial"/>
          <w:sz w:val="17"/>
          <w:szCs w:val="17"/>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37" w:name="page138"/>
    <w:bookmarkEnd w:id="13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3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w:t>
      </w:r>
    </w:p>
    <w:p>
      <w:pPr>
        <w:spacing w:after="0" w:line="1" w:lineRule="exact"/>
        <w:rPr>
          <w:sz w:val="20"/>
          <w:szCs w:val="20"/>
          <w:color w:val="auto"/>
        </w:rPr>
      </w:pPr>
    </w:p>
    <w:p>
      <w:pPr>
        <w:ind w:right="100" w:firstLine="8"/>
        <w:spacing w:after="0" w:line="281" w:lineRule="auto"/>
        <w:tabs>
          <w:tab w:leader="none" w:pos="2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w:t>
      </w:r>
    </w:p>
    <w:p>
      <w:pPr>
        <w:spacing w:after="0" w:line="2" w:lineRule="exact"/>
        <w:rPr>
          <w:rFonts w:ascii="Arial" w:cs="Arial" w:eastAsia="Arial" w:hAnsi="Arial"/>
          <w:sz w:val="16"/>
          <w:szCs w:val="16"/>
          <w:color w:val="auto"/>
        </w:rPr>
      </w:pPr>
    </w:p>
    <w:p>
      <w:pPr>
        <w:ind w:right="40" w:firstLine="8"/>
        <w:spacing w:after="0" w:line="286" w:lineRule="auto"/>
        <w:tabs>
          <w:tab w:leader="none" w:pos="24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exchanges may occur during a period beginning at the opening of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38" w:name="page139"/>
    <w:bookmarkEnd w:id="13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 days before any selection of Securities to be redeemed and ending on the relevant Redemption Date if the Security for which exchange is requested may be among those selected for redemption;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8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7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Stolen Securities</w:t>
      </w:r>
      <w:r>
        <w:rPr>
          <w:rFonts w:ascii="Arial" w:cs="Arial" w:eastAsia="Arial" w:hAnsi="Arial"/>
          <w:sz w:val="17"/>
          <w:szCs w:val="17"/>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there shall be delivered to the Company and to the Trustee (i) evidence to their satisfaction of the destruction, loss or theft of any Security or coupon, and</w:t>
      </w:r>
    </w:p>
    <w:p>
      <w:pPr>
        <w:spacing w:after="0" w:line="46" w:lineRule="exact"/>
        <w:rPr>
          <w:sz w:val="20"/>
          <w:szCs w:val="20"/>
          <w:color w:val="auto"/>
        </w:rPr>
      </w:pPr>
    </w:p>
    <w:p>
      <w:pPr>
        <w:jc w:val="both"/>
        <w:ind w:right="60" w:firstLine="8"/>
        <w:spacing w:after="0" w:line="277" w:lineRule="auto"/>
        <w:tabs>
          <w:tab w:leader="none" w:pos="26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39" w:name="page140"/>
    <w:bookmarkEnd w:id="139"/>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Payment of Interest; Interest Rights Preserved</w:t>
      </w:r>
      <w:r>
        <w:rPr>
          <w:rFonts w:ascii="Arial" w:cs="Arial" w:eastAsia="Arial" w:hAnsi="Arial"/>
          <w:sz w:val="17"/>
          <w:szCs w:val="17"/>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40" w:name="page141"/>
    <w:bookmarkEnd w:id="140"/>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63" w:lineRule="exact"/>
        <w:rPr>
          <w:sz w:val="20"/>
          <w:szCs w:val="20"/>
          <w:color w:val="auto"/>
        </w:rPr>
      </w:pPr>
    </w:p>
    <w:p>
      <w:pPr>
        <w:ind w:firstLine="8"/>
        <w:spacing w:after="0" w:line="284" w:lineRule="auto"/>
        <w:tabs>
          <w:tab w:leader="none" w:pos="25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70" w:lineRule="exact"/>
        <w:rPr>
          <w:rFonts w:ascii="Arial" w:cs="Arial" w:eastAsia="Arial" w:hAnsi="Arial"/>
          <w:sz w:val="16"/>
          <w:szCs w:val="16"/>
          <w:color w:val="auto"/>
        </w:rPr>
      </w:pPr>
    </w:p>
    <w:p>
      <w:pPr>
        <w:ind w:firstLine="8"/>
        <w:spacing w:after="0" w:line="259"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41" w:name="page142"/>
    <w:bookmarkEnd w:id="141"/>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FOUR—SATISFACTION AND DISCHARGE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either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42" w:name="page143"/>
    <w:bookmarkEnd w:id="142"/>
    <w:p>
      <w:pPr>
        <w:ind w:firstLine="8"/>
        <w:spacing w:after="0" w:line="272" w:lineRule="auto"/>
        <w:tabs>
          <w:tab w:leader="none" w:pos="295" w:val="left"/>
        </w:tabs>
        <w:numPr>
          <w:ilvl w:val="0"/>
          <w:numId w:val="1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69" w:lineRule="exact"/>
        <w:rPr>
          <w:rFonts w:ascii="Arial" w:cs="Arial" w:eastAsia="Arial" w:hAnsi="Arial"/>
          <w:sz w:val="17"/>
          <w:szCs w:val="17"/>
          <w:color w:val="auto"/>
        </w:rPr>
      </w:pPr>
    </w:p>
    <w:p>
      <w:pPr>
        <w:ind w:left="300" w:hanging="292"/>
        <w:spacing w:after="0"/>
        <w:tabs>
          <w:tab w:leader="none" w:pos="3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all Securities of such series and, in the case of (i) or (ii) below, any coupons appertaining thereto not theretofore delivered to the Trustee for cancellation</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 have become due and payable, or</w:t>
      </w:r>
    </w:p>
    <w:p>
      <w:pPr>
        <w:spacing w:after="0" w:line="1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(ii) will become due and payable at their Stated Maturity within one year, or</w:t>
      </w:r>
    </w:p>
    <w:p>
      <w:pPr>
        <w:spacing w:after="0" w:line="117" w:lineRule="exact"/>
        <w:rPr>
          <w:sz w:val="20"/>
          <w:szCs w:val="20"/>
          <w:color w:val="auto"/>
        </w:rPr>
      </w:pPr>
    </w:p>
    <w:p>
      <w:pPr>
        <w:ind w:right="80" w:firstLine="8"/>
        <w:spacing w:after="0" w:line="277" w:lineRule="auto"/>
        <w:tabs>
          <w:tab w:leader="none" w:pos="3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88" w:lineRule="exact"/>
        <w:rPr>
          <w:sz w:val="20"/>
          <w:szCs w:val="20"/>
          <w:color w:val="auto"/>
        </w:rPr>
      </w:pPr>
    </w:p>
    <w:p>
      <w:pPr>
        <w:ind w:left="260" w:hanging="252"/>
        <w:spacing w:after="0"/>
        <w:tabs>
          <w:tab w:leader="none" w:pos="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firstLine="8"/>
        <w:spacing w:after="0" w:line="277" w:lineRule="auto"/>
        <w:tabs>
          <w:tab w:leader="none" w:pos="2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Application of Trust Funds</w:t>
      </w:r>
      <w:r>
        <w:rPr>
          <w:rFonts w:ascii="Arial" w:cs="Arial" w:eastAsia="Arial" w:hAnsi="Arial"/>
          <w:sz w:val="17"/>
          <w:szCs w:val="17"/>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FIVE—REMEDIES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57" w:lineRule="exact"/>
        <w:rPr>
          <w:sz w:val="20"/>
          <w:szCs w:val="20"/>
          <w:color w:val="auto"/>
        </w:rPr>
      </w:pPr>
    </w:p>
    <w:p>
      <w:pPr>
        <w:ind w:right="60" w:firstLine="8"/>
        <w:spacing w:after="0" w:line="277" w:lineRule="auto"/>
        <w:tabs>
          <w:tab w:leader="none" w:pos="2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70"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143" w:name="page144"/>
    <w:bookmarkEnd w:id="143"/>
    <w:p>
      <w:pPr>
        <w:ind w:right="240" w:firstLine="8"/>
        <w:spacing w:after="0" w:line="277"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in the deposit of any sinking fund payment, to the extent applicable to such series of Securities, when and as due by the terms of any Security of that series; or</w:t>
      </w:r>
    </w:p>
    <w:p>
      <w:pPr>
        <w:spacing w:after="0" w:line="62" w:lineRule="exact"/>
        <w:rPr>
          <w:rFonts w:ascii="Arial" w:cs="Arial" w:eastAsia="Arial" w:hAnsi="Arial"/>
          <w:sz w:val="18"/>
          <w:szCs w:val="18"/>
          <w:color w:val="auto"/>
        </w:rPr>
      </w:pPr>
    </w:p>
    <w:p>
      <w:pPr>
        <w:ind w:right="100" w:firstLine="8"/>
        <w:spacing w:after="0" w:line="255"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5" w:lineRule="exact"/>
        <w:rPr>
          <w:rFonts w:ascii="Arial" w:cs="Arial" w:eastAsia="Arial" w:hAnsi="Arial"/>
          <w:sz w:val="18"/>
          <w:szCs w:val="18"/>
          <w:color w:val="auto"/>
        </w:rPr>
      </w:pPr>
    </w:p>
    <w:p>
      <w:pPr>
        <w:ind w:firstLine="8"/>
        <w:spacing w:after="0" w:line="269" w:lineRule="auto"/>
        <w:tabs>
          <w:tab w:leader="none" w:pos="2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71" w:lineRule="exact"/>
        <w:rPr>
          <w:rFonts w:ascii="Arial" w:cs="Arial" w:eastAsia="Arial" w:hAnsi="Arial"/>
          <w:sz w:val="17"/>
          <w:szCs w:val="17"/>
          <w:color w:val="auto"/>
        </w:rPr>
      </w:pPr>
    </w:p>
    <w:p>
      <w:pPr>
        <w:ind w:left="260" w:hanging="252"/>
        <w:spacing w:after="0"/>
        <w:tabs>
          <w:tab w:leader="none" w:pos="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sz w:val="20"/>
          <w:szCs w:val="20"/>
          <w:color w:val="auto"/>
        </w:rPr>
      </w:pPr>
    </w:p>
    <w:p>
      <w:pPr>
        <w:ind w:left="300" w:hanging="292"/>
        <w:spacing w:after="0"/>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sz w:val="20"/>
          <w:szCs w:val="20"/>
          <w:color w:val="auto"/>
        </w:rPr>
      </w:pPr>
    </w:p>
    <w:p>
      <w:pPr>
        <w:ind w:left="260" w:hanging="252"/>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is for relief against the Company or any Significant Subsidiary in an involuntary case,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 orders the liquidation of the Company or any Significant Subsidiary, and the order or decree remains unstayed and in effect for 90 days;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44" w:name="page145"/>
    <w:bookmarkEnd w:id="144"/>
    <w:p>
      <w:pPr>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39" w:lineRule="exact"/>
        <w:rPr>
          <w:sz w:val="20"/>
          <w:szCs w:val="20"/>
          <w:color w:val="auto"/>
        </w:rPr>
      </w:pPr>
    </w:p>
    <w:p>
      <w:pPr>
        <w:ind w:right="40" w:firstLine="8"/>
        <w:spacing w:after="0" w:line="277" w:lineRule="auto"/>
        <w:tabs>
          <w:tab w:leader="none" w:pos="2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62" w:lineRule="exact"/>
        <w:rPr>
          <w:sz w:val="20"/>
          <w:szCs w:val="20"/>
          <w:color w:val="auto"/>
        </w:rPr>
      </w:pPr>
    </w:p>
    <w:p>
      <w:pPr>
        <w:ind w:left="300" w:hanging="292"/>
        <w:spacing w:after="0"/>
        <w:tabs>
          <w:tab w:leader="none" w:pos="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w:t>
      </w:r>
    </w:p>
    <w:p>
      <w:pPr>
        <w:spacing w:after="0" w:line="117" w:lineRule="exact"/>
        <w:rPr>
          <w:rFonts w:ascii="Arial" w:cs="Arial" w:eastAsia="Arial" w:hAnsi="Arial"/>
          <w:sz w:val="18"/>
          <w:szCs w:val="18"/>
          <w:color w:val="auto"/>
        </w:rPr>
      </w:pPr>
    </w:p>
    <w:p>
      <w:pPr>
        <w:ind w:right="260" w:firstLine="8"/>
        <w:spacing w:after="0" w:line="277" w:lineRule="auto"/>
        <w:tabs>
          <w:tab w:leader="none" w:pos="2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62" w:lineRule="exact"/>
        <w:rPr>
          <w:rFonts w:ascii="Arial" w:cs="Arial" w:eastAsia="Arial" w:hAnsi="Arial"/>
          <w:sz w:val="18"/>
          <w:szCs w:val="18"/>
          <w:color w:val="auto"/>
        </w:rPr>
      </w:pPr>
    </w:p>
    <w:p>
      <w:pPr>
        <w:ind w:right="400" w:firstLine="8"/>
        <w:spacing w:after="0" w:line="277" w:lineRule="auto"/>
        <w:tabs>
          <w:tab w:leader="none" w:pos="2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62" w:lineRule="exact"/>
        <w:rPr>
          <w:rFonts w:ascii="Arial" w:cs="Arial" w:eastAsia="Arial" w:hAnsi="Arial"/>
          <w:sz w:val="18"/>
          <w:szCs w:val="18"/>
          <w:color w:val="auto"/>
        </w:rPr>
      </w:pPr>
    </w:p>
    <w:p>
      <w:pPr>
        <w:ind w:firstLine="8"/>
        <w:spacing w:after="0" w:line="277" w:lineRule="auto"/>
        <w:tabs>
          <w:tab w:leader="none" w:pos="2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sz w:val="20"/>
          <w:szCs w:val="20"/>
          <w:color w:val="auto"/>
        </w:rPr>
      </w:pPr>
    </w:p>
    <w:p>
      <w:pPr>
        <w:ind w:right="140" w:firstLine="8"/>
        <w:spacing w:after="0" w:line="264" w:lineRule="auto"/>
        <w:tabs>
          <w:tab w:leader="none" w:pos="2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225" w:lineRule="exact"/>
        <w:rPr>
          <w:sz w:val="20"/>
          <w:szCs w:val="20"/>
          <w:color w:val="auto"/>
        </w:rPr>
      </w:pPr>
    </w:p>
    <w:p>
      <w:pPr>
        <w:ind w:right="320" w:firstLine="8"/>
        <w:spacing w:after="0" w:line="277" w:lineRule="auto"/>
        <w:tabs>
          <w:tab w:leader="none" w:pos="2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or Make-Whole Amount, if any, on) any Security of any series at its Maturity,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45" w:name="page146"/>
    <w:bookmarkEnd w:id="145"/>
    <w:p>
      <w:pPr>
        <w:ind w:right="40" w:firstLine="8"/>
        <w:spacing w:after="0" w:line="259" w:lineRule="auto"/>
        <w:tabs>
          <w:tab w:leader="none" w:pos="2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78" w:lineRule="exact"/>
        <w:rPr>
          <w:rFonts w:ascii="Arial" w:cs="Arial" w:eastAsia="Arial" w:hAnsi="Arial"/>
          <w:sz w:val="18"/>
          <w:szCs w:val="18"/>
          <w:color w:val="auto"/>
        </w:rPr>
      </w:pPr>
    </w:p>
    <w:p>
      <w:pPr>
        <w:ind w:left="280" w:hanging="272"/>
        <w:spacing w:after="0"/>
        <w:tabs>
          <w:tab w:leader="none" w:pos="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54"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Trustee May Enforce Claims Without Possession of Securities or Coupons</w:t>
      </w:r>
      <w:r>
        <w:rPr>
          <w:rFonts w:ascii="Arial" w:cs="Arial" w:eastAsia="Arial" w:hAnsi="Arial"/>
          <w:sz w:val="16"/>
          <w:szCs w:val="16"/>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THIRD: To the payment of the remainder, if any, to the Company.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Limitation on Suits</w:t>
      </w:r>
      <w:r>
        <w:rPr>
          <w:rFonts w:ascii="Arial" w:cs="Arial" w:eastAsia="Arial" w:hAnsi="Arial"/>
          <w:sz w:val="17"/>
          <w:szCs w:val="17"/>
          <w:color w:val="auto"/>
        </w:rPr>
        <w:t>. 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38" w:lineRule="exact"/>
        <w:rPr>
          <w:sz w:val="20"/>
          <w:szCs w:val="20"/>
          <w:color w:val="auto"/>
        </w:rPr>
      </w:pPr>
    </w:p>
    <w:p>
      <w:pPr>
        <w:ind w:left="5620" w:right="1120" w:hanging="5612"/>
        <w:spacing w:after="0" w:line="449" w:lineRule="auto"/>
        <w:tabs>
          <w:tab w:leader="none" w:pos="25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Securities of that series; 28</w:t>
      </w:r>
    </w:p>
    <w:p>
      <w:pPr>
        <w:sectPr>
          <w:pgSz w:w="11900" w:h="16838" w:orient="portrait"/>
          <w:cols w:equalWidth="0" w:num="1">
            <w:col w:w="11380"/>
          </w:cols>
          <w:pgMar w:left="240" w:top="274" w:right="279" w:bottom="1440" w:gutter="0" w:footer="0" w:header="0"/>
        </w:sectPr>
      </w:pPr>
    </w:p>
    <w:bookmarkStart w:id="146" w:name="page147"/>
    <w:bookmarkEnd w:id="146"/>
    <w:p>
      <w:pPr>
        <w:ind w:right="60" w:firstLine="8"/>
        <w:spacing w:after="0" w:line="277" w:lineRule="auto"/>
        <w:tabs>
          <w:tab w:leader="none" w:pos="2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right="600" w:firstLine="8"/>
        <w:spacing w:after="0" w:line="277" w:lineRule="auto"/>
        <w:tabs>
          <w:tab w:leader="none" w:pos="2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117" w:lineRule="exact"/>
        <w:rPr>
          <w:rFonts w:ascii="Arial" w:cs="Arial" w:eastAsia="Arial" w:hAnsi="Arial"/>
          <w:sz w:val="18"/>
          <w:szCs w:val="18"/>
          <w:color w:val="auto"/>
        </w:rPr>
      </w:pPr>
    </w:p>
    <w:p>
      <w:pPr>
        <w:ind w:right="480" w:firstLine="8"/>
        <w:spacing w:after="0" w:line="277" w:lineRule="auto"/>
        <w:tabs>
          <w:tab w:leader="none" w:pos="2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Holders to Receive Principal, Premium or Make-Whole Amount, if any, and Interest</w:t>
      </w:r>
      <w:r>
        <w:rPr>
          <w:rFonts w:ascii="Arial" w:cs="Arial" w:eastAsia="Arial" w:hAnsi="Arial"/>
          <w:sz w:val="18"/>
          <w:szCs w:val="18"/>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260" w:hanging="252"/>
        <w:spacing w:after="0"/>
        <w:tabs>
          <w:tab w:leader="none" w:pos="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right="340" w:firstLine="8"/>
        <w:spacing w:after="0" w:line="277" w:lineRule="auto"/>
        <w:tabs>
          <w:tab w:leader="none" w:pos="2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47" w:name="page148"/>
    <w:bookmarkEnd w:id="147"/>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in this Indenture shall impair the right of the Trustee in its discretion to take any action deemed proper by the Trustee and which is not inconsistent with such direction by Holders.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73" w:lineRule="exact"/>
        <w:rPr>
          <w:sz w:val="20"/>
          <w:szCs w:val="20"/>
          <w:color w:val="auto"/>
        </w:rPr>
      </w:pPr>
    </w:p>
    <w:p>
      <w:pPr>
        <w:ind w:left="260" w:hanging="252"/>
        <w:spacing w:after="0"/>
        <w:tabs>
          <w:tab w:leader="none" w:pos="2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the payment of the principal of (or premium or Make-Whole Amount, if any) or interest on any Security of such series or any related coupons, or</w:t>
      </w:r>
    </w:p>
    <w:p>
      <w:pPr>
        <w:spacing w:after="0" w:line="128" w:lineRule="exact"/>
        <w:rPr>
          <w:rFonts w:ascii="Arial" w:cs="Arial" w:eastAsia="Arial" w:hAnsi="Arial"/>
          <w:sz w:val="17"/>
          <w:szCs w:val="17"/>
          <w:color w:val="auto"/>
        </w:rPr>
      </w:pPr>
    </w:p>
    <w:p>
      <w:pPr>
        <w:ind w:right="800" w:firstLine="8"/>
        <w:spacing w:after="0" w:line="277" w:lineRule="auto"/>
        <w:tabs>
          <w:tab w:leader="none" w:pos="2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Waiver of Usury, Stay or Extension Laws</w:t>
      </w:r>
      <w:r>
        <w:rPr>
          <w:rFonts w:ascii="Arial" w:cs="Arial" w:eastAsia="Arial" w:hAnsi="Arial"/>
          <w:sz w:val="17"/>
          <w:szCs w:val="17"/>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SIX—THE TRUSTEE</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117" w:lineRule="exact"/>
        <w:rPr>
          <w:sz w:val="20"/>
          <w:szCs w:val="20"/>
          <w:color w:val="auto"/>
        </w:rPr>
      </w:pPr>
    </w:p>
    <w:p>
      <w:pPr>
        <w:ind w:right="60" w:firstLine="8"/>
        <w:spacing w:after="0" w:line="264"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right="120" w:firstLine="8"/>
        <w:spacing w:after="0" w:line="286" w:lineRule="auto"/>
        <w:tabs>
          <w:tab w:leader="none" w:pos="25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57" w:lineRule="exact"/>
        <w:rPr>
          <w:rFonts w:ascii="Arial" w:cs="Arial" w:eastAsia="Arial" w:hAnsi="Arial"/>
          <w:sz w:val="17"/>
          <w:szCs w:val="17"/>
          <w:color w:val="auto"/>
        </w:rPr>
      </w:pPr>
    </w:p>
    <w:p>
      <w:pPr>
        <w:ind w:left="260" w:hanging="252"/>
        <w:spacing w:after="0"/>
        <w:tabs>
          <w:tab w:leader="none" w:pos="2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whenever in the administration of this Indenture the Trustee shall deem it desirable that a matter be proved or established prior to taking, suffering or</w:t>
      </w:r>
    </w:p>
    <w:p>
      <w:pPr>
        <w:spacing w:after="0" w:line="34" w:lineRule="exact"/>
        <w:rPr>
          <w:rFonts w:ascii="Arial" w:cs="Arial" w:eastAsia="Arial" w:hAnsi="Arial"/>
          <w:sz w:val="17"/>
          <w:szCs w:val="17"/>
          <w:color w:val="auto"/>
        </w:rPr>
      </w:pPr>
    </w:p>
    <w:p>
      <w:pPr>
        <w:ind w:right="200"/>
        <w:spacing w:after="0" w:line="261" w:lineRule="auto"/>
        <w:rPr>
          <w:rFonts w:ascii="Arial" w:cs="Arial" w:eastAsia="Arial" w:hAnsi="Arial"/>
          <w:sz w:val="17"/>
          <w:szCs w:val="17"/>
          <w:color w:val="auto"/>
        </w:rPr>
      </w:pPr>
      <w:r>
        <w:rPr>
          <w:rFonts w:ascii="Arial" w:cs="Arial" w:eastAsia="Arial" w:hAnsi="Arial"/>
          <w:sz w:val="18"/>
          <w:szCs w:val="18"/>
          <w:color w:val="auto"/>
        </w:rPr>
        <w:t>omitting any action hereunder, the Trustee (unless other evidence be herein specifically prescribed) may, in the absence of bad faith on its part, rely upon an Officers’ Certificate;</w:t>
      </w:r>
    </w:p>
    <w:p>
      <w:pPr>
        <w:spacing w:after="0" w:line="75" w:lineRule="exact"/>
        <w:rPr>
          <w:rFonts w:ascii="Arial" w:cs="Arial" w:eastAsia="Arial" w:hAnsi="Arial"/>
          <w:sz w:val="17"/>
          <w:szCs w:val="17"/>
          <w:color w:val="auto"/>
        </w:rPr>
      </w:pPr>
    </w:p>
    <w:p>
      <w:pPr>
        <w:ind w:right="360" w:firstLine="8"/>
        <w:spacing w:after="0" w:line="308" w:lineRule="auto"/>
        <w:tabs>
          <w:tab w:leader="none" w:pos="25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38" w:lineRule="exact"/>
        <w:rPr>
          <w:rFonts w:ascii="Arial" w:cs="Arial" w:eastAsia="Arial" w:hAnsi="Arial"/>
          <w:sz w:val="17"/>
          <w:szCs w:val="17"/>
          <w:color w:val="auto"/>
        </w:rPr>
      </w:pPr>
    </w:p>
    <w:p>
      <w:pPr>
        <w:ind w:right="240" w:firstLine="8"/>
        <w:spacing w:after="0" w:line="259"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78" w:lineRule="exact"/>
        <w:rPr>
          <w:rFonts w:ascii="Arial" w:cs="Arial" w:eastAsia="Arial" w:hAnsi="Arial"/>
          <w:sz w:val="18"/>
          <w:szCs w:val="18"/>
          <w:color w:val="auto"/>
        </w:rPr>
      </w:pPr>
    </w:p>
    <w:p>
      <w:pPr>
        <w:ind w:firstLine="8"/>
        <w:spacing w:after="0" w:line="270" w:lineRule="auto"/>
        <w:tabs>
          <w:tab w:leader="none" w:pos="25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69" w:lineRule="exact"/>
        <w:rPr>
          <w:rFonts w:ascii="Arial" w:cs="Arial" w:eastAsia="Arial" w:hAnsi="Arial"/>
          <w:sz w:val="17"/>
          <w:szCs w:val="17"/>
          <w:color w:val="auto"/>
        </w:rPr>
      </w:pPr>
    </w:p>
    <w:p>
      <w:pPr>
        <w:ind w:right="80" w:firstLine="8"/>
        <w:spacing w:after="0" w:line="342" w:lineRule="auto"/>
        <w:tabs>
          <w:tab w:leader="none" w:pos="25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5" w:lineRule="exact"/>
        <w:rPr>
          <w:rFonts w:ascii="Arial" w:cs="Arial" w:eastAsia="Arial" w:hAnsi="Arial"/>
          <w:sz w:val="16"/>
          <w:szCs w:val="16"/>
          <w:color w:val="auto"/>
        </w:rPr>
      </w:pPr>
    </w:p>
    <w:p>
      <w:pPr>
        <w:ind w:right="440" w:firstLine="8"/>
        <w:spacing w:after="0" w:line="277"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400" w:firstLine="8"/>
        <w:spacing w:after="0" w:line="277"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permissive right or power available to the Trustee under this Indenture or any supplement hereto shall not be construed to be a mandatory duty or obligation;</w:t>
      </w:r>
    </w:p>
    <w:p>
      <w:pPr>
        <w:spacing w:after="0" w:line="62" w:lineRule="exact"/>
        <w:rPr>
          <w:rFonts w:ascii="Arial" w:cs="Arial" w:eastAsia="Arial" w:hAnsi="Arial"/>
          <w:sz w:val="18"/>
          <w:szCs w:val="18"/>
          <w:color w:val="auto"/>
        </w:rPr>
      </w:pPr>
    </w:p>
    <w:p>
      <w:pPr>
        <w:ind w:right="200" w:firstLine="8"/>
        <w:spacing w:after="0" w:line="264" w:lineRule="auto"/>
        <w:tabs>
          <w:tab w:leader="none" w:pos="34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73" w:lineRule="exact"/>
        <w:rPr>
          <w:rFonts w:ascii="Arial" w:cs="Arial" w:eastAsia="Arial" w:hAnsi="Arial"/>
          <w:sz w:val="18"/>
          <w:szCs w:val="18"/>
          <w:color w:val="auto"/>
        </w:rPr>
      </w:pPr>
    </w:p>
    <w:p>
      <w:pPr>
        <w:ind w:right="240" w:firstLine="8"/>
        <w:spacing w:after="0" w:line="277" w:lineRule="auto"/>
        <w:tabs>
          <w:tab w:leader="none" w:pos="3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62" w:lineRule="exact"/>
        <w:rPr>
          <w:rFonts w:ascii="Arial" w:cs="Arial" w:eastAsia="Arial" w:hAnsi="Arial"/>
          <w:sz w:val="18"/>
          <w:szCs w:val="18"/>
          <w:color w:val="auto"/>
        </w:rPr>
      </w:pPr>
    </w:p>
    <w:p>
      <w:pPr>
        <w:ind w:right="60" w:firstLine="8"/>
        <w:spacing w:after="0" w:line="264" w:lineRule="auto"/>
        <w:tabs>
          <w:tab w:leader="none" w:pos="34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73" w:lineRule="exact"/>
        <w:rPr>
          <w:rFonts w:ascii="Arial" w:cs="Arial" w:eastAsia="Arial" w:hAnsi="Arial"/>
          <w:sz w:val="18"/>
          <w:szCs w:val="18"/>
          <w:color w:val="auto"/>
        </w:rPr>
      </w:pPr>
    </w:p>
    <w:p>
      <w:pPr>
        <w:ind w:right="380" w:firstLine="8"/>
        <w:spacing w:after="0" w:line="286" w:lineRule="auto"/>
        <w:tabs>
          <w:tab w:leader="none" w:pos="34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49" w:name="page150"/>
    <w:bookmarkEnd w:id="14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Not Responsible for Recitals or Issuance of Securities</w:t>
      </w:r>
      <w:r>
        <w:rPr>
          <w:rFonts w:ascii="Arial" w:cs="Arial" w:eastAsia="Arial" w:hAnsi="Arial"/>
          <w:sz w:val="17"/>
          <w:szCs w:val="17"/>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May Hold Securities</w:t>
      </w:r>
      <w:r>
        <w:rPr>
          <w:rFonts w:ascii="Arial" w:cs="Arial" w:eastAsia="Arial" w:hAnsi="Arial"/>
          <w:sz w:val="16"/>
          <w:szCs w:val="16"/>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Money Held in Trust</w:t>
      </w:r>
      <w:r>
        <w:rPr>
          <w:rFonts w:ascii="Arial" w:cs="Arial" w:eastAsia="Arial" w:hAnsi="Arial"/>
          <w:sz w:val="16"/>
          <w:szCs w:val="16"/>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117" w:lineRule="exact"/>
        <w:rPr>
          <w:sz w:val="20"/>
          <w:szCs w:val="20"/>
          <w:color w:val="auto"/>
        </w:rPr>
      </w:pPr>
    </w:p>
    <w:p>
      <w:pPr>
        <w:ind w:right="140" w:firstLine="8"/>
        <w:spacing w:after="0" w:line="277"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62" w:lineRule="exact"/>
        <w:rPr>
          <w:rFonts w:ascii="Arial" w:cs="Arial" w:eastAsia="Arial" w:hAnsi="Arial"/>
          <w:sz w:val="18"/>
          <w:szCs w:val="18"/>
          <w:color w:val="auto"/>
        </w:rPr>
      </w:pPr>
    </w:p>
    <w:p>
      <w:pPr>
        <w:ind w:right="140" w:firstLine="8"/>
        <w:spacing w:after="0" w:line="259"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78" w:lineRule="exact"/>
        <w:rPr>
          <w:rFonts w:ascii="Arial" w:cs="Arial" w:eastAsia="Arial" w:hAnsi="Arial"/>
          <w:sz w:val="18"/>
          <w:szCs w:val="18"/>
          <w:color w:val="auto"/>
        </w:rPr>
      </w:pPr>
    </w:p>
    <w:p>
      <w:pPr>
        <w:ind w:right="280" w:firstLine="8"/>
        <w:spacing w:after="0" w:line="259"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50" w:name="page151"/>
    <w:bookmarkEnd w:id="15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607. </w:t>
      </w:r>
      <w:r>
        <w:rPr>
          <w:rFonts w:ascii="Arial" w:cs="Arial" w:eastAsia="Arial" w:hAnsi="Arial"/>
          <w:sz w:val="17"/>
          <w:szCs w:val="17"/>
          <w:u w:val="single" w:color="auto"/>
          <w:color w:val="auto"/>
        </w:rPr>
        <w:t>Corporate Trustee Required; Eligibility; Conflicting Interests</w:t>
      </w:r>
      <w:r>
        <w:rPr>
          <w:rFonts w:ascii="Arial" w:cs="Arial" w:eastAsia="Arial" w:hAnsi="Arial"/>
          <w:sz w:val="17"/>
          <w:szCs w:val="17"/>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100" w:firstLine="8"/>
        <w:spacing w:after="0" w:line="277" w:lineRule="auto"/>
        <w:tabs>
          <w:tab w:leader="none" w:pos="2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62" w:lineRule="exact"/>
        <w:rPr>
          <w:rFonts w:ascii="Arial" w:cs="Arial" w:eastAsia="Arial" w:hAnsi="Arial"/>
          <w:sz w:val="18"/>
          <w:szCs w:val="18"/>
          <w:color w:val="auto"/>
        </w:rPr>
      </w:pPr>
    </w:p>
    <w:p>
      <w:pPr>
        <w:jc w:val="both"/>
        <w:ind w:right="180" w:firstLine="8"/>
        <w:spacing w:after="0" w:line="312" w:lineRule="auto"/>
        <w:tabs>
          <w:tab w:leader="none" w:pos="25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38" w:lineRule="exact"/>
        <w:rPr>
          <w:rFonts w:ascii="Arial" w:cs="Arial" w:eastAsia="Arial" w:hAnsi="Arial"/>
          <w:sz w:val="16"/>
          <w:szCs w:val="16"/>
          <w:color w:val="auto"/>
        </w:rPr>
      </w:pPr>
    </w:p>
    <w:p>
      <w:pPr>
        <w:ind w:right="160" w:firstLine="8"/>
        <w:spacing w:after="0" w:line="259" w:lineRule="auto"/>
        <w:tabs>
          <w:tab w:leader="none" w:pos="2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right="260" w:firstLine="8"/>
        <w:spacing w:after="0" w:line="277" w:lineRule="auto"/>
        <w:tabs>
          <w:tab w:leader="none" w:pos="2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right="620" w:firstLine="8"/>
        <w:spacing w:after="0" w:line="277" w:lineRule="auto"/>
        <w:tabs>
          <w:tab w:leader="none" w:pos="2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right="140" w:firstLine="8"/>
        <w:spacing w:after="0" w:line="342" w:lineRule="auto"/>
        <w:tabs>
          <w:tab w:leader="none" w:pos="25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right="80" w:firstLine="8"/>
        <w:spacing w:after="0" w:line="287" w:lineRule="auto"/>
        <w:tabs>
          <w:tab w:leader="none" w:pos="24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51" w:name="page152"/>
    <w:bookmarkEnd w:id="151"/>
    <w:p>
      <w:pPr>
        <w:jc w:val="both"/>
        <w:ind w:right="120" w:firstLine="8"/>
        <w:spacing w:after="0" w:line="312" w:lineRule="auto"/>
        <w:tabs>
          <w:tab w:leader="none" w:pos="225"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40" w:firstLine="8"/>
        <w:spacing w:after="0" w:line="255" w:lineRule="auto"/>
        <w:tabs>
          <w:tab w:leader="none" w:pos="24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9" w:lineRule="exact"/>
        <w:rPr>
          <w:rFonts w:ascii="Arial" w:cs="Arial" w:eastAsia="Arial" w:hAnsi="Arial"/>
          <w:sz w:val="18"/>
          <w:szCs w:val="18"/>
          <w:color w:val="auto"/>
        </w:rPr>
      </w:pPr>
    </w:p>
    <w:p>
      <w:pPr>
        <w:ind w:right="20" w:firstLine="8"/>
        <w:spacing w:after="0" w:line="286" w:lineRule="auto"/>
        <w:tabs>
          <w:tab w:leader="none" w:pos="2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8" w:lineRule="exact"/>
        <w:rPr>
          <w:rFonts w:ascii="Arial" w:cs="Arial" w:eastAsia="Arial" w:hAnsi="Arial"/>
          <w:sz w:val="16"/>
          <w:szCs w:val="16"/>
          <w:color w:val="auto"/>
        </w:rPr>
      </w:pPr>
    </w:p>
    <w:p>
      <w:pPr>
        <w:ind w:right="140" w:firstLine="8"/>
        <w:spacing w:after="0" w:line="308" w:lineRule="auto"/>
        <w:tabs>
          <w:tab w:leader="none" w:pos="2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46" w:lineRule="exact"/>
        <w:rPr>
          <w:rFonts w:ascii="Arial" w:cs="Arial" w:eastAsia="Arial" w:hAnsi="Arial"/>
          <w:sz w:val="17"/>
          <w:szCs w:val="17"/>
          <w:color w:val="auto"/>
        </w:rPr>
      </w:pPr>
    </w:p>
    <w:p>
      <w:pPr>
        <w:ind w:right="240" w:firstLine="8"/>
        <w:spacing w:after="0" w:line="277"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152" w:name="page153"/>
    <w:bookmarkEnd w:id="152"/>
    <w:p>
      <w:pPr>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611.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6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5520" w:type="dxa"/>
            <w:vAlign w:val="bottom"/>
            <w:gridSpan w:val="2"/>
          </w:tcPr>
          <w:p>
            <w:pPr>
              <w:ind w:left="4940"/>
              <w:spacing w:after="0"/>
              <w:rPr>
                <w:sz w:val="20"/>
                <w:szCs w:val="20"/>
                <w:color w:val="auto"/>
              </w:rPr>
            </w:pPr>
            <w:r>
              <w:rPr>
                <w:rFonts w:ascii="Arial" w:cs="Arial" w:eastAsia="Arial" w:hAnsi="Arial"/>
                <w:sz w:val="18"/>
                <w:szCs w:val="18"/>
                <w:color w:val="auto"/>
              </w:rPr>
              <w:t>[</w:t>
            </w:r>
          </w:p>
        </w:tc>
        <w:tc>
          <w:tcPr>
            <w:tcW w:w="53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gridSpan w:val="2"/>
          </w:tcPr>
          <w:p>
            <w:pPr>
              <w:ind w:left="4400"/>
              <w:spacing w:after="0"/>
              <w:rPr>
                <w:sz w:val="20"/>
                <w:szCs w:val="20"/>
                <w:color w:val="auto"/>
              </w:rPr>
            </w:pPr>
            <w:r>
              <w:rPr>
                <w:rFonts w:ascii="Arial" w:cs="Arial" w:eastAsia="Arial" w:hAnsi="Arial"/>
                <w:sz w:val="18"/>
                <w:szCs w:val="18"/>
                <w:color w:val="auto"/>
              </w:rPr>
              <w:t>as Trustee</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540" w:type="dxa"/>
            <w:vAlign w:val="bottom"/>
            <w:tcBorders>
              <w:bottom w:val="single" w:sz="8" w:color="auto"/>
            </w:tcBorders>
          </w:tcPr>
          <w:p>
            <w:pPr>
              <w:spacing w:after="0"/>
              <w:rPr>
                <w:sz w:val="24"/>
                <w:szCs w:val="24"/>
                <w:color w:val="auto"/>
              </w:rPr>
            </w:pPr>
          </w:p>
        </w:tc>
        <w:tc>
          <w:tcPr>
            <w:tcW w:w="4980" w:type="dxa"/>
            <w:vAlign w:val="bottom"/>
          </w:tcPr>
          <w:p>
            <w:pPr>
              <w:ind w:left="44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4"/>
                <w:szCs w:val="24"/>
                <w:color w:val="auto"/>
              </w:rPr>
            </w:pPr>
          </w:p>
        </w:tc>
      </w:tr>
      <w:tr>
        <w:trPr>
          <w:trHeight w:val="21"/>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224"/>
        </w:trPr>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as Authenticating Agent</w:t>
            </w:r>
          </w:p>
        </w:tc>
      </w:tr>
      <w:tr>
        <w:trPr>
          <w:trHeight w:val="391"/>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540" w:type="dxa"/>
            <w:vAlign w:val="bottom"/>
            <w:tcBorders>
              <w:bottom w:val="single" w:sz="8" w:color="auto"/>
            </w:tcBorders>
          </w:tcPr>
          <w:p>
            <w:pPr>
              <w:spacing w:after="0"/>
              <w:rPr>
                <w:sz w:val="24"/>
                <w:szCs w:val="24"/>
                <w:color w:val="auto"/>
              </w:rPr>
            </w:pPr>
          </w:p>
        </w:tc>
        <w:tc>
          <w:tcPr>
            <w:tcW w:w="4980" w:type="dxa"/>
            <w:vAlign w:val="bottom"/>
          </w:tcPr>
          <w:p>
            <w:pPr>
              <w:ind w:left="44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4"/>
                <w:szCs w:val="24"/>
                <w:color w:val="auto"/>
              </w:rPr>
            </w:pPr>
          </w:p>
        </w:tc>
      </w:tr>
      <w:tr>
        <w:trPr>
          <w:trHeight w:val="21"/>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224"/>
        </w:trPr>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as Authenticating Agent</w:t>
            </w:r>
          </w:p>
        </w:tc>
      </w:tr>
      <w:tr>
        <w:trPr>
          <w:trHeight w:val="364"/>
        </w:trPr>
        <w:tc>
          <w:tcPr>
            <w:tcW w:w="540" w:type="dxa"/>
            <w:vAlign w:val="bottom"/>
          </w:tcPr>
          <w:p>
            <w:pPr>
              <w:spacing w:after="0"/>
              <w:rPr>
                <w:sz w:val="24"/>
                <w:szCs w:val="24"/>
                <w:color w:val="auto"/>
              </w:rPr>
            </w:pPr>
          </w:p>
        </w:tc>
        <w:tc>
          <w:tcPr>
            <w:tcW w:w="5520" w:type="dxa"/>
            <w:vAlign w:val="bottom"/>
            <w:gridSpan w:val="2"/>
          </w:tcPr>
          <w:p>
            <w:pPr>
              <w:jc w:val="right"/>
              <w:ind w:right="170"/>
              <w:spacing w:after="0"/>
              <w:rPr>
                <w:sz w:val="20"/>
                <w:szCs w:val="20"/>
                <w:color w:val="auto"/>
              </w:rPr>
            </w:pPr>
            <w:r>
              <w:rPr>
                <w:rFonts w:ascii="Arial" w:cs="Arial" w:eastAsia="Arial" w:hAnsi="Arial"/>
                <w:sz w:val="18"/>
                <w:szCs w:val="18"/>
                <w:color w:val="auto"/>
              </w:rPr>
              <w:t>35</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612. </w:t>
      </w:r>
      <w:r>
        <w:rPr>
          <w:rFonts w:ascii="Arial" w:cs="Arial" w:eastAsia="Arial" w:hAnsi="Arial"/>
          <w:sz w:val="18"/>
          <w:szCs w:val="18"/>
          <w:u w:val="single" w:color="auto"/>
          <w:color w:val="auto"/>
        </w:rPr>
        <w:t>Certain Duties and Responsibilities of the Trustee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With respect to the Securities of any series, except during the continuance of an Event of Default with respect to the Securities of such series:</w:t>
      </w:r>
    </w:p>
    <w:p>
      <w:pPr>
        <w:spacing w:after="0" w:line="129" w:lineRule="exact"/>
        <w:rPr>
          <w:sz w:val="20"/>
          <w:szCs w:val="20"/>
          <w:color w:val="auto"/>
        </w:rPr>
      </w:pPr>
    </w:p>
    <w:p>
      <w:pPr>
        <w:ind w:right="180" w:firstLine="8"/>
        <w:spacing w:after="0" w:line="277"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right="120" w:firstLine="8"/>
        <w:spacing w:after="0" w:line="302" w:lineRule="auto"/>
        <w:tabs>
          <w:tab w:leader="none" w:pos="2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46" w:lineRule="exact"/>
        <w:rPr>
          <w:sz w:val="20"/>
          <w:szCs w:val="20"/>
          <w:color w:val="auto"/>
        </w:rPr>
      </w:pPr>
    </w:p>
    <w:p>
      <w:pPr>
        <w:ind w:right="20" w:firstLine="8"/>
        <w:spacing w:after="0" w:line="264" w:lineRule="auto"/>
        <w:tabs>
          <w:tab w:leader="none" w:pos="2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73" w:lineRule="exact"/>
        <w:rPr>
          <w:rFonts w:ascii="Arial" w:cs="Arial" w:eastAsia="Arial" w:hAnsi="Arial"/>
          <w:sz w:val="18"/>
          <w:szCs w:val="18"/>
          <w:color w:val="auto"/>
        </w:rPr>
      </w:pPr>
    </w:p>
    <w:p>
      <w:pPr>
        <w:ind w:right="320" w:firstLine="8"/>
        <w:spacing w:after="0" w:line="277" w:lineRule="auto"/>
        <w:tabs>
          <w:tab w:leader="none" w:pos="2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sz w:val="20"/>
          <w:szCs w:val="20"/>
          <w:color w:val="auto"/>
        </w:rPr>
      </w:pPr>
    </w:p>
    <w:p>
      <w:pPr>
        <w:ind w:left="260" w:hanging="252"/>
        <w:spacing w:after="0"/>
        <w:tabs>
          <w:tab w:leader="none" w:pos="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117" w:lineRule="exact"/>
        <w:rPr>
          <w:rFonts w:ascii="Arial" w:cs="Arial" w:eastAsia="Arial" w:hAnsi="Arial"/>
          <w:sz w:val="18"/>
          <w:szCs w:val="18"/>
          <w:color w:val="auto"/>
        </w:rPr>
      </w:pPr>
    </w:p>
    <w:p>
      <w:pPr>
        <w:ind w:right="620" w:firstLine="8"/>
        <w:spacing w:after="0" w:line="277" w:lineRule="auto"/>
        <w:tabs>
          <w:tab w:leader="none" w:pos="2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firstLine="8"/>
        <w:spacing w:after="0" w:line="312" w:lineRule="auto"/>
        <w:tabs>
          <w:tab w:leader="none" w:pos="25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38" w:lineRule="exact"/>
        <w:rPr>
          <w:rFonts w:ascii="Arial" w:cs="Arial" w:eastAsia="Arial" w:hAnsi="Arial"/>
          <w:sz w:val="16"/>
          <w:szCs w:val="16"/>
          <w:color w:val="auto"/>
        </w:rPr>
      </w:pPr>
    </w:p>
    <w:p>
      <w:pPr>
        <w:ind w:right="80" w:firstLine="8"/>
        <w:spacing w:after="0" w:line="257" w:lineRule="auto"/>
        <w:tabs>
          <w:tab w:leader="none" w:pos="2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80" w:lineRule="exact"/>
        <w:rPr>
          <w:sz w:val="20"/>
          <w:szCs w:val="20"/>
          <w:color w:val="auto"/>
        </w:rPr>
      </w:pPr>
    </w:p>
    <w:p>
      <w:pPr>
        <w:ind w:right="180" w:firstLine="8"/>
        <w:spacing w:after="0" w:line="277" w:lineRule="auto"/>
        <w:tabs>
          <w:tab w:leader="none" w:pos="2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62" w:lineRule="exact"/>
        <w:rPr>
          <w:rFonts w:ascii="Arial" w:cs="Arial" w:eastAsia="Arial" w:hAnsi="Arial"/>
          <w:sz w:val="18"/>
          <w:szCs w:val="18"/>
          <w:color w:val="auto"/>
        </w:rPr>
      </w:pPr>
    </w:p>
    <w:p>
      <w:pPr>
        <w:ind w:right="460" w:firstLine="8"/>
        <w:spacing w:after="0" w:line="277" w:lineRule="auto"/>
        <w:tabs>
          <w:tab w:leader="none" w:pos="2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Disclosure of Names and Addresses of Holders</w:t>
      </w:r>
      <w:r>
        <w:rPr>
          <w:rFonts w:ascii="Arial" w:cs="Arial" w:eastAsia="Arial" w:hAnsi="Arial"/>
          <w:sz w:val="16"/>
          <w:szCs w:val="16"/>
          <w:color w:val="auto"/>
        </w:rPr>
        <w:t>. Every Holder of Securities or coupons, by receiving and holding the same, agrees with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and the Trustee that neither the Company nor the Trustee nor any Authenticating Agent nor any Paying Agent nor any Security Registrar shall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held accountable by reason of the disclosure of any information as to the names and addresses of the Holders of Securities in accordance with TIA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312, regardless of the source from which such information was derived, and that the Trustee shall not be held accountable by reason of mailing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pursuant to a request made under TIA Section 312(b).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54" w:name="page155"/>
    <w:bookmarkEnd w:id="154"/>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702. </w:t>
      </w:r>
      <w:r>
        <w:rPr>
          <w:rFonts w:ascii="Arial" w:cs="Arial" w:eastAsia="Arial" w:hAnsi="Arial"/>
          <w:sz w:val="16"/>
          <w:szCs w:val="16"/>
          <w:u w:val="single" w:color="auto"/>
          <w:color w:val="auto"/>
        </w:rPr>
        <w:t>Reports by Trustee</w:t>
      </w:r>
      <w:r>
        <w:rPr>
          <w:rFonts w:ascii="Arial" w:cs="Arial" w:eastAsia="Arial" w:hAnsi="Arial"/>
          <w:sz w:val="16"/>
          <w:szCs w:val="16"/>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w:t>
      </w:r>
    </w:p>
    <w:p>
      <w:pPr>
        <w:ind w:right="40"/>
        <w:spacing w:after="0" w:line="277" w:lineRule="auto"/>
        <w:rPr>
          <w:sz w:val="20"/>
          <w:szCs w:val="20"/>
          <w:color w:val="auto"/>
        </w:rPr>
      </w:pPr>
      <w:r>
        <w:rPr>
          <w:rFonts w:ascii="Arial" w:cs="Arial" w:eastAsia="Arial" w:hAnsi="Arial"/>
          <w:sz w:val="17"/>
          <w:szCs w:val="17"/>
          <w:color w:val="auto"/>
        </w:rPr>
        <w:t>on , 201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will:</w:t>
      </w:r>
    </w:p>
    <w:p>
      <w:pPr>
        <w:spacing w:after="0" w:line="117" w:lineRule="exact"/>
        <w:rPr>
          <w:sz w:val="20"/>
          <w:szCs w:val="20"/>
          <w:color w:val="auto"/>
        </w:rPr>
      </w:pPr>
    </w:p>
    <w:p>
      <w:pPr>
        <w:ind w:firstLine="8"/>
        <w:spacing w:after="0" w:line="271" w:lineRule="auto"/>
        <w:tabs>
          <w:tab w:leader="none" w:pos="2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70" w:lineRule="exact"/>
        <w:rPr>
          <w:rFonts w:ascii="Arial" w:cs="Arial" w:eastAsia="Arial" w:hAnsi="Arial"/>
          <w:sz w:val="17"/>
          <w:szCs w:val="17"/>
          <w:color w:val="auto"/>
        </w:rPr>
      </w:pPr>
    </w:p>
    <w:p>
      <w:pPr>
        <w:ind w:right="100" w:firstLine="8"/>
        <w:spacing w:after="0" w:line="264" w:lineRule="auto"/>
        <w:tabs>
          <w:tab w:leader="none" w:pos="2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73" w:lineRule="exact"/>
        <w:rPr>
          <w:rFonts w:ascii="Arial" w:cs="Arial" w:eastAsia="Arial" w:hAnsi="Arial"/>
          <w:sz w:val="18"/>
          <w:szCs w:val="18"/>
          <w:color w:val="auto"/>
        </w:rPr>
      </w:pPr>
    </w:p>
    <w:p>
      <w:pPr>
        <w:ind w:right="80" w:firstLine="8"/>
        <w:spacing w:after="0" w:line="264" w:lineRule="auto"/>
        <w:tabs>
          <w:tab w:leader="none" w:pos="2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Company to Furnish Trustee Names and Addresses of Holder</w:t>
      </w:r>
      <w:r>
        <w:rPr>
          <w:rFonts w:ascii="Arial" w:cs="Arial" w:eastAsia="Arial" w:hAnsi="Arial"/>
          <w:sz w:val="17"/>
          <w:szCs w:val="17"/>
          <w:color w:val="auto"/>
        </w:rPr>
        <w:t>. The Company will furnish or cause to be furnished to the Trustee:</w:t>
      </w:r>
    </w:p>
    <w:p>
      <w:pPr>
        <w:spacing w:after="0" w:line="237" w:lineRule="exact"/>
        <w:rPr>
          <w:sz w:val="20"/>
          <w:szCs w:val="20"/>
          <w:color w:val="auto"/>
        </w:rPr>
      </w:pPr>
    </w:p>
    <w:p>
      <w:pPr>
        <w:ind w:right="40" w:firstLine="8"/>
        <w:spacing w:after="0" w:line="259" w:lineRule="auto"/>
        <w:tabs>
          <w:tab w:leader="none" w:pos="2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6" w:lineRule="exact"/>
        <w:rPr>
          <w:rFonts w:ascii="Arial" w:cs="Arial" w:eastAsia="Arial" w:hAnsi="Arial"/>
          <w:sz w:val="18"/>
          <w:szCs w:val="18"/>
          <w:color w:val="auto"/>
        </w:rPr>
      </w:pPr>
    </w:p>
    <w:p>
      <w:pPr>
        <w:ind w:right="220" w:firstLine="8"/>
        <w:spacing w:after="0" w:line="277" w:lineRule="auto"/>
        <w:tabs>
          <w:tab w:leader="none" w:pos="2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is the Security Registrar, no such list shall be required to be furnished.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EIGHT—CONSOLIDATION, MERGER, SALE, LEASE OR CONVEYANCE</w:t>
      </w:r>
    </w:p>
    <w:p>
      <w:pPr>
        <w:spacing w:after="0" w:line="225" w:lineRule="exact"/>
        <w:rPr>
          <w:sz w:val="20"/>
          <w:szCs w:val="20"/>
          <w:color w:val="auto"/>
        </w:rPr>
      </w:pPr>
    </w:p>
    <w:p>
      <w:pPr>
        <w:jc w:val="both"/>
        <w:ind w:right="260"/>
        <w:spacing w:after="0" w:line="29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Consolidations and Mergers of Company and Sales, Leases and Conveyances Permitted Subject to Certain Conditions</w:t>
      </w:r>
      <w:r>
        <w:rPr>
          <w:rFonts w:ascii="Arial" w:cs="Arial" w:eastAsia="Arial" w:hAnsi="Arial"/>
          <w:sz w:val="16"/>
          <w:szCs w:val="16"/>
          <w:color w:val="auto"/>
        </w:rPr>
        <w:t>. The Company may consolidate with, or sell, lease or convey all or substantially all of its assets to, or merge with or into any other corporation, provided that in any such case,</w:t>
      </w:r>
    </w:p>
    <w:p>
      <w:pPr>
        <w:ind w:right="40" w:firstLine="8"/>
        <w:spacing w:after="0" w:line="271" w:lineRule="auto"/>
        <w:tabs>
          <w:tab w:leader="none" w:pos="25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55" w:name="page156"/>
    <w:bookmarkEnd w:id="155"/>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8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Rights and Duties of Successor Corporation</w:t>
      </w:r>
      <w:r>
        <w:rPr>
          <w:rFonts w:ascii="Arial" w:cs="Arial" w:eastAsia="Arial" w:hAnsi="Arial"/>
          <w:sz w:val="16"/>
          <w:szCs w:val="16"/>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6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NINE—SUPPLEMENTAL INDENTURES</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73" w:lineRule="exact"/>
        <w:rPr>
          <w:sz w:val="20"/>
          <w:szCs w:val="20"/>
          <w:color w:val="auto"/>
        </w:rPr>
      </w:pPr>
    </w:p>
    <w:p>
      <w:pPr>
        <w:ind w:firstLine="8"/>
        <w:spacing w:after="0" w:line="277" w:lineRule="auto"/>
        <w:tabs>
          <w:tab w:leader="none" w:pos="2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62" w:lineRule="exact"/>
        <w:rPr>
          <w:rFonts w:ascii="Arial" w:cs="Arial" w:eastAsia="Arial" w:hAnsi="Arial"/>
          <w:sz w:val="18"/>
          <w:szCs w:val="18"/>
          <w:color w:val="auto"/>
        </w:rPr>
      </w:pPr>
    </w:p>
    <w:p>
      <w:pPr>
        <w:ind w:right="240" w:firstLine="8"/>
        <w:spacing w:after="0" w:line="264" w:lineRule="auto"/>
        <w:tabs>
          <w:tab w:leader="none" w:pos="2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73" w:lineRule="exact"/>
        <w:rPr>
          <w:rFonts w:ascii="Arial" w:cs="Arial" w:eastAsia="Arial" w:hAnsi="Arial"/>
          <w:sz w:val="18"/>
          <w:szCs w:val="18"/>
          <w:color w:val="auto"/>
        </w:rPr>
      </w:pPr>
    </w:p>
    <w:p>
      <w:pPr>
        <w:ind w:right="180" w:firstLine="8"/>
        <w:spacing w:after="0" w:line="273" w:lineRule="auto"/>
        <w:tabs>
          <w:tab w:leader="none" w:pos="25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70" w:lineRule="exact"/>
        <w:rPr>
          <w:rFonts w:ascii="Arial" w:cs="Arial" w:eastAsia="Arial" w:hAnsi="Arial"/>
          <w:sz w:val="17"/>
          <w:szCs w:val="17"/>
          <w:color w:val="auto"/>
        </w:rPr>
      </w:pPr>
    </w:p>
    <w:p>
      <w:pPr>
        <w:ind w:right="160" w:firstLine="8"/>
        <w:spacing w:after="0" w:line="257" w:lineRule="auto"/>
        <w:tabs>
          <w:tab w:leader="none" w:pos="2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any series or any related coupons in any material respect;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156" w:name="page157"/>
    <w:bookmarkEnd w:id="156"/>
    <w:p>
      <w:pPr>
        <w:ind w:right="140" w:firstLine="8"/>
        <w:spacing w:after="0" w:line="342" w:lineRule="auto"/>
        <w:tabs>
          <w:tab w:leader="none" w:pos="255"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change or eliminate any of the provisions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5" w:lineRule="exact"/>
        <w:rPr>
          <w:rFonts w:ascii="Arial" w:cs="Arial" w:eastAsia="Arial" w:hAnsi="Arial"/>
          <w:sz w:val="16"/>
          <w:szCs w:val="16"/>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and any related coupons as permitted or contemplated by Sections 201 and 301; or</w:t>
      </w:r>
    </w:p>
    <w:p>
      <w:pPr>
        <w:spacing w:after="0" w:line="117" w:lineRule="exact"/>
        <w:rPr>
          <w:rFonts w:ascii="Arial" w:cs="Arial" w:eastAsia="Arial" w:hAnsi="Arial"/>
          <w:sz w:val="18"/>
          <w:szCs w:val="18"/>
          <w:color w:val="auto"/>
        </w:rPr>
      </w:pPr>
    </w:p>
    <w:p>
      <w:pPr>
        <w:ind w:firstLine="8"/>
        <w:spacing w:after="0" w:line="264"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3" w:lineRule="exact"/>
        <w:rPr>
          <w:rFonts w:ascii="Arial" w:cs="Arial" w:eastAsia="Arial" w:hAnsi="Arial"/>
          <w:sz w:val="18"/>
          <w:szCs w:val="18"/>
          <w:color w:val="auto"/>
        </w:rPr>
      </w:pPr>
    </w:p>
    <w:p>
      <w:pPr>
        <w:ind w:right="180" w:firstLine="8"/>
        <w:spacing w:after="0" w:line="312" w:lineRule="auto"/>
        <w:tabs>
          <w:tab w:leader="none" w:pos="25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provisions shall not adversely affect the interests of the Holders of Securities of any series or any related coupons in any material respect; or</w:t>
      </w:r>
    </w:p>
    <w:p>
      <w:pPr>
        <w:spacing w:after="0" w:line="38" w:lineRule="exact"/>
        <w:rPr>
          <w:rFonts w:ascii="Arial" w:cs="Arial" w:eastAsia="Arial" w:hAnsi="Arial"/>
          <w:sz w:val="16"/>
          <w:szCs w:val="16"/>
          <w:color w:val="auto"/>
        </w:rPr>
      </w:pPr>
    </w:p>
    <w:p>
      <w:pPr>
        <w:ind w:left="360" w:hanging="352"/>
        <w:spacing w:after="0"/>
        <w:tabs>
          <w:tab w:leader="none" w:pos="3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to supplement any of the provisions of this Indenture to such extent as shall be necessary to permit or facilitate the Defeasance and discharge of any</w:t>
      </w:r>
    </w:p>
    <w:p>
      <w:pPr>
        <w:spacing w:after="0" w:line="46"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series of Securities pursuant to Sections 401, 1402 and 1403;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and any related coupons or any other series of Securities in any material respect; or</w:t>
      </w:r>
    </w:p>
    <w:p>
      <w:pPr>
        <w:spacing w:after="0" w:line="75" w:lineRule="exact"/>
        <w:rPr>
          <w:rFonts w:ascii="Arial" w:cs="Arial" w:eastAsia="Arial" w:hAnsi="Arial"/>
          <w:sz w:val="16"/>
          <w:szCs w:val="16"/>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make provisions with respect to Holders’ rights of conversion with respect to any series of Securities pursuant to Article Seventeen.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85" w:lineRule="exact"/>
        <w:rPr>
          <w:sz w:val="20"/>
          <w:szCs w:val="20"/>
          <w:color w:val="auto"/>
        </w:rPr>
      </w:pPr>
    </w:p>
    <w:p>
      <w:pPr>
        <w:ind w:right="40" w:firstLine="8"/>
        <w:spacing w:after="0" w:line="270" w:lineRule="auto"/>
        <w:tabs>
          <w:tab w:leader="none" w:pos="25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69" w:lineRule="exact"/>
        <w:rPr>
          <w:rFonts w:ascii="Arial" w:cs="Arial" w:eastAsia="Arial" w:hAnsi="Arial"/>
          <w:sz w:val="17"/>
          <w:szCs w:val="17"/>
          <w:color w:val="auto"/>
        </w:rPr>
      </w:pPr>
    </w:p>
    <w:p>
      <w:pPr>
        <w:ind w:right="60" w:firstLine="8"/>
        <w:spacing w:after="0" w:line="312" w:lineRule="auto"/>
        <w:tabs>
          <w:tab w:leader="none" w:pos="25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38" w:lineRule="exact"/>
        <w:rPr>
          <w:rFonts w:ascii="Arial" w:cs="Arial" w:eastAsia="Arial" w:hAnsi="Arial"/>
          <w:sz w:val="16"/>
          <w:szCs w:val="16"/>
          <w:color w:val="auto"/>
        </w:rPr>
      </w:pPr>
    </w:p>
    <w:p>
      <w:pPr>
        <w:ind w:right="120" w:firstLine="8"/>
        <w:spacing w:after="0" w:line="257" w:lineRule="auto"/>
        <w:tabs>
          <w:tab w:leader="none" w:pos="25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157" w:name="page158"/>
    <w:bookmarkEnd w:id="15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TEN—COVENANTS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Payment of Principal, Premium or Make-Whole Amount, if any; and Interest</w:t>
      </w:r>
      <w:r>
        <w:rPr>
          <w:rFonts w:ascii="Arial" w:cs="Arial" w:eastAsia="Arial" w:hAnsi="Arial"/>
          <w:sz w:val="16"/>
          <w:szCs w:val="16"/>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6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158" w:name="page159"/>
    <w:bookmarkEnd w:id="15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7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4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159" w:name="page160"/>
    <w:bookmarkEnd w:id="15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62" w:lineRule="exact"/>
        <w:rPr>
          <w:sz w:val="20"/>
          <w:szCs w:val="20"/>
          <w:color w:val="auto"/>
        </w:rPr>
      </w:pPr>
    </w:p>
    <w:p>
      <w:pPr>
        <w:ind w:right="180" w:firstLine="8"/>
        <w:spacing w:after="0" w:line="277"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62" w:lineRule="exact"/>
        <w:rPr>
          <w:rFonts w:ascii="Arial" w:cs="Arial" w:eastAsia="Arial" w:hAnsi="Arial"/>
          <w:sz w:val="18"/>
          <w:szCs w:val="18"/>
          <w:color w:val="auto"/>
        </w:rPr>
      </w:pPr>
    </w:p>
    <w:p>
      <w:pPr>
        <w:ind w:right="380" w:firstLine="8"/>
        <w:spacing w:after="0" w:line="277"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62" w:lineRule="exact"/>
        <w:rPr>
          <w:rFonts w:ascii="Arial" w:cs="Arial" w:eastAsia="Arial" w:hAnsi="Arial"/>
          <w:sz w:val="18"/>
          <w:szCs w:val="18"/>
          <w:color w:val="auto"/>
        </w:rPr>
      </w:pPr>
    </w:p>
    <w:p>
      <w:pPr>
        <w:ind w:right="320" w:firstLine="8"/>
        <w:spacing w:after="0" w:line="277"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7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Subject to Article Eight, the Company will do or cause to be done all things necessary to preserve and keep in full force and effect its corporate existence, all material rights (by articles of incorporation, by-laws and statute) and material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xml:space="preserve">. The Company will cause all of its material properties used or useful in the conduct of its business 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and its Subsidiaries shall not be prevented from</w:t>
      </w:r>
    </w:p>
    <w:p>
      <w:pPr>
        <w:spacing w:after="0" w:line="5" w:lineRule="exact"/>
        <w:rPr>
          <w:sz w:val="20"/>
          <w:szCs w:val="20"/>
          <w:color w:val="auto"/>
        </w:rPr>
      </w:pPr>
    </w:p>
    <w:p>
      <w:pPr>
        <w:ind w:right="280" w:firstLine="8"/>
        <w:spacing w:after="0" w:line="323" w:lineRule="auto"/>
        <w:tabs>
          <w:tab w:leader="none" w:pos="21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160" w:name="page161"/>
    <w:bookmarkEnd w:id="160"/>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1006.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will cause each of its and its Subsidiaries’ insurable properties to be insured against loss or damage in an amount deemed reasonable by the Board of Directors with insurers of recognized responsibility.</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 xml:space="preserve">. The Company will pay 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5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Statement as to Compliance</w:t>
      </w:r>
      <w:r>
        <w:rPr>
          <w:rFonts w:ascii="Arial" w:cs="Arial" w:eastAsia="Arial" w:hAnsi="Arial"/>
          <w:sz w:val="16"/>
          <w:szCs w:val="16"/>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ELEVEN—REDEMPTION OF SECURITIES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161" w:name="page162"/>
    <w:bookmarkEnd w:id="161"/>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260" w:hanging="252"/>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117" w:lineRule="exact"/>
        <w:rPr>
          <w:rFonts w:ascii="Arial" w:cs="Arial" w:eastAsia="Arial" w:hAnsi="Arial"/>
          <w:sz w:val="18"/>
          <w:szCs w:val="18"/>
          <w:color w:val="auto"/>
        </w:rPr>
      </w:pPr>
    </w:p>
    <w:p>
      <w:pPr>
        <w:ind w:right="180" w:firstLine="8"/>
        <w:spacing w:after="0" w:line="277" w:lineRule="auto"/>
        <w:tabs>
          <w:tab w:leader="none" w:pos="2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73" w:lineRule="exact"/>
        <w:rPr>
          <w:rFonts w:ascii="Arial" w:cs="Arial" w:eastAsia="Arial" w:hAnsi="Arial"/>
          <w:sz w:val="18"/>
          <w:szCs w:val="18"/>
          <w:color w:val="auto"/>
        </w:rPr>
      </w:pPr>
    </w:p>
    <w:p>
      <w:pPr>
        <w:jc w:val="both"/>
        <w:ind w:right="80" w:firstLine="8"/>
        <w:spacing w:after="0" w:line="264" w:lineRule="auto"/>
        <w:tabs>
          <w:tab w:leader="none" w:pos="2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73" w:lineRule="exact"/>
        <w:rPr>
          <w:rFonts w:ascii="Arial" w:cs="Arial" w:eastAsia="Arial" w:hAnsi="Arial"/>
          <w:sz w:val="18"/>
          <w:szCs w:val="18"/>
          <w:color w:val="auto"/>
        </w:rPr>
      </w:pPr>
    </w:p>
    <w:p>
      <w:pPr>
        <w:ind w:right="20" w:firstLine="8"/>
        <w:spacing w:after="0" w:line="308" w:lineRule="auto"/>
        <w:tabs>
          <w:tab w:leader="none" w:pos="25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38" w:lineRule="exact"/>
        <w:rPr>
          <w:rFonts w:ascii="Arial" w:cs="Arial" w:eastAsia="Arial" w:hAnsi="Arial"/>
          <w:sz w:val="17"/>
          <w:szCs w:val="17"/>
          <w:color w:val="auto"/>
        </w:rPr>
      </w:pPr>
    </w:p>
    <w:p>
      <w:pPr>
        <w:ind w:left="260" w:hanging="252"/>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rFonts w:ascii="Arial" w:cs="Arial" w:eastAsia="Arial" w:hAnsi="Arial"/>
          <w:sz w:val="18"/>
          <w:szCs w:val="18"/>
          <w:color w:val="auto"/>
        </w:rPr>
      </w:pPr>
    </w:p>
    <w:p>
      <w:pPr>
        <w:jc w:val="both"/>
        <w:ind w:right="340" w:firstLine="8"/>
        <w:spacing w:after="0" w:line="286" w:lineRule="auto"/>
        <w:tabs>
          <w:tab w:leader="none" w:pos="25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57" w:lineRule="exact"/>
        <w:rPr>
          <w:rFonts w:ascii="Arial" w:cs="Arial" w:eastAsia="Arial" w:hAnsi="Arial"/>
          <w:sz w:val="17"/>
          <w:szCs w:val="17"/>
          <w:color w:val="auto"/>
        </w:rPr>
      </w:pPr>
    </w:p>
    <w:p>
      <w:pPr>
        <w:ind w:firstLine="8"/>
        <w:spacing w:after="0" w:line="264" w:lineRule="auto"/>
        <w:tabs>
          <w:tab w:leader="none" w:pos="2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73" w:lineRule="exact"/>
        <w:rPr>
          <w:rFonts w:ascii="Arial" w:cs="Arial" w:eastAsia="Arial" w:hAnsi="Arial"/>
          <w:sz w:val="18"/>
          <w:szCs w:val="18"/>
          <w:color w:val="auto"/>
        </w:rPr>
      </w:pPr>
    </w:p>
    <w:p>
      <w:pPr>
        <w:ind w:left="360" w:hanging="352"/>
        <w:spacing w:after="0"/>
        <w:tabs>
          <w:tab w:leader="none" w:pos="3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CUSIP number of such Security, if any, and</w:t>
      </w:r>
    </w:p>
    <w:p>
      <w:pPr>
        <w:spacing w:after="0" w:line="117" w:lineRule="exact"/>
        <w:rPr>
          <w:rFonts w:ascii="Arial" w:cs="Arial" w:eastAsia="Arial" w:hAnsi="Arial"/>
          <w:sz w:val="18"/>
          <w:szCs w:val="18"/>
          <w:color w:val="auto"/>
        </w:rPr>
      </w:pPr>
    </w:p>
    <w:p>
      <w:pPr>
        <w:ind w:right="20" w:firstLine="8"/>
        <w:spacing w:after="0" w:line="264" w:lineRule="auto"/>
        <w:tabs>
          <w:tab w:leader="none" w:pos="33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162" w:name="page163"/>
    <w:bookmarkEnd w:id="162"/>
    <w:p>
      <w:pPr>
        <w:jc w:val="both"/>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TWELVE—SINKING FUNDS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163" w:name="page164"/>
    <w:bookmarkEnd w:id="16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THIRTEEN—REPAYMENT AT THE OPTION OF HOLDERS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u w:val="single" w:color="auto"/>
          <w:color w:val="auto"/>
        </w:rPr>
        <w:t>Repayment of Securities</w:t>
      </w:r>
      <w:r>
        <w:rPr>
          <w:rFonts w:ascii="Arial" w:cs="Arial" w:eastAsia="Arial" w:hAnsi="Arial"/>
          <w:sz w:val="17"/>
          <w:szCs w:val="17"/>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u w:val="single" w:color="auto"/>
          <w:color w:val="auto"/>
        </w:rPr>
        <w:t>Exercise of Option</w:t>
      </w:r>
      <w:r>
        <w:rPr>
          <w:rFonts w:ascii="Arial" w:cs="Arial" w:eastAsia="Arial" w:hAnsi="Arial"/>
          <w:sz w:val="17"/>
          <w:szCs w:val="17"/>
          <w:color w:val="auto"/>
        </w:rPr>
        <w:t>.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164" w:name="page165"/>
    <w:bookmarkEnd w:id="164"/>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7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When Securities Presented for Repayment Become Due and Payable</w:t>
      </w:r>
      <w:r>
        <w:rPr>
          <w:rFonts w:ascii="Arial" w:cs="Arial" w:eastAsia="Arial" w:hAnsi="Arial"/>
          <w:sz w:val="16"/>
          <w:szCs w:val="16"/>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Securities Repaid in Part</w:t>
      </w:r>
      <w:r>
        <w:rPr>
          <w:rFonts w:ascii="Arial" w:cs="Arial" w:eastAsia="Arial" w:hAnsi="Arial"/>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FOURTEEN—DEFEASANCE AND COVENANT DEFEASANCE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Applicability of Article; Company’s Option to Effect Defeasance or Covenant Defeasance</w:t>
      </w:r>
      <w:r>
        <w:rPr>
          <w:rFonts w:ascii="Arial" w:cs="Arial" w:eastAsia="Arial" w:hAnsi="Arial"/>
          <w:sz w:val="17"/>
          <w:szCs w:val="17"/>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w:t>
      </w:r>
    </w:p>
    <w:p>
      <w:pPr>
        <w:spacing w:after="0" w:line="4" w:lineRule="exact"/>
        <w:rPr>
          <w:sz w:val="20"/>
          <w:szCs w:val="20"/>
          <w:color w:val="auto"/>
        </w:rPr>
      </w:pPr>
    </w:p>
    <w:p>
      <w:pPr>
        <w:ind w:right="120" w:firstLine="8"/>
        <w:spacing w:after="0" w:line="261" w:lineRule="auto"/>
        <w:tabs>
          <w:tab w:leader="none" w:pos="2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Conditions to Defeasance or Covenant Defeasance</w:t>
      </w:r>
      <w:r>
        <w:rPr>
          <w:rFonts w:ascii="Arial" w:cs="Arial" w:eastAsia="Arial" w:hAnsi="Arial"/>
          <w:sz w:val="18"/>
          <w:szCs w:val="18"/>
          <w:color w:val="auto"/>
        </w:rPr>
        <w:t>. The following shall be the conditions to application of Section 1402 or Section 1403 to any Outstanding Securities of or within a series and any coupons appertaining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66" w:name="page167"/>
    <w:bookmarkEnd w:id="166"/>
    <w:p>
      <w:pPr>
        <w:ind w:right="240" w:firstLine="8"/>
        <w:spacing w:after="0" w:line="288" w:lineRule="auto"/>
        <w:tabs>
          <w:tab w:leader="none" w:pos="245"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w:t>
      </w:r>
    </w:p>
    <w:p>
      <w:pPr>
        <w:spacing w:after="0" w:line="267" w:lineRule="auto"/>
        <w:rPr>
          <w:rFonts w:ascii="Arial" w:cs="Arial" w:eastAsia="Arial" w:hAnsi="Arial"/>
          <w:sz w:val="16"/>
          <w:szCs w:val="16"/>
          <w:color w:val="auto"/>
        </w:rPr>
      </w:pPr>
      <w:r>
        <w:rPr>
          <w:rFonts w:ascii="Arial" w:cs="Arial" w:eastAsia="Arial" w:hAnsi="Arial"/>
          <w:sz w:val="17"/>
          <w:szCs w:val="17"/>
          <w:color w:val="auto"/>
        </w:rPr>
        <w:t>(1)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77" w:lineRule="exact"/>
        <w:rPr>
          <w:rFonts w:ascii="Arial" w:cs="Arial" w:eastAsia="Arial" w:hAnsi="Arial"/>
          <w:sz w:val="16"/>
          <w:szCs w:val="16"/>
          <w:color w:val="auto"/>
        </w:rPr>
      </w:pPr>
    </w:p>
    <w:p>
      <w:pPr>
        <w:ind w:right="360" w:firstLine="8"/>
        <w:spacing w:after="0" w:line="277" w:lineRule="auto"/>
        <w:tabs>
          <w:tab w:leader="none" w:pos="2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62" w:lineRule="exact"/>
        <w:rPr>
          <w:rFonts w:ascii="Arial" w:cs="Arial" w:eastAsia="Arial" w:hAnsi="Arial"/>
          <w:sz w:val="18"/>
          <w:szCs w:val="18"/>
          <w:color w:val="auto"/>
        </w:rPr>
      </w:pPr>
    </w:p>
    <w:p>
      <w:pPr>
        <w:ind w:right="20" w:firstLine="8"/>
        <w:spacing w:after="0" w:line="259" w:lineRule="auto"/>
        <w:tabs>
          <w:tab w:leader="none" w:pos="24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78" w:lineRule="exact"/>
        <w:rPr>
          <w:rFonts w:ascii="Arial" w:cs="Arial" w:eastAsia="Arial" w:hAnsi="Arial"/>
          <w:sz w:val="18"/>
          <w:szCs w:val="18"/>
          <w:color w:val="auto"/>
        </w:rPr>
      </w:pPr>
    </w:p>
    <w:p>
      <w:pPr>
        <w:ind w:right="320" w:firstLine="8"/>
        <w:spacing w:after="0" w:line="255" w:lineRule="auto"/>
        <w:tabs>
          <w:tab w:leader="none" w:pos="2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5" w:lineRule="exact"/>
        <w:rPr>
          <w:rFonts w:ascii="Arial" w:cs="Arial" w:eastAsia="Arial" w:hAnsi="Arial"/>
          <w:sz w:val="18"/>
          <w:szCs w:val="18"/>
          <w:color w:val="auto"/>
        </w:rPr>
      </w:pPr>
    </w:p>
    <w:p>
      <w:pPr>
        <w:ind w:right="20" w:firstLine="8"/>
        <w:spacing w:after="0" w:line="259" w:lineRule="auto"/>
        <w:tabs>
          <w:tab w:leader="none" w:pos="24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right="100" w:firstLine="8"/>
        <w:spacing w:after="0" w:line="297" w:lineRule="auto"/>
        <w:tabs>
          <w:tab w:leader="none" w:pos="22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50" w:lineRule="exact"/>
        <w:rPr>
          <w:rFonts w:ascii="Arial" w:cs="Arial" w:eastAsia="Arial" w:hAnsi="Arial"/>
          <w:sz w:val="16"/>
          <w:szCs w:val="16"/>
          <w:color w:val="auto"/>
        </w:rPr>
      </w:pPr>
    </w:p>
    <w:p>
      <w:pPr>
        <w:ind w:right="340" w:firstLine="8"/>
        <w:spacing w:after="0" w:line="308" w:lineRule="auto"/>
        <w:tabs>
          <w:tab w:leader="none" w:pos="25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38" w:lineRule="exact"/>
        <w:rPr>
          <w:rFonts w:ascii="Arial" w:cs="Arial" w:eastAsia="Arial" w:hAnsi="Arial"/>
          <w:sz w:val="17"/>
          <w:szCs w:val="17"/>
          <w:color w:val="auto"/>
        </w:rPr>
      </w:pPr>
    </w:p>
    <w:p>
      <w:pPr>
        <w:ind w:left="260" w:hanging="252"/>
        <w:spacing w:after="0"/>
        <w:tabs>
          <w:tab w:leader="none" w:pos="2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payment of amounts payable to the Trustee pursuant to this Indenture shall be paid or provided for to the reasonable satisfaction of the Trustee.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67" w:name="page168"/>
    <w:bookmarkEnd w:id="167"/>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1405. </w:t>
      </w:r>
      <w:r>
        <w:rPr>
          <w:rFonts w:ascii="Arial" w:cs="Arial" w:eastAsia="Arial" w:hAnsi="Arial"/>
          <w:sz w:val="17"/>
          <w:szCs w:val="17"/>
          <w:u w:val="single" w:color="auto"/>
          <w:color w:val="auto"/>
        </w:rPr>
        <w:t>Deposited Money and Government Obligations to Be Held in Trust; Other Miscellaneous Provisions</w:t>
      </w:r>
      <w:r>
        <w:rPr>
          <w:rFonts w:ascii="Arial" w:cs="Arial" w:eastAsia="Arial" w:hAnsi="Arial"/>
          <w:sz w:val="17"/>
          <w:szCs w:val="17"/>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FIFTEEN—MEETINGS OF HOLDERS OF SECURITIES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117" w:lineRule="exact"/>
        <w:rPr>
          <w:sz w:val="20"/>
          <w:szCs w:val="20"/>
          <w:color w:val="auto"/>
        </w:rPr>
      </w:pPr>
    </w:p>
    <w:p>
      <w:pPr>
        <w:jc w:val="both"/>
        <w:ind w:right="80" w:firstLine="8"/>
        <w:spacing w:after="0" w:line="259" w:lineRule="auto"/>
        <w:tabs>
          <w:tab w:leader="none" w:pos="24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78" w:lineRule="exact"/>
        <w:rPr>
          <w:rFonts w:ascii="Arial" w:cs="Arial" w:eastAsia="Arial" w:hAnsi="Arial"/>
          <w:sz w:val="18"/>
          <w:szCs w:val="18"/>
          <w:color w:val="auto"/>
        </w:rPr>
      </w:pPr>
    </w:p>
    <w:p>
      <w:pPr>
        <w:ind w:right="80" w:firstLine="8"/>
        <w:spacing w:after="0" w:line="293" w:lineRule="auto"/>
        <w:tabs>
          <w:tab w:leader="none" w:pos="25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168" w:name="page169"/>
    <w:bookmarkEnd w:id="16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1503. </w:t>
      </w:r>
      <w:r>
        <w:rPr>
          <w:rFonts w:ascii="Arial" w:cs="Arial" w:eastAsia="Arial" w:hAnsi="Arial"/>
          <w:sz w:val="18"/>
          <w:szCs w:val="18"/>
          <w:u w:val="single" w:color="auto"/>
          <w:color w:val="auto"/>
        </w:rPr>
        <w:t>Persons Entitled to Vote at Meetings</w:t>
      </w:r>
      <w:r>
        <w:rPr>
          <w:rFonts w:ascii="Arial" w:cs="Arial" w:eastAsia="Arial" w:hAnsi="Arial"/>
          <w:sz w:val="18"/>
          <w:szCs w:val="18"/>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Quorum; Action</w:t>
      </w:r>
      <w:r>
        <w:rPr>
          <w:rFonts w:ascii="Arial" w:cs="Arial" w:eastAsia="Arial" w:hAnsi="Arial"/>
          <w:sz w:val="16"/>
          <w:szCs w:val="16"/>
          <w:color w:val="auto"/>
        </w:rPr>
        <w:t xml:space="preserve">. 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9" w:lineRule="exact"/>
        <w:rPr>
          <w:sz w:val="20"/>
          <w:szCs w:val="20"/>
          <w:color w:val="auto"/>
        </w:rPr>
      </w:pPr>
    </w:p>
    <w:p>
      <w:pPr>
        <w:ind w:left="220" w:hanging="212"/>
        <w:spacing w:after="0"/>
        <w:tabs>
          <w:tab w:leader="none" w:pos="2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17" w:lineRule="exact"/>
        <w:rPr>
          <w:rFonts w:ascii="Arial" w:cs="Arial" w:eastAsia="Arial" w:hAnsi="Arial"/>
          <w:sz w:val="18"/>
          <w:szCs w:val="18"/>
          <w:color w:val="auto"/>
        </w:rPr>
      </w:pPr>
    </w:p>
    <w:p>
      <w:pPr>
        <w:jc w:val="both"/>
        <w:ind w:right="360" w:firstLine="8"/>
        <w:spacing w:after="0" w:line="264" w:lineRule="auto"/>
        <w:tabs>
          <w:tab w:leader="none" w:pos="26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117" w:lineRule="exact"/>
        <w:rPr>
          <w:sz w:val="20"/>
          <w:szCs w:val="20"/>
          <w:color w:val="auto"/>
        </w:rPr>
      </w:pPr>
    </w:p>
    <w:p>
      <w:pPr>
        <w:ind w:right="20" w:firstLine="8"/>
        <w:spacing w:after="0" w:line="264" w:lineRule="auto"/>
        <w:tabs>
          <w:tab w:leader="none" w:pos="24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74" w:right="299" w:bottom="1440" w:gutter="0" w:footer="0" w:header="0"/>
        </w:sectPr>
      </w:pPr>
    </w:p>
    <w:bookmarkStart w:id="169" w:name="page170"/>
    <w:bookmarkEnd w:id="16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85" w:lineRule="exact"/>
        <w:rPr>
          <w:sz w:val="20"/>
          <w:szCs w:val="20"/>
          <w:color w:val="auto"/>
        </w:rPr>
      </w:pPr>
    </w:p>
    <w:p>
      <w:pPr>
        <w:jc w:val="both"/>
        <w:ind w:right="80" w:firstLine="8"/>
        <w:spacing w:after="0" w:line="302" w:lineRule="auto"/>
        <w:tabs>
          <w:tab w:leader="none" w:pos="25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46" w:lineRule="exact"/>
        <w:rPr>
          <w:rFonts w:ascii="Arial" w:cs="Arial" w:eastAsia="Arial" w:hAnsi="Arial"/>
          <w:sz w:val="16"/>
          <w:szCs w:val="16"/>
          <w:color w:val="auto"/>
        </w:rPr>
      </w:pPr>
    </w:p>
    <w:p>
      <w:pPr>
        <w:jc w:val="both"/>
        <w:ind w:right="500" w:firstLine="8"/>
        <w:spacing w:after="0" w:line="259" w:lineRule="auto"/>
        <w:tabs>
          <w:tab w:leader="none" w:pos="24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78" w:lineRule="exact"/>
        <w:rPr>
          <w:rFonts w:ascii="Arial" w:cs="Arial" w:eastAsia="Arial" w:hAnsi="Arial"/>
          <w:sz w:val="18"/>
          <w:szCs w:val="18"/>
          <w:color w:val="auto"/>
        </w:rPr>
      </w:pPr>
    </w:p>
    <w:p>
      <w:pPr>
        <w:ind w:firstLine="8"/>
        <w:spacing w:after="0" w:line="264" w:lineRule="auto"/>
        <w:tabs>
          <w:tab w:leader="none" w:pos="2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Counting Votes and Recording Action of Meetings</w:t>
      </w:r>
      <w:r>
        <w:rPr>
          <w:rFonts w:ascii="Arial" w:cs="Arial" w:eastAsia="Arial" w:hAnsi="Arial"/>
          <w:sz w:val="17"/>
          <w:szCs w:val="17"/>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SIXTEEN—SUBORDINATION OF SECURITIES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SECTION 1601. </w:t>
      </w:r>
      <w:r>
        <w:rPr>
          <w:rFonts w:ascii="Arial" w:cs="Arial" w:eastAsia="Arial" w:hAnsi="Arial"/>
          <w:sz w:val="17"/>
          <w:szCs w:val="17"/>
          <w:u w:val="single" w:color="auto"/>
          <w:color w:val="auto"/>
        </w:rPr>
        <w:t>Agreement to Subordinate</w:t>
      </w:r>
      <w:r>
        <w:rPr>
          <w:rFonts w:ascii="Arial" w:cs="Arial" w:eastAsia="Arial" w:hAnsi="Arial"/>
          <w:sz w:val="17"/>
          <w:szCs w:val="17"/>
          <w:color w:val="auto"/>
        </w:rPr>
        <w:t>. Notwithstanding anything in this Indenture to the contrary (other than Article Four of this Indenture), the Company covenants and agrees, and each Holder of a Security, by his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SECTION 1602. </w:t>
      </w:r>
      <w:r>
        <w:rPr>
          <w:rFonts w:ascii="Arial" w:cs="Arial" w:eastAsia="Arial" w:hAnsi="Arial"/>
          <w:sz w:val="16"/>
          <w:szCs w:val="16"/>
          <w:u w:val="single" w:color="auto"/>
          <w:color w:val="auto"/>
        </w:rPr>
        <w:t>Payment Over of Proceeds upon Dissolution, Etc</w:t>
      </w:r>
      <w:r>
        <w:rPr>
          <w:rFonts w:ascii="Arial" w:cs="Arial" w:eastAsia="Arial" w:hAnsi="Arial"/>
          <w:sz w:val="16"/>
          <w:szCs w:val="16"/>
          <w:color w:val="auto"/>
        </w:rPr>
        <w:t>. In the event of (a) any insolvency or bankruptcy case or Proceeding, or any receivership, liquidation, reorganization or other similar case or Proceeding in connection therewith, relative to the Company or to its creditors, as such, or to its assets, or</w:t>
      </w:r>
    </w:p>
    <w:p>
      <w:pPr>
        <w:ind w:right="20" w:firstLine="8"/>
        <w:spacing w:after="0" w:line="281" w:lineRule="auto"/>
        <w:tabs>
          <w:tab w:leader="none" w:pos="25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or (c) above (each such event, if any, herein sometimes referred to as a “Proceeding”)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70" w:name="page171"/>
    <w:bookmarkEnd w:id="170"/>
    <w:p>
      <w:pPr>
        <w:ind w:right="80" w:firstLine="8"/>
        <w:spacing w:after="0" w:line="257" w:lineRule="auto"/>
        <w:tabs>
          <w:tab w:leader="none" w:pos="2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in respect of the Securities or on account of any purchase, redemption or other acquisition of Securities by the Company or any Subsidiary (individually and collectively, a “Securities Payment”), and</w:t>
      </w:r>
    </w:p>
    <w:p>
      <w:pPr>
        <w:spacing w:after="0" w:line="80" w:lineRule="exact"/>
        <w:rPr>
          <w:rFonts w:ascii="Arial" w:cs="Arial" w:eastAsia="Arial" w:hAnsi="Arial"/>
          <w:sz w:val="18"/>
          <w:szCs w:val="18"/>
          <w:color w:val="auto"/>
        </w:rPr>
      </w:pPr>
    </w:p>
    <w:p>
      <w:pPr>
        <w:ind w:right="140" w:firstLine="8"/>
        <w:spacing w:after="0" w:line="290" w:lineRule="auto"/>
        <w:tabs>
          <w:tab w:leader="none" w:pos="25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 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 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18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Article Eight shall not be deemed a Proceeding for the purposes of this Section 1602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SECTION 1603. </w:t>
      </w:r>
      <w:r>
        <w:rPr>
          <w:rFonts w:ascii="Arial" w:cs="Arial" w:eastAsia="Arial" w:hAnsi="Arial"/>
          <w:sz w:val="16"/>
          <w:szCs w:val="16"/>
          <w:u w:val="single" w:color="auto"/>
          <w:color w:val="auto"/>
        </w:rPr>
        <w:t>No Payment When Senior Indebtedness in Default</w:t>
      </w:r>
      <w:r>
        <w:rPr>
          <w:rFonts w:ascii="Arial" w:cs="Arial" w:eastAsia="Arial" w:hAnsi="Arial"/>
          <w:sz w:val="16"/>
          <w:szCs w:val="16"/>
          <w:color w:val="auto"/>
        </w:rPr>
        <w: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 (ii) 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 (A) the date on which such event of default shall have been cured or waived or (B) 180 days from the receipt of the Payment Blockage Notice. Upon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171" w:name="page172"/>
    <w:bookmarkEnd w:id="17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16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the event that, notwithstanding the provisions of this Section 1603, payments are made by or on behalf of the Company in contravention of the provisions of this 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in accordance with the terms of such Senior Indebtedness, after giving effect to any concurrent payment or distribution to or for the holders of Senior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not apply to any payment with respect to which Section 1602 would be applicable.</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u w:val="single" w:color="auto"/>
          <w:color w:val="auto"/>
        </w:rPr>
        <w:t>Reliance by Senior Indebtedness on Subordination Provisions</w:t>
      </w:r>
      <w:r>
        <w:rPr>
          <w:rFonts w:ascii="Arial" w:cs="Arial" w:eastAsia="Arial" w:hAnsi="Arial"/>
          <w:sz w:val="17"/>
          <w:szCs w:val="17"/>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SECTION 1605. </w:t>
      </w:r>
      <w:r>
        <w:rPr>
          <w:rFonts w:ascii="Arial" w:cs="Arial" w:eastAsia="Arial" w:hAnsi="Arial"/>
          <w:sz w:val="17"/>
          <w:szCs w:val="17"/>
          <w:u w:val="single" w:color="auto"/>
          <w:color w:val="auto"/>
        </w:rPr>
        <w:t>Subrogation to Rights of Holders of Senior Indebtedness</w:t>
      </w:r>
      <w:r>
        <w:rPr>
          <w:rFonts w:ascii="Arial" w:cs="Arial" w:eastAsia="Arial" w:hAnsi="Arial"/>
          <w:sz w:val="17"/>
          <w:szCs w:val="17"/>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1606. </w:t>
      </w:r>
      <w:r>
        <w:rPr>
          <w:rFonts w:ascii="Arial" w:cs="Arial" w:eastAsia="Arial" w:hAnsi="Arial"/>
          <w:sz w:val="17"/>
          <w:szCs w:val="17"/>
          <w:u w:val="single" w:color="auto"/>
          <w:color w:val="auto"/>
        </w:rPr>
        <w:t>Provisions Solely to Define Relative Rights</w:t>
      </w:r>
      <w:r>
        <w:rPr>
          <w:rFonts w:ascii="Arial" w:cs="Arial" w:eastAsia="Arial" w:hAnsi="Arial"/>
          <w:sz w:val="17"/>
          <w:szCs w:val="17"/>
          <w:color w:val="auto"/>
        </w:rPr>
        <w:t>. The provisions of this Article Sixteen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 (a) 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172" w:name="page173"/>
    <w:bookmarkEnd w:id="172"/>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1607. </w:t>
      </w:r>
      <w:r>
        <w:rPr>
          <w:rFonts w:ascii="Arial" w:cs="Arial" w:eastAsia="Arial" w:hAnsi="Arial"/>
          <w:sz w:val="17"/>
          <w:szCs w:val="17"/>
          <w:u w:val="single" w:color="auto"/>
          <w:color w:val="auto"/>
        </w:rPr>
        <w:t>Trustee to Effectuate Subordination</w:t>
      </w:r>
      <w:r>
        <w:rPr>
          <w:rFonts w:ascii="Arial" w:cs="Arial" w:eastAsia="Arial" w:hAnsi="Arial"/>
          <w:sz w:val="17"/>
          <w:szCs w:val="17"/>
          <w:color w:val="auto"/>
        </w:rPr>
        <w:t>.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SECTION 1608. </w:t>
      </w:r>
      <w:r>
        <w:rPr>
          <w:rFonts w:ascii="Arial" w:cs="Arial" w:eastAsia="Arial" w:hAnsi="Arial"/>
          <w:sz w:val="17"/>
          <w:szCs w:val="17"/>
          <w:u w:val="single" w:color="auto"/>
          <w:color w:val="auto"/>
        </w:rPr>
        <w:t>No Waiver of Subordination Provisions</w:t>
      </w:r>
      <w:r>
        <w:rPr>
          <w:rFonts w:ascii="Arial" w:cs="Arial" w:eastAsia="Arial" w:hAnsi="Arial"/>
          <w:sz w:val="17"/>
          <w:szCs w:val="17"/>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any representative or trustee therefor, or by any non-compliance by the Company with the terms, provisions and covenants of this Indenture, regardless of any knowledge thereof any such holder may have or be otherwise charged with.</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Without in any way limiting the generality of the foregoing paragraph, the holders of Senior Indebtedness may, at any time from time to time, without the consent of or notice to the Trustee or 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settle or compromise Senior Indebtedness (which, to the extent so settled and compromised, shall be deemed to have been paid in full for all purposes hereof); (iv) apply any amounts received to any liability of the Company owing to holders of Senior Indebtedness; and (v) exercise or refrain from exercising any rights against the Company and any other Person.</w:t>
      </w:r>
    </w:p>
    <w:p>
      <w:pPr>
        <w:spacing w:after="0" w:line="16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SECTION 1609. </w:t>
      </w:r>
      <w:r>
        <w:rPr>
          <w:rFonts w:ascii="Arial" w:cs="Arial" w:eastAsia="Arial" w:hAnsi="Arial"/>
          <w:sz w:val="16"/>
          <w:szCs w:val="16"/>
          <w:u w:val="single" w:color="auto"/>
          <w:color w:val="auto"/>
        </w:rPr>
        <w:t>Notice to Trustee</w:t>
      </w:r>
      <w:r>
        <w:rPr>
          <w:rFonts w:ascii="Arial" w:cs="Arial" w:eastAsia="Arial" w:hAnsi="Arial"/>
          <w:sz w:val="16"/>
          <w:szCs w:val="16"/>
          <w:color w:val="auto"/>
        </w:rPr>
        <w:t xml:space="preserve">. The Company shall give prompt written notice to the Trustee of any default or event of default with respect to any Senior Indebtedness or of any fact known to the Company which would prohibit the making of any payment to or by the Trustee in respect of the Securities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173" w:name="page174"/>
    <w:bookmarkEnd w:id="173"/>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 Upon any payment or distribution of assets of the Company referred to in this Article Sixteen, the Trustee, subject to the provisions of 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8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SECTION 1611. </w:t>
      </w:r>
      <w:r>
        <w:rPr>
          <w:rFonts w:ascii="Arial" w:cs="Arial" w:eastAsia="Arial" w:hAnsi="Arial"/>
          <w:sz w:val="16"/>
          <w:szCs w:val="16"/>
          <w:u w:val="single" w:color="auto"/>
          <w:color w:val="auto"/>
        </w:rPr>
        <w:t>Trustee Not Fiduciary for Holders of Senior Indebtedness</w:t>
      </w:r>
      <w:r>
        <w:rPr>
          <w:rFonts w:ascii="Arial" w:cs="Arial" w:eastAsia="Arial" w:hAnsi="Arial"/>
          <w:sz w:val="16"/>
          <w:szCs w:val="16"/>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u w:val="single" w:color="auto"/>
          <w:color w:val="auto"/>
        </w:rPr>
        <w:t>Rights of Trustee as Holder of Senior Indebtedness; Preservation of Trustee’s Rights</w:t>
      </w:r>
      <w:r>
        <w:rPr>
          <w:rFonts w:ascii="Arial" w:cs="Arial" w:eastAsia="Arial" w:hAnsi="Arial"/>
          <w:sz w:val="18"/>
          <w:szCs w:val="18"/>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Article Applicable to Paying Agents</w:t>
      </w:r>
      <w:r>
        <w:rPr>
          <w:rFonts w:ascii="Arial" w:cs="Arial" w:eastAsia="Arial" w:hAnsi="Arial"/>
          <w:sz w:val="18"/>
          <w:szCs w:val="18"/>
          <w:color w:val="auto"/>
        </w:rPr>
        <w:t xml:space="preserve">.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in addition to or in place of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Section 1612 shall not apply to the Company or any Affiliate of the Company if it or such Affiliate acts as Paying Agent.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SEVENTEEN—CONVERSION OF SECURITIES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SECTION 1701. </w:t>
      </w:r>
      <w:r>
        <w:rPr>
          <w:rFonts w:ascii="Arial" w:cs="Arial" w:eastAsia="Arial" w:hAnsi="Arial"/>
          <w:sz w:val="17"/>
          <w:szCs w:val="17"/>
          <w:u w:val="single" w:color="auto"/>
          <w:color w:val="auto"/>
        </w:rPr>
        <w:t>Applicability of Article; Conversion Privilege and Conversion Price</w:t>
      </w:r>
      <w:r>
        <w:rPr>
          <w:rFonts w:ascii="Arial" w:cs="Arial" w:eastAsia="Arial" w:hAnsi="Arial"/>
          <w:sz w:val="17"/>
          <w:szCs w:val="17"/>
          <w:color w:val="auto"/>
        </w:rPr>
        <w:t>. Securities of any series which are convertible shall be convertible in accordance with their terms and (except as otherwise specified as contemplated by Section 301 for Securities of any series) in accordance with this Article Seventeen. Subject to and upon compliance with the provisions of this Article Seventeen,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174" w:name="page175"/>
    <w:bookmarkEnd w:id="174"/>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price at which shares of Common Stock shall be delivered upon conversion (herein called the “Conversion Price”) of Securities of any series shall be specified in such Securities. The Conversion Price shall be adjusted in certain instances as provided in Section 1704.</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case the Company shall, by dividend or otherwise, declare or make a distribution on its Common Stock referred to in paragraph (4) of Section 1704, the Holder of each Security, upon the conversion thereof pursuant to this Article Seventeen subsequent to the close of business on the date fixed for the determination of stockholders entitled to receive such distribution and prior to the effectiveness of the Conversion Price adjustment in respect of such distribution pursuant to paragraph (4) of Section 1704,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SECTION 1702. </w:t>
      </w:r>
      <w:r>
        <w:rPr>
          <w:rFonts w:ascii="Arial" w:cs="Arial" w:eastAsia="Arial" w:hAnsi="Arial"/>
          <w:sz w:val="17"/>
          <w:szCs w:val="17"/>
          <w:u w:val="single" w:color="auto"/>
          <w:color w:val="auto"/>
        </w:rPr>
        <w:t>Exercise of Conversion Privilege</w:t>
      </w:r>
      <w:r>
        <w:rPr>
          <w:rFonts w:ascii="Arial" w:cs="Arial" w:eastAsia="Arial" w:hAnsi="Arial"/>
          <w:sz w:val="17"/>
          <w:szCs w:val="17"/>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1703.</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175" w:name="page176"/>
    <w:bookmarkEnd w:id="175"/>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1703. </w:t>
      </w:r>
      <w:r>
        <w:rPr>
          <w:rFonts w:ascii="Arial" w:cs="Arial" w:eastAsia="Arial" w:hAnsi="Arial"/>
          <w:sz w:val="16"/>
          <w:szCs w:val="16"/>
          <w:u w:val="single" w:color="auto"/>
          <w:color w:val="auto"/>
        </w:rPr>
        <w:t>Fractions of Shares</w:t>
      </w:r>
      <w:r>
        <w:rPr>
          <w:rFonts w:ascii="Arial" w:cs="Arial" w:eastAsia="Arial" w:hAnsi="Arial"/>
          <w:sz w:val="16"/>
          <w:szCs w:val="16"/>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117" w:lineRule="exact"/>
        <w:rPr>
          <w:sz w:val="20"/>
          <w:szCs w:val="20"/>
          <w:color w:val="auto"/>
        </w:rPr>
      </w:pPr>
    </w:p>
    <w:p>
      <w:pPr>
        <w:ind w:right="40" w:firstLine="8"/>
        <w:spacing w:after="0" w:line="253" w:lineRule="auto"/>
        <w:tabs>
          <w:tab w:leader="none" w:pos="2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86" w:lineRule="exact"/>
        <w:rPr>
          <w:rFonts w:ascii="Arial" w:cs="Arial" w:eastAsia="Arial" w:hAnsi="Arial"/>
          <w:sz w:val="18"/>
          <w:szCs w:val="18"/>
          <w:color w:val="auto"/>
        </w:rPr>
      </w:pPr>
    </w:p>
    <w:p>
      <w:pPr>
        <w:ind w:firstLine="8"/>
        <w:spacing w:after="0" w:line="283" w:lineRule="auto"/>
        <w:tabs>
          <w:tab w:leader="none" w:pos="25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1704,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of this Section 1704) of the Common Stock of the Company on the Rights Record Date.</w:t>
      </w:r>
    </w:p>
    <w:p>
      <w:pPr>
        <w:spacing w:after="0" w:line="102" w:lineRule="exact"/>
        <w:rPr>
          <w:rFonts w:ascii="Arial" w:cs="Arial" w:eastAsia="Arial" w:hAnsi="Arial"/>
          <w:sz w:val="18"/>
          <w:szCs w:val="18"/>
          <w:color w:val="auto"/>
        </w:rPr>
      </w:pPr>
    </w:p>
    <w:p>
      <w:pPr>
        <w:ind w:right="20" w:firstLine="8"/>
        <w:spacing w:after="0" w:line="255" w:lineRule="auto"/>
        <w:tabs>
          <w:tab w:leader="none" w:pos="2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176" w:name="page177"/>
    <w:bookmarkEnd w:id="176"/>
    <w:p>
      <w:pPr>
        <w:ind w:right="20" w:firstLine="8"/>
        <w:spacing w:after="0" w:line="267" w:lineRule="auto"/>
        <w:tabs>
          <w:tab w:leader="none" w:pos="255" w:val="left"/>
        </w:tabs>
        <w:numPr>
          <w:ilvl w:val="0"/>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1704 applies), the Conversion Price shall be reduced by multiplying such Conversion Price by a fraction of which the numerator shall be the current market price per share (determined as provided in paragraph (7) of this Section 1704)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 (4) of Section 1704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84" w:lineRule="exact"/>
        <w:rPr>
          <w:rFonts w:ascii="Arial" w:cs="Arial" w:eastAsia="Arial" w:hAnsi="Arial"/>
          <w:sz w:val="17"/>
          <w:szCs w:val="17"/>
          <w:color w:val="auto"/>
        </w:rPr>
      </w:pPr>
    </w:p>
    <w:p>
      <w:pPr>
        <w:ind w:right="300" w:firstLine="8"/>
        <w:spacing w:after="0" w:line="276" w:lineRule="auto"/>
        <w:tabs>
          <w:tab w:leader="none" w:pos="25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Company may, but shall not be required to, make such reductions in the Conversion Price, in addition to those required by paragraphs (1), (2), (3), and (4) of this Section 1704,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64" w:lineRule="exact"/>
        <w:rPr>
          <w:rFonts w:ascii="Arial" w:cs="Arial" w:eastAsia="Arial" w:hAnsi="Arial"/>
          <w:sz w:val="17"/>
          <w:szCs w:val="17"/>
          <w:color w:val="auto"/>
        </w:rPr>
      </w:pPr>
    </w:p>
    <w:p>
      <w:pPr>
        <w:ind w:firstLine="8"/>
        <w:spacing w:after="0" w:line="269" w:lineRule="auto"/>
        <w:tabs>
          <w:tab w:leader="none" w:pos="25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1704 not be deemed issued or distributed until the occurrence of the earliest Trigger Event. Each share of Common Stock issued upon conversion of Securities pursuant to this Article Seventeen shall be entitled to receive the appropriate number of Common Stock purchase rights (the “Rights”), if any, and the certificates representing the Common Stock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74" w:lineRule="exact"/>
        <w:rPr>
          <w:rFonts w:ascii="Arial" w:cs="Arial" w:eastAsia="Arial" w:hAnsi="Arial"/>
          <w:sz w:val="17"/>
          <w:szCs w:val="17"/>
          <w:color w:val="auto"/>
        </w:rPr>
      </w:pPr>
    </w:p>
    <w:p>
      <w:pPr>
        <w:ind w:right="380" w:firstLine="8"/>
        <w:spacing w:after="0" w:line="264" w:lineRule="auto"/>
        <w:tabs>
          <w:tab w:leader="none" w:pos="2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 the purpose of any computation under paragraph (2), (4) or (5) of this Section 1704,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73" w:lineRule="exact"/>
        <w:rPr>
          <w:rFonts w:ascii="Arial" w:cs="Arial" w:eastAsia="Arial" w:hAnsi="Arial"/>
          <w:sz w:val="18"/>
          <w:szCs w:val="18"/>
          <w:color w:val="auto"/>
        </w:rPr>
      </w:pPr>
    </w:p>
    <w:p>
      <w:pPr>
        <w:ind w:right="300" w:firstLine="8"/>
        <w:spacing w:after="0" w:line="259" w:lineRule="auto"/>
        <w:tabs>
          <w:tab w:leader="none" w:pos="2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No adjustment in the Conversion Price shall be required unless such adjustment would require an increase or decrease of at least 1% in the Conversion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adjustments which by reason of this paragraph (8) are not required to be made shall be carried forward and taken into account in any subsequent adjustment. All calculations under this Article Seventeen shall be made to the nearest cent or to the nearest one-hundredth of a share of Common Stock,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77" w:name="page178"/>
    <w:bookmarkEnd w:id="177"/>
    <w:p>
      <w:pPr>
        <w:ind w:firstLine="8"/>
        <w:spacing w:after="0" w:line="297" w:lineRule="auto"/>
        <w:tabs>
          <w:tab w:leader="none" w:pos="255" w:val="left"/>
        </w:tabs>
        <w:numPr>
          <w:ilvl w:val="0"/>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50" w:lineRule="exact"/>
        <w:rPr>
          <w:rFonts w:ascii="Arial" w:cs="Arial" w:eastAsia="Arial" w:hAnsi="Arial"/>
          <w:sz w:val="16"/>
          <w:szCs w:val="16"/>
          <w:color w:val="auto"/>
        </w:rPr>
      </w:pPr>
    </w:p>
    <w:p>
      <w:pPr>
        <w:ind w:right="240" w:firstLine="8"/>
        <w:spacing w:after="0" w:line="279" w:lineRule="auto"/>
        <w:tabs>
          <w:tab w:leader="none" w:pos="34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1704,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63" w:lineRule="exact"/>
        <w:rPr>
          <w:rFonts w:ascii="Arial" w:cs="Arial" w:eastAsia="Arial" w:hAnsi="Arial"/>
          <w:sz w:val="17"/>
          <w:szCs w:val="17"/>
          <w:color w:val="auto"/>
        </w:rPr>
      </w:pPr>
    </w:p>
    <w:p>
      <w:pPr>
        <w:ind w:left="340" w:hanging="332"/>
        <w:spacing w:after="0"/>
        <w:tabs>
          <w:tab w:leader="none" w:pos="3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 the event that this Article Seventeen requires adjustments to the Conversion Price under more than one of paragraphs (1), (2), (3) or (4) of this</w:t>
      </w:r>
    </w:p>
    <w:p>
      <w:pPr>
        <w:spacing w:after="0" w:line="3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Section 1704, and the record or effective dates for the transaction giving rise to such adjustments shall occur on the same date, then such adjustments shall be made by applying (to the extent they are applicable), first, the provisions of paragraph (3) of this Section 1704, second, the provisions of paragraph (1) of this Section 1704, third, the provisions of paragraph (4) of this Section 1704 and, fourth, the provisions of paragraph (2) of this Section 1704. Anything herein to the contrary notwithstanding, no single event shall require or result in duplicative adjustments in the Conversion Price pursuant to this Section 1704. After an adjustment to the Conversion Price under this Article Seventeen, any subsequent event requiring an adjustment under this Article Seventeen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Seventeen with respect to the Common Stock in this Article Seventeen.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u w:val="single" w:color="auto"/>
          <w:color w:val="auto"/>
        </w:rPr>
        <w:t>Notice of Adjustments of Conversion Price</w:t>
      </w:r>
      <w:r>
        <w:rPr>
          <w:rFonts w:ascii="Arial" w:cs="Arial" w:eastAsia="Arial" w:hAnsi="Arial"/>
          <w:sz w:val="18"/>
          <w:szCs w:val="18"/>
          <w:color w:val="auto"/>
        </w:rPr>
        <w:t>. Whenever the Conversion Price is adjusted as herein provided:</w:t>
      </w:r>
    </w:p>
    <w:p>
      <w:pPr>
        <w:spacing w:after="0" w:line="117" w:lineRule="exact"/>
        <w:rPr>
          <w:sz w:val="20"/>
          <w:szCs w:val="20"/>
          <w:color w:val="auto"/>
        </w:rPr>
      </w:pPr>
    </w:p>
    <w:p>
      <w:pPr>
        <w:ind w:right="200" w:firstLine="8"/>
        <w:spacing w:after="0" w:line="259" w:lineRule="auto"/>
        <w:tabs>
          <w:tab w:leader="none" w:pos="2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78" w:lineRule="exact"/>
        <w:rPr>
          <w:rFonts w:ascii="Arial" w:cs="Arial" w:eastAsia="Arial" w:hAnsi="Arial"/>
          <w:sz w:val="18"/>
          <w:szCs w:val="18"/>
          <w:color w:val="auto"/>
        </w:rPr>
      </w:pPr>
    </w:p>
    <w:p>
      <w:pPr>
        <w:ind w:right="180" w:firstLine="8"/>
        <w:spacing w:after="0" w:line="342" w:lineRule="auto"/>
        <w:tabs>
          <w:tab w:leader="none" w:pos="2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1706. </w:t>
      </w:r>
      <w:r>
        <w:rPr>
          <w:rFonts w:ascii="Arial" w:cs="Arial" w:eastAsia="Arial" w:hAnsi="Arial"/>
          <w:sz w:val="18"/>
          <w:szCs w:val="18"/>
          <w:u w:val="single" w:color="auto"/>
          <w:color w:val="auto"/>
        </w:rPr>
        <w:t>Notice of Certain Corporate Action</w:t>
      </w:r>
      <w:r>
        <w:rPr>
          <w:rFonts w:ascii="Arial" w:cs="Arial" w:eastAsia="Arial" w:hAnsi="Arial"/>
          <w:sz w:val="18"/>
          <w:szCs w:val="18"/>
          <w:color w:val="auto"/>
        </w:rPr>
        <w:t>. In case:</w:t>
      </w:r>
    </w:p>
    <w:p>
      <w:pPr>
        <w:spacing w:after="0" w:line="117" w:lineRule="exact"/>
        <w:rPr>
          <w:sz w:val="20"/>
          <w:szCs w:val="20"/>
          <w:color w:val="auto"/>
        </w:rPr>
      </w:pPr>
    </w:p>
    <w:p>
      <w:pPr>
        <w:ind w:left="260" w:hanging="252"/>
        <w:spacing w:after="0"/>
        <w:tabs>
          <w:tab w:leader="none" w:pos="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Company shall take any action that would require a Conversion Price adjustment pursuant to Section 1704 or Section 1711; or</w:t>
      </w:r>
    </w:p>
    <w:p>
      <w:pPr>
        <w:spacing w:after="0" w:line="117" w:lineRule="exact"/>
        <w:rPr>
          <w:rFonts w:ascii="Arial" w:cs="Arial" w:eastAsia="Arial" w:hAnsi="Arial"/>
          <w:sz w:val="18"/>
          <w:szCs w:val="18"/>
          <w:color w:val="auto"/>
        </w:rPr>
      </w:pPr>
    </w:p>
    <w:p>
      <w:pPr>
        <w:ind w:right="20" w:firstLine="8"/>
        <w:spacing w:after="0" w:line="264" w:lineRule="auto"/>
        <w:tabs>
          <w:tab w:leader="none" w:pos="2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73" w:lineRule="exact"/>
        <w:rPr>
          <w:rFonts w:ascii="Arial" w:cs="Arial" w:eastAsia="Arial" w:hAnsi="Arial"/>
          <w:sz w:val="18"/>
          <w:szCs w:val="18"/>
          <w:color w:val="auto"/>
        </w:rPr>
      </w:pPr>
    </w:p>
    <w:p>
      <w:pPr>
        <w:ind w:right="120" w:firstLine="8"/>
        <w:spacing w:after="0" w:line="253" w:lineRule="auto"/>
        <w:tabs>
          <w:tab w:leader="none" w:pos="2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SECTION 1707. </w:t>
      </w:r>
      <w:r>
        <w:rPr>
          <w:rFonts w:ascii="Arial" w:cs="Arial" w:eastAsia="Arial" w:hAnsi="Arial"/>
          <w:sz w:val="18"/>
          <w:szCs w:val="18"/>
          <w:u w:val="single" w:color="auto"/>
          <w:color w:val="auto"/>
        </w:rPr>
        <w:t>Company to Reserve Common Stock</w:t>
      </w:r>
      <w:r>
        <w:rPr>
          <w:rFonts w:ascii="Arial" w:cs="Arial" w:eastAsia="Arial" w:hAnsi="Arial"/>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78" w:name="page179"/>
    <w:bookmarkEnd w:id="178"/>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1708. </w:t>
      </w:r>
      <w:r>
        <w:rPr>
          <w:rFonts w:ascii="Arial" w:cs="Arial" w:eastAsia="Arial" w:hAnsi="Arial"/>
          <w:sz w:val="17"/>
          <w:szCs w:val="17"/>
          <w:u w:val="single" w:color="auto"/>
          <w:color w:val="auto"/>
        </w:rPr>
        <w:t>Taxes on Conversion</w:t>
      </w:r>
      <w:r>
        <w:rPr>
          <w:rFonts w:ascii="Arial" w:cs="Arial" w:eastAsia="Arial" w:hAnsi="Arial"/>
          <w:sz w:val="17"/>
          <w:szCs w:val="17"/>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73"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 xml:space="preserve">SECTION 1709. </w:t>
      </w:r>
      <w:r>
        <w:rPr>
          <w:rFonts w:ascii="Arial" w:cs="Arial" w:eastAsia="Arial" w:hAnsi="Arial"/>
          <w:sz w:val="18"/>
          <w:szCs w:val="18"/>
          <w:u w:val="single" w:color="auto"/>
          <w:color w:val="auto"/>
        </w:rPr>
        <w:t>Covenants as to Common Stock</w:t>
      </w:r>
      <w:r>
        <w:rPr>
          <w:rFonts w:ascii="Arial" w:cs="Arial" w:eastAsia="Arial" w:hAnsi="Arial"/>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SECTION 1710. </w:t>
      </w:r>
      <w:r>
        <w:rPr>
          <w:rFonts w:ascii="Arial" w:cs="Arial" w:eastAsia="Arial" w:hAnsi="Arial"/>
          <w:sz w:val="18"/>
          <w:szCs w:val="18"/>
          <w:u w:val="single" w:color="auto"/>
          <w:color w:val="auto"/>
        </w:rPr>
        <w:t>Cancellation of Converted Securities</w:t>
      </w:r>
      <w:r>
        <w:rPr>
          <w:rFonts w:ascii="Arial" w:cs="Arial" w:eastAsia="Arial" w:hAnsi="Arial"/>
          <w:sz w:val="18"/>
          <w:szCs w:val="18"/>
          <w:color w:val="auto"/>
        </w:rPr>
        <w:t>. All Securities delivered for conversion shall be delivered to the Trustee to be cancelled by or at the direction of the Trustee, which shall dispose of the same as provided in Section 309.</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SECTION 1711. </w:t>
      </w:r>
      <w:r>
        <w:rPr>
          <w:rFonts w:ascii="Arial" w:cs="Arial" w:eastAsia="Arial" w:hAnsi="Arial"/>
          <w:sz w:val="17"/>
          <w:szCs w:val="17"/>
          <w:u w:val="single" w:color="auto"/>
          <w:color w:val="auto"/>
        </w:rPr>
        <w:t>Provisions in Case of Consolidation, Merger or Sale of Assets; Special Distributions</w:t>
      </w:r>
      <w:r>
        <w:rPr>
          <w:rFonts w:ascii="Arial" w:cs="Arial" w:eastAsia="Arial" w:hAnsi="Arial"/>
          <w:sz w:val="17"/>
          <w:szCs w:val="17"/>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1701,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80" w:lineRule="exact"/>
        <w:rPr>
          <w:sz w:val="20"/>
          <w:szCs w:val="20"/>
          <w:color w:val="auto"/>
        </w:rPr>
      </w:pPr>
    </w:p>
    <w:p>
      <w:pPr>
        <w:ind w:right="120" w:firstLine="8"/>
        <w:spacing w:after="0" w:line="264" w:lineRule="auto"/>
        <w:tabs>
          <w:tab w:leader="none" w:pos="2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73" w:lineRule="exact"/>
        <w:rPr>
          <w:rFonts w:ascii="Arial" w:cs="Arial" w:eastAsia="Arial" w:hAnsi="Arial"/>
          <w:sz w:val="18"/>
          <w:szCs w:val="18"/>
          <w:color w:val="auto"/>
        </w:rPr>
      </w:pPr>
    </w:p>
    <w:p>
      <w:pPr>
        <w:ind w:right="100" w:firstLine="8"/>
        <w:spacing w:after="0" w:line="276" w:lineRule="auto"/>
        <w:tabs>
          <w:tab w:leader="none" w:pos="25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1711 the kind and amount of securities, cash and other property receivable upon such consolidation, merger, sale, transfer or lease shall be deemed to be the kind and amount so receivable per share by a plurality of such shares of Common Stock).</w:t>
      </w:r>
    </w:p>
    <w:p>
      <w:pPr>
        <w:spacing w:after="0" w:line="1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stock or other securities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274" w:right="299" w:bottom="1440" w:gutter="0" w:footer="0" w:header="0"/>
        </w:sectPr>
      </w:pPr>
    </w:p>
    <w:bookmarkStart w:id="179" w:name="page180"/>
    <w:bookmarkEnd w:id="17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the Company shall execute a supplemental indenture pursuant to this Section 1711,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If the Company makes a distribution to all holders of its Common Stock that constitutes an Unadjusted Distribution pursuant to the last sentence of paragraph</w:t>
      </w:r>
    </w:p>
    <w:p>
      <w:pPr>
        <w:spacing w:after="0" w:line="46" w:lineRule="exact"/>
        <w:rPr>
          <w:sz w:val="20"/>
          <w:szCs w:val="20"/>
          <w:color w:val="auto"/>
        </w:rPr>
      </w:pPr>
    </w:p>
    <w:p>
      <w:pPr>
        <w:ind w:right="60" w:firstLine="8"/>
        <w:spacing w:after="0" w:line="253" w:lineRule="auto"/>
        <w:tabs>
          <w:tab w:leader="none" w:pos="2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of Section 1704,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1712. </w:t>
      </w:r>
      <w:r>
        <w:rPr>
          <w:rFonts w:ascii="Arial" w:cs="Arial" w:eastAsia="Arial" w:hAnsi="Arial"/>
          <w:sz w:val="18"/>
          <w:szCs w:val="18"/>
          <w:u w:val="single" w:color="auto"/>
          <w:color w:val="auto"/>
        </w:rPr>
        <w:t>Trustee Adjustment Disclaimer; Company Determination Final</w:t>
      </w:r>
      <w:r>
        <w:rPr>
          <w:rFonts w:ascii="Arial" w:cs="Arial" w:eastAsia="Arial" w:hAnsi="Arial"/>
          <w:sz w:val="18"/>
          <w:szCs w:val="18"/>
          <w:color w:val="auto"/>
        </w:rPr>
        <w:t>.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1713. </w:t>
      </w:r>
      <w:r>
        <w:rPr>
          <w:rFonts w:ascii="Arial" w:cs="Arial" w:eastAsia="Arial" w:hAnsi="Arial"/>
          <w:sz w:val="18"/>
          <w:szCs w:val="18"/>
          <w:u w:val="single" w:color="auto"/>
          <w:color w:val="auto"/>
        </w:rPr>
        <w:t>When No Adjustment Required</w:t>
      </w:r>
      <w:r>
        <w:rPr>
          <w:rFonts w:ascii="Arial" w:cs="Arial" w:eastAsia="Arial" w:hAnsi="Arial"/>
          <w:sz w:val="18"/>
          <w:szCs w:val="18"/>
          <w:color w:val="auto"/>
        </w:rPr>
        <w:t>. Except as expressly set forth in Section 1704,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79" w:lineRule="exact"/>
        <w:rPr>
          <w:sz w:val="20"/>
          <w:szCs w:val="20"/>
          <w:color w:val="auto"/>
        </w:rPr>
      </w:pPr>
    </w:p>
    <w:p>
      <w:pPr>
        <w:jc w:val="both"/>
        <w:ind w:right="40" w:firstLine="8"/>
        <w:spacing w:after="0" w:line="312" w:lineRule="auto"/>
        <w:tabs>
          <w:tab w:leader="none" w:pos="25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4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 xml:space="preserve">SECTION 1714. </w:t>
      </w:r>
      <w:r>
        <w:rPr>
          <w:rFonts w:ascii="Arial" w:cs="Arial" w:eastAsia="Arial" w:hAnsi="Arial"/>
          <w:sz w:val="16"/>
          <w:szCs w:val="16"/>
          <w:u w:val="single" w:color="auto"/>
          <w:color w:val="auto"/>
        </w:rPr>
        <w:t>Equivalent Adjustments</w:t>
      </w:r>
      <w:r>
        <w:rPr>
          <w:rFonts w:ascii="Arial" w:cs="Arial" w:eastAsia="Arial" w:hAnsi="Arial"/>
          <w:sz w:val="16"/>
          <w:szCs w:val="16"/>
          <w:color w:val="auto"/>
        </w:rPr>
        <w:t>. In the event that, as a result of an adjustment made pursuant to Section 1704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Seventeen.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4" w:right="279" w:bottom="1440" w:gutter="0" w:footer="0" w:header="0"/>
        </w:sectPr>
      </w:pPr>
    </w:p>
    <w:bookmarkStart w:id="180" w:name="page181"/>
    <w:bookmarkEnd w:id="180"/>
    <w:p>
      <w:pPr>
        <w:ind w:left="5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day and year first above written.</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274"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REDEEMABLE OR NON-REDEEMABLE SUBORDINATED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 </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If this Security is an Original Issue Discount Security, insert</w:t>
      </w:r>
      <w:r>
        <w:rPr>
          <w:rFonts w:ascii="Arial" w:cs="Arial" w:eastAsia="Arial" w:hAnsi="Arial"/>
          <w:sz w:val="17"/>
          <w:szCs w:val="17"/>
          <w:color w:val="auto"/>
        </w:rPr>
        <w:t xml:space="preserve"> — FOR PURPOSES OF SECTION 1273 and 1275 OF THE UNITED STATES INTERNAL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gridSpan w:val="8"/>
          </w:tcPr>
          <w:p>
            <w:pPr>
              <w:spacing w:after="0"/>
              <w:rPr>
                <w:sz w:val="20"/>
                <w:szCs w:val="20"/>
                <w:color w:val="auto"/>
              </w:rPr>
            </w:pPr>
            <w:r>
              <w:rPr>
                <w:rFonts w:ascii="Arial" w:cs="Arial" w:eastAsia="Arial" w:hAnsi="Arial"/>
                <w:sz w:val="18"/>
                <w:szCs w:val="18"/>
                <w:color w:val="auto"/>
              </w:rPr>
              <w:t>REVENUE CODE, THE AMOUNT OF ORIGINAL ISSUE DISCOUNT ON THIS SECURITY IS</w:t>
            </w: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w w:val="97"/>
              </w:rPr>
              <w:t>% OF ITS PRINCIPAL AMOUNT, THE ISSUE</w:t>
            </w: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DATE IS</w:t>
            </w:r>
          </w:p>
        </w:tc>
        <w:tc>
          <w:tcPr>
            <w:tcW w:w="3800" w:type="dxa"/>
            <w:vAlign w:val="bottom"/>
            <w:gridSpan w:val="2"/>
          </w:tcPr>
          <w:p>
            <w:pPr>
              <w:ind w:left="200"/>
              <w:spacing w:after="0"/>
              <w:rPr>
                <w:sz w:val="20"/>
                <w:szCs w:val="20"/>
                <w:color w:val="auto"/>
              </w:rPr>
            </w:pPr>
            <w:r>
              <w:rPr>
                <w:rFonts w:ascii="Arial" w:cs="Arial" w:eastAsia="Arial" w:hAnsi="Arial"/>
                <w:sz w:val="18"/>
                <w:szCs w:val="18"/>
                <w:color w:val="auto"/>
              </w:rPr>
              <w:t>, 20   , AND THE YIELD TO MATURITY IS</w:t>
            </w:r>
          </w:p>
        </w:tc>
        <w:tc>
          <w:tcPr>
            <w:tcW w:w="6740" w:type="dxa"/>
            <w:vAlign w:val="bottom"/>
            <w:gridSpan w:val="5"/>
          </w:tcPr>
          <w:p>
            <w:pPr>
              <w:ind w:left="400"/>
              <w:spacing w:after="0"/>
              <w:rPr>
                <w:sz w:val="20"/>
                <w:szCs w:val="20"/>
                <w:color w:val="auto"/>
              </w:rPr>
            </w:pPr>
            <w:r>
              <w:rPr>
                <w:rFonts w:ascii="Arial" w:cs="Arial" w:eastAsia="Arial" w:hAnsi="Arial"/>
                <w:sz w:val="18"/>
                <w:szCs w:val="18"/>
                <w:color w:val="auto"/>
                <w:w w:val="97"/>
              </w:rPr>
              <w:t>%. THE METHOD USED TO DETERMINE THE AMOUNT OF ORIGINAL ISSUE</w:t>
            </w:r>
          </w:p>
        </w:tc>
      </w:tr>
      <w:tr>
        <w:trPr>
          <w:trHeight w:val="216"/>
        </w:trPr>
        <w:tc>
          <w:tcPr>
            <w:tcW w:w="5300" w:type="dxa"/>
            <w:vAlign w:val="bottom"/>
            <w:gridSpan w:val="6"/>
          </w:tcPr>
          <w:p>
            <w:pPr>
              <w:spacing w:after="0"/>
              <w:rPr>
                <w:sz w:val="20"/>
                <w:szCs w:val="20"/>
                <w:color w:val="auto"/>
              </w:rPr>
            </w:pPr>
            <w:r>
              <w:rPr>
                <w:rFonts w:ascii="Arial" w:cs="Arial" w:eastAsia="Arial" w:hAnsi="Arial"/>
                <w:sz w:val="18"/>
                <w:szCs w:val="18"/>
                <w:color w:val="auto"/>
                <w:w w:val="97"/>
              </w:rPr>
              <w:t>DISCOUNT APPLICABLE TO THE SHORT ACCRUAL PERIOD OF</w:t>
            </w:r>
          </w:p>
        </w:tc>
        <w:tc>
          <w:tcPr>
            <w:tcW w:w="1420" w:type="dxa"/>
            <w:vAlign w:val="bottom"/>
          </w:tcPr>
          <w:p>
            <w:pPr>
              <w:ind w:left="460"/>
              <w:spacing w:after="0"/>
              <w:rPr>
                <w:sz w:val="20"/>
                <w:szCs w:val="20"/>
                <w:color w:val="auto"/>
              </w:rPr>
            </w:pPr>
            <w:r>
              <w:rPr>
                <w:rFonts w:ascii="Arial" w:cs="Arial" w:eastAsia="Arial" w:hAnsi="Arial"/>
                <w:sz w:val="18"/>
                <w:szCs w:val="18"/>
                <w:color w:val="auto"/>
              </w:rPr>
              <w:t>, 20   TO</w:t>
            </w:r>
          </w:p>
        </w:tc>
        <w:tc>
          <w:tcPr>
            <w:tcW w:w="980" w:type="dxa"/>
            <w:vAlign w:val="bottom"/>
          </w:tcPr>
          <w:p>
            <w:pPr>
              <w:ind w:left="180"/>
              <w:spacing w:after="0"/>
              <w:rPr>
                <w:sz w:val="20"/>
                <w:szCs w:val="20"/>
                <w:color w:val="auto"/>
              </w:rPr>
            </w:pPr>
            <w:r>
              <w:rPr>
                <w:rFonts w:ascii="Arial" w:cs="Arial" w:eastAsia="Arial" w:hAnsi="Arial"/>
                <w:sz w:val="18"/>
                <w:szCs w:val="18"/>
                <w:color w:val="auto"/>
              </w:rPr>
              <w:t>, 20  , IS</w:t>
            </w:r>
          </w:p>
        </w:tc>
        <w:tc>
          <w:tcPr>
            <w:tcW w:w="3720" w:type="dxa"/>
            <w:vAlign w:val="bottom"/>
            <w:gridSpan w:val="2"/>
          </w:tcPr>
          <w:p>
            <w:pPr>
              <w:ind w:left="480"/>
              <w:spacing w:after="0"/>
              <w:rPr>
                <w:sz w:val="20"/>
                <w:szCs w:val="20"/>
                <w:color w:val="auto"/>
              </w:rPr>
            </w:pPr>
            <w:r>
              <w:rPr>
                <w:rFonts w:ascii="Arial" w:cs="Arial" w:eastAsia="Arial" w:hAnsi="Arial"/>
                <w:sz w:val="18"/>
                <w:szCs w:val="18"/>
                <w:color w:val="auto"/>
              </w:rPr>
              <w:t>% OF THE PRINCIPAL AMOUNT OF</w:t>
            </w:r>
          </w:p>
        </w:tc>
      </w:tr>
      <w:tr>
        <w:trPr>
          <w:trHeight w:val="230"/>
        </w:trPr>
        <w:tc>
          <w:tcPr>
            <w:tcW w:w="4680" w:type="dxa"/>
            <w:vAlign w:val="bottom"/>
            <w:gridSpan w:val="5"/>
          </w:tcPr>
          <w:p>
            <w:pPr>
              <w:spacing w:after="0"/>
              <w:rPr>
                <w:sz w:val="20"/>
                <w:szCs w:val="20"/>
                <w:color w:val="auto"/>
              </w:rPr>
            </w:pPr>
            <w:r>
              <w:rPr>
                <w:rFonts w:ascii="Arial" w:cs="Arial" w:eastAsia="Arial" w:hAnsi="Arial"/>
                <w:sz w:val="18"/>
                <w:szCs w:val="18"/>
                <w:color w:val="auto"/>
              </w:rPr>
              <w:t>THIS SECURITY.]</w:t>
            </w: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jc w:val="center"/>
              <w:ind w:right="510"/>
              <w:spacing w:after="0"/>
              <w:rPr>
                <w:sz w:val="20"/>
                <w:szCs w:val="20"/>
                <w:color w:val="auto"/>
              </w:rPr>
            </w:pPr>
            <w:r>
              <w:rPr>
                <w:rFonts w:ascii="Arial" w:cs="Arial" w:eastAsia="Arial" w:hAnsi="Arial"/>
                <w:sz w:val="18"/>
                <w:szCs w:val="18"/>
                <w:color w:val="auto"/>
                <w:w w:val="97"/>
              </w:rPr>
              <w:t>NN, INC.</w:t>
            </w:r>
          </w:p>
        </w:tc>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91"/>
              </w:rPr>
              <w:t>[Designation of Series]</w:t>
            </w:r>
          </w:p>
        </w:tc>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9"/>
        </w:trPr>
        <w:tc>
          <w:tcPr>
            <w:tcW w:w="280" w:type="dxa"/>
            <w:vAlign w:val="bottom"/>
          </w:tcPr>
          <w:p>
            <w:pPr>
              <w:spacing w:after="0"/>
              <w:rPr>
                <w:sz w:val="20"/>
                <w:szCs w:val="20"/>
                <w:color w:val="auto"/>
              </w:rPr>
            </w:pPr>
            <w:r>
              <w:rPr>
                <w:rFonts w:ascii="Arial" w:cs="Arial" w:eastAsia="Arial" w:hAnsi="Arial"/>
                <w:sz w:val="18"/>
                <w:szCs w:val="18"/>
                <w:color w:val="auto"/>
                <w:w w:val="92"/>
              </w:rPr>
              <w:t>No.</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w w:val="97"/>
              </w:rPr>
              <w:t>CUSIP No.</w:t>
            </w:r>
          </w:p>
        </w:tc>
        <w:tc>
          <w:tcPr>
            <w:tcW w:w="540" w:type="dxa"/>
            <w:vAlign w:val="bottom"/>
            <w:tcBorders>
              <w:bottom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NN, INC., a Massachusetts corporation (herein referred to as the “Company,” which term includes any successor corporation under the Indenture referred to</w:t>
      </w:r>
    </w:p>
    <w:p>
      <w:pPr>
        <w:spacing w:after="0" w:line="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on the reverse hereof), for value received, hereby promises to pay to or registered assigns the principal sum of Dollars on (the “Stated Maturity Date”) [or </w:t>
      </w:r>
      <w:r>
        <w:rPr>
          <w:rFonts w:ascii="Arial" w:cs="Arial" w:eastAsia="Arial" w:hAnsi="Arial"/>
          <w:sz w:val="18"/>
          <w:szCs w:val="18"/>
          <w:u w:val="single" w:color="auto"/>
          <w:color w:val="auto"/>
        </w:rPr>
        <w:t>insert date fixed for earlier redemption</w:t>
      </w:r>
      <w:r>
        <w:rPr>
          <w:rFonts w:ascii="Arial" w:cs="Arial" w:eastAsia="Arial" w:hAnsi="Arial"/>
          <w:sz w:val="18"/>
          <w:szCs w:val="18"/>
          <w:color w:val="auto"/>
        </w:rPr>
        <w:t xml:space="preserve"> (the “Redemption Date,” and together with the Stated Maturity Date with respect to principal repayable on such date, the “Maturity Date.”)]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If the Security is to bear interest prior to Maturity, insert</w:t>
      </w:r>
      <w:r>
        <w:rPr>
          <w:rFonts w:ascii="Arial" w:cs="Arial" w:eastAsia="Arial" w:hAnsi="Arial"/>
          <w:sz w:val="16"/>
          <w:szCs w:val="16"/>
          <w:color w:val="auto"/>
        </w:rPr>
        <w:t xml:space="preserve"> — and to pay interest thereon from or from the most recent Interest Payment Date to which interest</w:t>
      </w:r>
    </w:p>
    <w:p>
      <w:pPr>
        <w:spacing w:after="0" w:line="4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has been paid or duly provided for, semi-annually on and in each year (each, an “Interest Payment Date”), commencing , at the rate of % per annum, until the principal hereof is paid or duly provided for. The interest so payable, and punctually paid or duly provided for, on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Date will, as provided in such Indenture, be paid to the Holder in whose name this Security (or one or more Predecessor Securities) is</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registered at the close of business on the Regular Record Date for such interest, which shall be the or (whether or not a Business Day), as the case may be, next preceding such Interest Payment Date [at the office or agency of the Company maintained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82" w:name="page183"/>
    <w:bookmarkEnd w:id="18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81" w:lineRule="exact"/>
        <w:rPr>
          <w:sz w:val="20"/>
          <w:szCs w:val="20"/>
          <w:color w:val="auto"/>
        </w:rPr>
      </w:pPr>
    </w:p>
    <w:p>
      <w:pPr>
        <w:ind w:right="260" w:firstLine="8"/>
        <w:spacing w:after="0" w:line="291" w:lineRule="auto"/>
        <w:tabs>
          <w:tab w:leader="none" w:pos="105"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If the Security is not to bear interest prior to Maturity, insert</w:t>
      </w:r>
      <w:r>
        <w:rPr>
          <w:rFonts w:ascii="Arial" w:cs="Arial" w:eastAsia="Arial" w:hAnsi="Arial"/>
          <w:sz w:val="16"/>
          <w:szCs w:val="16"/>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w:t>
      </w:r>
    </w:p>
    <w:p>
      <w:pPr>
        <w:ind w:right="260"/>
        <w:spacing w:after="0" w:line="281" w:lineRule="auto"/>
        <w:rPr>
          <w:sz w:val="20"/>
          <w:szCs w:val="20"/>
          <w:color w:val="auto"/>
        </w:rPr>
      </w:pPr>
      <w:r>
        <w:rPr>
          <w:rFonts w:ascii="Arial" w:cs="Arial" w:eastAsia="Arial" w:hAnsi="Arial"/>
          <w:sz w:val="16"/>
          <w:szCs w:val="16"/>
          <w:color w:val="auto"/>
        </w:rPr>
        <w:t>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w:t>
      </w:r>
    </w:p>
    <w:p>
      <w:pPr>
        <w:ind w:right="280"/>
        <w:spacing w:after="0" w:line="261"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the payment of public and private debts.</w:t>
      </w:r>
    </w:p>
    <w:p>
      <w:pPr>
        <w:spacing w:after="0" w:line="184"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ind w:right="20"/>
        <w:spacing w:after="0" w:line="288" w:lineRule="auto"/>
        <w:rPr>
          <w:sz w:val="20"/>
          <w:szCs w:val="20"/>
          <w:color w:val="auto"/>
        </w:rPr>
      </w:pPr>
      <w:r>
        <w:rPr>
          <w:rFonts w:ascii="Arial" w:cs="Arial" w:eastAsia="Arial" w:hAnsi="Arial"/>
          <w:sz w:val="16"/>
          <w:szCs w:val="16"/>
          <w:color w:val="auto"/>
        </w:rPr>
        <w:t>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69" w:lineRule="exact"/>
        <w:rPr>
          <w:sz w:val="20"/>
          <w:szCs w:val="20"/>
          <w:color w:val="auto"/>
        </w:rPr>
      </w:pPr>
    </w:p>
    <w:p>
      <w:pPr>
        <w:ind w:right="260" w:firstLine="8"/>
        <w:spacing w:after="0" w:line="277" w:lineRule="auto"/>
        <w:tabs>
          <w:tab w:leader="none" w:pos="105"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If this Security is a Global Security, insert</w:t>
      </w:r>
      <w:r>
        <w:rPr>
          <w:rFonts w:ascii="Arial" w:cs="Arial" w:eastAsia="Arial" w:hAnsi="Arial"/>
          <w:sz w:val="18"/>
          <w:szCs w:val="18"/>
          <w:color w:val="auto"/>
        </w:rPr>
        <w:t xml:space="preserve"> — All payments of principal, premium or Make-Whole Amount, if any, and interest in respect of this Security will be made by the Company in immediately available funds.]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 under its facsimile corporate seal.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6858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152400</wp:posOffset>
            </wp:positionV>
            <wp:extent cx="263271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Secretary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274" w:right="1440"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Indenture, dated as of , 201 (herein called the “Indenture”) between the Company and [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and the aggregate principal</w:t>
      </w:r>
    </w:p>
    <w:p>
      <w:pPr>
        <w:spacing w:after="0" w:line="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13"/>
          </w:tcPr>
          <w:p>
            <w:pPr>
              <w:spacing w:after="0"/>
              <w:rPr>
                <w:sz w:val="20"/>
                <w:szCs w:val="20"/>
                <w:color w:val="auto"/>
              </w:rPr>
            </w:pPr>
            <w:r>
              <w:rPr>
                <w:rFonts w:ascii="Arial" w:cs="Arial" w:eastAsia="Arial" w:hAnsi="Arial"/>
                <w:sz w:val="18"/>
                <w:szCs w:val="18"/>
                <w:color w:val="auto"/>
                <w:w w:val="95"/>
              </w:rPr>
              <w:t>[ If applicable, insert — The Securities may not be redeemed prior to the Stated Maturity Date.]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60" w:type="dxa"/>
            <w:vAlign w:val="bottom"/>
            <w:tcBorders>
              <w:left w:val="single" w:sz="8" w:color="auto"/>
            </w:tcBorders>
            <w:gridSpan w:val="6"/>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7180" w:type="dxa"/>
            <w:vAlign w:val="bottom"/>
            <w:gridSpan w:val="13"/>
          </w:tcPr>
          <w:p>
            <w:pPr>
              <w:spacing w:after="0"/>
              <w:rPr>
                <w:sz w:val="20"/>
                <w:szCs w:val="20"/>
                <w:color w:val="auto"/>
              </w:rPr>
            </w:pPr>
            <w:r>
              <w:rPr>
                <w:rFonts w:ascii="Arial" w:cs="Arial" w:eastAsia="Arial" w:hAnsi="Arial"/>
                <w:sz w:val="18"/>
                <w:szCs w:val="18"/>
                <w:color w:val="auto"/>
                <w:w w:val="94"/>
              </w:rPr>
              <w:t>[ If applicable, insert — The Securities are subject to redemption [ (l) ( If applicable, insert — on</w:t>
            </w:r>
          </w:p>
        </w:tc>
        <w:tc>
          <w:tcPr>
            <w:tcW w:w="380" w:type="dxa"/>
            <w:vAlign w:val="bottom"/>
          </w:tcPr>
          <w:p>
            <w:pPr>
              <w:spacing w:after="0"/>
              <w:rPr>
                <w:sz w:val="24"/>
                <w:szCs w:val="24"/>
                <w:color w:val="auto"/>
              </w:rPr>
            </w:pPr>
          </w:p>
        </w:tc>
        <w:tc>
          <w:tcPr>
            <w:tcW w:w="3260" w:type="dxa"/>
            <w:vAlign w:val="bottom"/>
            <w:gridSpan w:val="5"/>
          </w:tcPr>
          <w:p>
            <w:pPr>
              <w:ind w:left="20"/>
              <w:spacing w:after="0"/>
              <w:rPr>
                <w:sz w:val="20"/>
                <w:szCs w:val="20"/>
                <w:color w:val="auto"/>
              </w:rPr>
            </w:pPr>
            <w:r>
              <w:rPr>
                <w:rFonts w:ascii="Arial" w:cs="Arial" w:eastAsia="Arial" w:hAnsi="Arial"/>
                <w:sz w:val="18"/>
                <w:szCs w:val="18"/>
                <w:color w:val="auto"/>
              </w:rPr>
              <w:t>in any year commencing with the year</w:t>
            </w:r>
          </w:p>
        </w:tc>
        <w:tc>
          <w:tcPr>
            <w:tcW w:w="600" w:type="dxa"/>
            <w:vAlign w:val="bottom"/>
            <w:gridSpan w:val="3"/>
          </w:tcPr>
          <w:p>
            <w:pPr>
              <w:ind w:left="100"/>
              <w:spacing w:after="0"/>
              <w:rPr>
                <w:sz w:val="20"/>
                <w:szCs w:val="20"/>
                <w:color w:val="auto"/>
              </w:rPr>
            </w:pPr>
            <w:r>
              <w:rPr>
                <w:rFonts w:ascii="Arial" w:cs="Arial" w:eastAsia="Arial" w:hAnsi="Arial"/>
                <w:sz w:val="18"/>
                <w:szCs w:val="18"/>
                <w:color w:val="auto"/>
              </w:rPr>
              <w:t>and</w:t>
            </w:r>
          </w:p>
        </w:tc>
      </w:tr>
      <w:tr>
        <w:trPr>
          <w:trHeight w:val="20"/>
        </w:trPr>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940" w:type="dxa"/>
            <w:vAlign w:val="bottom"/>
            <w:gridSpan w:val="4"/>
          </w:tcPr>
          <w:p>
            <w:pPr>
              <w:spacing w:after="0" w:line="196" w:lineRule="exact"/>
              <w:rPr>
                <w:sz w:val="20"/>
                <w:szCs w:val="20"/>
                <w:color w:val="auto"/>
              </w:rPr>
            </w:pPr>
            <w:r>
              <w:rPr>
                <w:rFonts w:ascii="Arial" w:cs="Arial" w:eastAsia="Arial" w:hAnsi="Arial"/>
                <w:sz w:val="18"/>
                <w:szCs w:val="18"/>
                <w:color w:val="auto"/>
              </w:rPr>
              <w:t>ending with the year</w:t>
            </w:r>
          </w:p>
        </w:tc>
        <w:tc>
          <w:tcPr>
            <w:tcW w:w="9480" w:type="dxa"/>
            <w:vAlign w:val="bottom"/>
            <w:gridSpan w:val="18"/>
          </w:tcPr>
          <w:p>
            <w:pPr>
              <w:ind w:left="120"/>
              <w:spacing w:after="0" w:line="196" w:lineRule="exact"/>
              <w:rPr>
                <w:sz w:val="20"/>
                <w:szCs w:val="20"/>
                <w:color w:val="auto"/>
              </w:rPr>
            </w:pPr>
            <w:r>
              <w:rPr>
                <w:rFonts w:ascii="Arial" w:cs="Arial" w:eastAsia="Arial" w:hAnsi="Arial"/>
                <w:sz w:val="18"/>
                <w:szCs w:val="18"/>
                <w:color w:val="auto"/>
                <w:w w:val="93"/>
              </w:rPr>
              <w:t>through operation of the sinking fund for this series at a Redemption Price equal to 100% of the principal amount, and (2) ] [ If</w:t>
            </w:r>
          </w:p>
        </w:tc>
      </w:tr>
      <w:tr>
        <w:trPr>
          <w:trHeight w:val="20"/>
        </w:trPr>
        <w:tc>
          <w:tcPr>
            <w:tcW w:w="124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500" w:type="dxa"/>
            <w:vAlign w:val="bottom"/>
            <w:gridSpan w:val="8"/>
          </w:tcPr>
          <w:p>
            <w:pPr>
              <w:spacing w:after="0" w:line="196" w:lineRule="exact"/>
              <w:rPr>
                <w:sz w:val="20"/>
                <w:szCs w:val="20"/>
                <w:color w:val="auto"/>
              </w:rPr>
            </w:pPr>
            <w:r>
              <w:rPr>
                <w:rFonts w:ascii="Arial" w:cs="Arial" w:eastAsia="Arial" w:hAnsi="Arial"/>
                <w:sz w:val="18"/>
                <w:szCs w:val="18"/>
                <w:color w:val="auto"/>
              </w:rPr>
              <w:t>applicable, insert — at any time [on or after</w:t>
            </w:r>
          </w:p>
        </w:tc>
        <w:tc>
          <w:tcPr>
            <w:tcW w:w="7920" w:type="dxa"/>
            <w:vAlign w:val="bottom"/>
            <w:gridSpan w:val="14"/>
          </w:tcPr>
          <w:p>
            <w:pPr>
              <w:ind w:left="240"/>
              <w:spacing w:after="0" w:line="196" w:lineRule="exact"/>
              <w:rPr>
                <w:sz w:val="20"/>
                <w:szCs w:val="20"/>
                <w:color w:val="auto"/>
              </w:rPr>
            </w:pPr>
            <w:r>
              <w:rPr>
                <w:rFonts w:ascii="Arial" w:cs="Arial" w:eastAsia="Arial" w:hAnsi="Arial"/>
                <w:sz w:val="18"/>
                <w:szCs w:val="18"/>
                <w:color w:val="auto"/>
                <w:w w:val="91"/>
              </w:rPr>
              <w:t>], as a whole or in part, at the election of the Company, at the following Redemption Prices (expressed as</w:t>
            </w:r>
          </w:p>
        </w:tc>
      </w:tr>
      <w:tr>
        <w:trPr>
          <w:trHeight w:val="20"/>
        </w:trPr>
        <w:tc>
          <w:tcPr>
            <w:tcW w:w="1240" w:type="dxa"/>
            <w:vAlign w:val="bottom"/>
            <w:gridSpan w:val="2"/>
            <w:shd w:val="clear" w:color="auto" w:fill="000000"/>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840" w:type="dxa"/>
            <w:vAlign w:val="bottom"/>
            <w:gridSpan w:val="5"/>
          </w:tcPr>
          <w:p>
            <w:pPr>
              <w:spacing w:after="0"/>
              <w:rPr>
                <w:sz w:val="20"/>
                <w:szCs w:val="20"/>
                <w:color w:val="auto"/>
              </w:rPr>
            </w:pPr>
            <w:r>
              <w:rPr>
                <w:rFonts w:ascii="Arial" w:cs="Arial" w:eastAsia="Arial" w:hAnsi="Arial"/>
                <w:sz w:val="18"/>
                <w:szCs w:val="18"/>
                <w:color w:val="auto"/>
                <w:w w:val="94"/>
              </w:rPr>
              <w:t>percentages of the principal amount):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8"/>
        </w:trPr>
        <w:tc>
          <w:tcPr>
            <w:tcW w:w="1940" w:type="dxa"/>
            <w:vAlign w:val="bottom"/>
            <w:gridSpan w:val="4"/>
          </w:tcPr>
          <w:p>
            <w:pPr>
              <w:spacing w:after="0"/>
              <w:rPr>
                <w:sz w:val="20"/>
                <w:szCs w:val="20"/>
                <w:color w:val="auto"/>
              </w:rPr>
            </w:pPr>
            <w:r>
              <w:rPr>
                <w:rFonts w:ascii="Arial" w:cs="Arial" w:eastAsia="Arial" w:hAnsi="Arial"/>
                <w:sz w:val="18"/>
                <w:szCs w:val="18"/>
                <w:color w:val="auto"/>
                <w:w w:val="96"/>
              </w:rPr>
              <w:t>If redeemed on or before</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340" w:type="dxa"/>
            <w:vAlign w:val="bottom"/>
            <w:gridSpan w:val="8"/>
          </w:tcPr>
          <w:p>
            <w:pPr>
              <w:ind w:left="120"/>
              <w:spacing w:after="0"/>
              <w:rPr>
                <w:sz w:val="20"/>
                <w:szCs w:val="20"/>
                <w:color w:val="auto"/>
              </w:rPr>
            </w:pPr>
            <w:r>
              <w:rPr>
                <w:rFonts w:ascii="Arial" w:cs="Arial" w:eastAsia="Arial" w:hAnsi="Arial"/>
                <w:sz w:val="18"/>
                <w:szCs w:val="18"/>
                <w:color w:val="auto"/>
                <w:w w:val="92"/>
              </w:rPr>
              <w:t>% and if redeemed during the 12-month period beginning</w:t>
            </w:r>
          </w:p>
        </w:tc>
        <w:tc>
          <w:tcPr>
            <w:tcW w:w="380" w:type="dxa"/>
            <w:vAlign w:val="bottom"/>
          </w:tcPr>
          <w:p>
            <w:pPr>
              <w:spacing w:after="0"/>
              <w:rPr>
                <w:sz w:val="24"/>
                <w:szCs w:val="24"/>
                <w:color w:val="auto"/>
              </w:rPr>
            </w:pPr>
          </w:p>
        </w:tc>
        <w:tc>
          <w:tcPr>
            <w:tcW w:w="3860" w:type="dxa"/>
            <w:vAlign w:val="bottom"/>
            <w:gridSpan w:val="8"/>
          </w:tcPr>
          <w:p>
            <w:pPr>
              <w:ind w:left="140"/>
              <w:spacing w:after="0"/>
              <w:rPr>
                <w:sz w:val="20"/>
                <w:szCs w:val="20"/>
                <w:color w:val="auto"/>
              </w:rPr>
            </w:pPr>
            <w:r>
              <w:rPr>
                <w:rFonts w:ascii="Arial" w:cs="Arial" w:eastAsia="Arial" w:hAnsi="Arial"/>
                <w:sz w:val="18"/>
                <w:szCs w:val="18"/>
                <w:color w:val="auto"/>
                <w:w w:val="97"/>
              </w:rPr>
              <w:t>of the years indicated at the Redemption Prices</w:t>
            </w:r>
          </w:p>
        </w:tc>
      </w:tr>
      <w:tr>
        <w:trPr>
          <w:trHeight w:val="230"/>
        </w:trPr>
        <w:tc>
          <w:tcPr>
            <w:tcW w:w="1940" w:type="dxa"/>
            <w:vAlign w:val="bottom"/>
            <w:gridSpan w:val="4"/>
          </w:tcPr>
          <w:p>
            <w:pPr>
              <w:spacing w:after="0"/>
              <w:rPr>
                <w:sz w:val="20"/>
                <w:szCs w:val="20"/>
                <w:color w:val="auto"/>
              </w:rPr>
            </w:pPr>
            <w:r>
              <w:rPr>
                <w:rFonts w:ascii="Arial" w:cs="Arial" w:eastAsia="Arial" w:hAnsi="Arial"/>
                <w:sz w:val="18"/>
                <w:szCs w:val="18"/>
                <w:color w:val="auto"/>
              </w:rPr>
              <w:t>indicated below.</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05"/>
        </w:trPr>
        <w:tc>
          <w:tcPr>
            <w:tcW w:w="19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Redemption Price</w:t>
            </w:r>
          </w:p>
        </w:tc>
        <w:tc>
          <w:tcPr>
            <w:tcW w:w="24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Year</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9"/>
              </w:rPr>
              <w:t>Redemption Price</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385"/>
        </w:trPr>
        <w:tc>
          <w:tcPr>
            <w:tcW w:w="3500" w:type="dxa"/>
            <w:vAlign w:val="bottom"/>
            <w:gridSpan w:val="8"/>
          </w:tcPr>
          <w:p>
            <w:pPr>
              <w:spacing w:after="0"/>
              <w:rPr>
                <w:sz w:val="20"/>
                <w:szCs w:val="20"/>
                <w:color w:val="auto"/>
              </w:rPr>
            </w:pPr>
            <w:r>
              <w:rPr>
                <w:rFonts w:ascii="Arial" w:cs="Arial" w:eastAsia="Arial" w:hAnsi="Arial"/>
                <w:sz w:val="18"/>
                <w:szCs w:val="18"/>
                <w:color w:val="auto"/>
                <w:w w:val="95"/>
              </w:rPr>
              <w:t>and thereafter at a Redemption Price equal to</w:t>
            </w:r>
          </w:p>
        </w:tc>
        <w:tc>
          <w:tcPr>
            <w:tcW w:w="7920" w:type="dxa"/>
            <w:vAlign w:val="bottom"/>
            <w:gridSpan w:val="14"/>
          </w:tcPr>
          <w:p>
            <w:pPr>
              <w:ind w:left="340"/>
              <w:spacing w:after="0"/>
              <w:rPr>
                <w:sz w:val="20"/>
                <w:szCs w:val="20"/>
                <w:color w:val="auto"/>
              </w:rPr>
            </w:pPr>
            <w:r>
              <w:rPr>
                <w:rFonts w:ascii="Arial" w:cs="Arial" w:eastAsia="Arial" w:hAnsi="Arial"/>
                <w:sz w:val="18"/>
                <w:szCs w:val="18"/>
                <w:color w:val="auto"/>
                <w:w w:val="91"/>
              </w:rPr>
              <w:t>% of the principal amount, together in the case of any such redemption [ If applicable, insert — (whether</w:t>
            </w:r>
          </w:p>
        </w:tc>
      </w:tr>
      <w:tr>
        <w:trPr>
          <w:trHeight w:val="20"/>
        </w:trPr>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through operation of the sinking fund or otherwise)] with accrued interest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66" w:lineRule="exact"/>
        <w:rPr>
          <w:sz w:val="20"/>
          <w:szCs w:val="20"/>
          <w:color w:val="auto"/>
        </w:rPr>
      </w:pPr>
    </w:p>
    <w:p>
      <w:pPr>
        <w:ind w:right="100" w:firstLine="8"/>
        <w:spacing w:after="0" w:line="257" w:lineRule="auto"/>
        <w:tabs>
          <w:tab w:leader="none" w:pos="105"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If applicable, insert</w:t>
      </w:r>
      <w:r>
        <w:rPr>
          <w:rFonts w:ascii="Arial" w:cs="Arial" w:eastAsia="Arial" w:hAnsi="Arial"/>
          <w:sz w:val="18"/>
          <w:szCs w:val="18"/>
          <w:color w:val="auto"/>
        </w:rPr>
        <w:t xml:space="preserve"> — The Securities are subject to redemption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Redemption Price for</w:t>
            </w:r>
          </w:p>
        </w:tc>
        <w:tc>
          <w:tcPr>
            <w:tcW w:w="1340" w:type="dxa"/>
            <w:vAlign w:val="bottom"/>
          </w:tcPr>
          <w:p>
            <w:pPr>
              <w:spacing w:after="0"/>
              <w:rPr>
                <w:sz w:val="14"/>
                <w:szCs w:val="14"/>
                <w:color w:val="auto"/>
              </w:rPr>
            </w:pPr>
          </w:p>
        </w:tc>
        <w:tc>
          <w:tcPr>
            <w:tcW w:w="28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Redemption Price for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422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Redemption Otherwise Than</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4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Redemption Through</w:t>
            </w:r>
          </w:p>
        </w:tc>
        <w:tc>
          <w:tcPr>
            <w:tcW w:w="1340" w:type="dxa"/>
            <w:vAlign w:val="bottom"/>
          </w:tcPr>
          <w:p>
            <w:pPr>
              <w:spacing w:after="0"/>
              <w:rPr>
                <w:sz w:val="12"/>
                <w:szCs w:val="12"/>
                <w:color w:val="auto"/>
              </w:rPr>
            </w:pPr>
          </w:p>
        </w:tc>
        <w:tc>
          <w:tcPr>
            <w:tcW w:w="28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4"/>
              </w:rPr>
              <w:t>Through Operation of the</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Operation of the Sinking Fund</w:t>
            </w:r>
          </w:p>
        </w:tc>
        <w:tc>
          <w:tcPr>
            <w:tcW w:w="1340" w:type="dxa"/>
            <w:vAlign w:val="bottom"/>
          </w:tcPr>
          <w:p>
            <w:pPr>
              <w:spacing w:after="0"/>
              <w:rPr>
                <w:sz w:val="14"/>
                <w:szCs w:val="14"/>
                <w:color w:val="auto"/>
              </w:rPr>
            </w:pPr>
          </w:p>
        </w:tc>
        <w:tc>
          <w:tcPr>
            <w:tcW w:w="17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Sinking Fund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560" w:type="dxa"/>
            <w:vAlign w:val="bottom"/>
            <w:gridSpan w:val="3"/>
          </w:tcPr>
          <w:p>
            <w:pPr>
              <w:spacing w:after="0"/>
              <w:rPr>
                <w:sz w:val="20"/>
                <w:szCs w:val="20"/>
                <w:color w:val="auto"/>
              </w:rPr>
            </w:pPr>
            <w:r>
              <w:rPr>
                <w:rFonts w:ascii="Arial" w:cs="Arial" w:eastAsia="Arial" w:hAnsi="Arial"/>
                <w:sz w:val="18"/>
                <w:szCs w:val="18"/>
                <w:color w:val="auto"/>
                <w:w w:val="97"/>
              </w:rPr>
              <w:t>and thereafter at a Redemption Price equal to</w:t>
            </w:r>
          </w:p>
        </w:tc>
        <w:tc>
          <w:tcPr>
            <w:tcW w:w="7600" w:type="dxa"/>
            <w:vAlign w:val="bottom"/>
            <w:gridSpan w:val="5"/>
          </w:tcPr>
          <w:p>
            <w:pPr>
              <w:ind w:left="280"/>
              <w:spacing w:after="0"/>
              <w:rPr>
                <w:sz w:val="20"/>
                <w:szCs w:val="20"/>
                <w:color w:val="auto"/>
              </w:rPr>
            </w:pPr>
            <w:r>
              <w:rPr>
                <w:rFonts w:ascii="Arial" w:cs="Arial" w:eastAsia="Arial" w:hAnsi="Arial"/>
                <w:sz w:val="18"/>
                <w:szCs w:val="18"/>
                <w:color w:val="auto"/>
                <w:w w:val="90"/>
              </w:rPr>
              <w:t>% of the principal amount, together in the case of any such redemption (whether through operation of</w:t>
            </w:r>
          </w:p>
        </w:tc>
        <w:tc>
          <w:tcPr>
            <w:tcW w:w="0" w:type="dxa"/>
            <w:vAlign w:val="bottom"/>
          </w:tcPr>
          <w:p>
            <w:pPr>
              <w:spacing w:after="0"/>
              <w:rPr>
                <w:sz w:val="1"/>
                <w:szCs w:val="1"/>
                <w:color w:val="auto"/>
              </w:rPr>
            </w:pPr>
          </w:p>
        </w:tc>
      </w:tr>
    </w:tbl>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sinking fund or otherwise)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9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If applicable, insert</w:t>
      </w:r>
      <w:r>
        <w:rPr>
          <w:rFonts w:ascii="Arial" w:cs="Arial" w:eastAsia="Arial" w:hAnsi="Arial"/>
          <w:sz w:val="17"/>
          <w:szCs w:val="17"/>
          <w:color w:val="auto"/>
        </w:rPr>
        <w:t xml:space="preserve"> — Notwithstanding the foregoing, the Company may not, prior to , redeem any Securities as contemplated by [Clause (2) of] the preceding paragraph as a part of, or in anticipation of, any refunding operation by the application, directly or indirectly, of moneys borrowed having an</w:t>
      </w:r>
    </w:p>
    <w:tbl>
      <w:tblPr>
        <w:tblLayout w:type="fixed"/>
        <w:tblInd w:w="0" w:type="dxa"/>
        <w:tblCellMar>
          <w:top w:w="0" w:type="dxa"/>
          <w:left w:w="0" w:type="dxa"/>
          <w:bottom w:w="0" w:type="dxa"/>
          <w:right w:w="0" w:type="dxa"/>
        </w:tblCellMar>
      </w:tblPr>
      <w:tr>
        <w:trPr>
          <w:trHeight w:val="230"/>
        </w:trPr>
        <w:tc>
          <w:tcPr>
            <w:tcW w:w="8200" w:type="dxa"/>
            <w:vAlign w:val="bottom"/>
            <w:gridSpan w:val="6"/>
          </w:tcPr>
          <w:p>
            <w:pPr>
              <w:spacing w:after="0"/>
              <w:rPr>
                <w:sz w:val="20"/>
                <w:szCs w:val="20"/>
                <w:color w:val="auto"/>
              </w:rPr>
            </w:pPr>
            <w:r>
              <w:rPr>
                <w:rFonts w:ascii="Arial" w:cs="Arial" w:eastAsia="Arial" w:hAnsi="Arial"/>
                <w:sz w:val="18"/>
                <w:szCs w:val="18"/>
                <w:color w:val="auto"/>
                <w:w w:val="93"/>
              </w:rPr>
              <w:t>interest cost to the Company (calculated in accordance with generally accepted financial practice) of less than</w:t>
            </w:r>
          </w:p>
        </w:tc>
        <w:tc>
          <w:tcPr>
            <w:tcW w:w="1900" w:type="dxa"/>
            <w:vAlign w:val="bottom"/>
          </w:tcPr>
          <w:p>
            <w:pPr>
              <w:ind w:left="300"/>
              <w:spacing w:after="0"/>
              <w:rPr>
                <w:sz w:val="20"/>
                <w:szCs w:val="20"/>
                <w:color w:val="auto"/>
              </w:rPr>
            </w:pPr>
            <w:r>
              <w:rPr>
                <w:rFonts w:ascii="Arial" w:cs="Arial" w:eastAsia="Arial" w:hAnsi="Arial"/>
                <w:sz w:val="18"/>
                <w:szCs w:val="18"/>
                <w:color w:val="auto"/>
              </w:rPr>
              <w:t>% per annum.]</w:t>
            </w:r>
          </w:p>
        </w:tc>
        <w:tc>
          <w:tcPr>
            <w:tcW w:w="1320" w:type="dxa"/>
            <w:vAlign w:val="bottom"/>
          </w:tcPr>
          <w:p>
            <w:pPr>
              <w:spacing w:after="0"/>
              <w:rPr>
                <w:sz w:val="20"/>
                <w:szCs w:val="20"/>
                <w:color w:val="auto"/>
              </w:rPr>
            </w:pPr>
          </w:p>
        </w:tc>
      </w:tr>
      <w:tr>
        <w:trPr>
          <w:trHeight w:val="377"/>
        </w:trPr>
        <w:tc>
          <w:tcPr>
            <w:tcW w:w="6840" w:type="dxa"/>
            <w:vAlign w:val="bottom"/>
            <w:gridSpan w:val="4"/>
          </w:tcPr>
          <w:p>
            <w:pPr>
              <w:spacing w:after="0"/>
              <w:rPr>
                <w:sz w:val="20"/>
                <w:szCs w:val="20"/>
                <w:color w:val="auto"/>
              </w:rPr>
            </w:pPr>
            <w:r>
              <w:rPr>
                <w:rFonts w:ascii="Arial" w:cs="Arial" w:eastAsia="Arial" w:hAnsi="Arial"/>
                <w:sz w:val="18"/>
                <w:szCs w:val="18"/>
                <w:color w:val="auto"/>
                <w:w w:val="96"/>
              </w:rPr>
              <w:t>[ If applicable, insert — The sinking fund for the Securities provides for the redemption on</w:t>
            </w:r>
          </w:p>
        </w:tc>
        <w:tc>
          <w:tcPr>
            <w:tcW w:w="3260" w:type="dxa"/>
            <w:vAlign w:val="bottom"/>
            <w:gridSpan w:val="3"/>
          </w:tcPr>
          <w:p>
            <w:pPr>
              <w:ind w:left="300"/>
              <w:spacing w:after="0"/>
              <w:rPr>
                <w:sz w:val="20"/>
                <w:szCs w:val="20"/>
                <w:color w:val="auto"/>
              </w:rPr>
            </w:pPr>
            <w:r>
              <w:rPr>
                <w:rFonts w:ascii="Arial" w:cs="Arial" w:eastAsia="Arial" w:hAnsi="Arial"/>
                <w:sz w:val="18"/>
                <w:szCs w:val="18"/>
                <w:color w:val="auto"/>
              </w:rPr>
              <w:t>in each year, beginning with the year</w:t>
            </w:r>
          </w:p>
        </w:tc>
        <w:tc>
          <w:tcPr>
            <w:tcW w:w="1320" w:type="dxa"/>
            <w:vAlign w:val="bottom"/>
          </w:tcPr>
          <w:p>
            <w:pPr>
              <w:ind w:left="280"/>
              <w:spacing w:after="0"/>
              <w:rPr>
                <w:sz w:val="20"/>
                <w:szCs w:val="20"/>
                <w:color w:val="auto"/>
              </w:rPr>
            </w:pPr>
            <w:r>
              <w:rPr>
                <w:rFonts w:ascii="Arial" w:cs="Arial" w:eastAsia="Arial" w:hAnsi="Arial"/>
                <w:sz w:val="18"/>
                <w:szCs w:val="18"/>
                <w:color w:val="auto"/>
              </w:rPr>
              <w:t>and ending</w:t>
            </w:r>
          </w:p>
        </w:tc>
      </w:tr>
      <w:tr>
        <w:trPr>
          <w:trHeight w:val="20"/>
        </w:trPr>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r>
      <w:tr>
        <w:trPr>
          <w:trHeight w:val="237"/>
        </w:trPr>
        <w:tc>
          <w:tcPr>
            <w:tcW w:w="1500" w:type="dxa"/>
            <w:vAlign w:val="bottom"/>
            <w:gridSpan w:val="2"/>
          </w:tcPr>
          <w:p>
            <w:pPr>
              <w:spacing w:after="0"/>
              <w:rPr>
                <w:sz w:val="20"/>
                <w:szCs w:val="20"/>
                <w:color w:val="auto"/>
              </w:rPr>
            </w:pPr>
            <w:r>
              <w:rPr>
                <w:rFonts w:ascii="Arial" w:cs="Arial" w:eastAsia="Arial" w:hAnsi="Arial"/>
                <w:sz w:val="18"/>
                <w:szCs w:val="18"/>
                <w:color w:val="auto"/>
              </w:rPr>
              <w:t>with the year</w:t>
            </w:r>
          </w:p>
        </w:tc>
        <w:tc>
          <w:tcPr>
            <w:tcW w:w="1740" w:type="dxa"/>
            <w:vAlign w:val="bottom"/>
          </w:tcPr>
          <w:p>
            <w:pPr>
              <w:ind w:left="40"/>
              <w:spacing w:after="0"/>
              <w:rPr>
                <w:sz w:val="20"/>
                <w:szCs w:val="20"/>
                <w:color w:val="auto"/>
              </w:rPr>
            </w:pPr>
            <w:r>
              <w:rPr>
                <w:rFonts w:ascii="Arial" w:cs="Arial" w:eastAsia="Arial" w:hAnsi="Arial"/>
                <w:sz w:val="18"/>
                <w:szCs w:val="18"/>
                <w:color w:val="auto"/>
              </w:rPr>
              <w:t>, of [not less than] $</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w w:val="99"/>
              </w:rPr>
              <w:t>] [(“mandatory sinking fund”) and not more than $</w:t>
            </w: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w w:val="90"/>
              </w:rPr>
              <w:t>] aggregate principal amount of the Securities. [The</w:t>
            </w:r>
          </w:p>
        </w:tc>
      </w:tr>
    </w:tbl>
    <w:p>
      <w:pPr>
        <w:jc w:val="both"/>
        <w:ind w:right="20"/>
        <w:spacing w:after="0" w:line="261" w:lineRule="auto"/>
        <w:rPr>
          <w:sz w:val="20"/>
          <w:szCs w:val="20"/>
          <w:color w:val="auto"/>
        </w:rPr>
      </w:pPr>
      <w:r>
        <w:rPr>
          <w:rFonts w:ascii="Arial" w:cs="Arial" w:eastAsia="Arial" w:hAnsi="Arial"/>
          <w:sz w:val="18"/>
          <w:szCs w:val="18"/>
          <w:color w:val="auto"/>
        </w:rPr>
        <w:t xml:space="preserve">Securities acquired or redeemed by the Company otherwise than through [mandatory] sinking fund payments may be credited against subsequent [mandatory] sinking fund payments otherwise required to be made in the [ </w:t>
      </w:r>
      <w:r>
        <w:rPr>
          <w:rFonts w:ascii="Arial" w:cs="Arial" w:eastAsia="Arial" w:hAnsi="Arial"/>
          <w:sz w:val="18"/>
          <w:szCs w:val="18"/>
          <w:u w:val="single" w:color="auto"/>
          <w:color w:val="auto"/>
        </w:rPr>
        <w:t>describe order</w:t>
      </w:r>
      <w:r>
        <w:rPr>
          <w:rFonts w:ascii="Arial" w:cs="Arial" w:eastAsia="Arial" w:hAnsi="Arial"/>
          <w:sz w:val="18"/>
          <w:szCs w:val="18"/>
          <w:color w:val="auto"/>
        </w:rPr>
        <w:t xml:space="preserve"> ] order in which they become due.]]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53" w:right="239" w:bottom="1440" w:gutter="0" w:footer="0" w:header="0"/>
        </w:sectPr>
      </w:pPr>
    </w:p>
    <w:bookmarkStart w:id="186" w:name="page187"/>
    <w:bookmarkEnd w:id="186"/>
    <w:p>
      <w:pPr>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This Security is subordinated to the prior payment in full in cash of Senior Indebtedness to the extent set forth in Article Sixteen of the Indenture.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of this series are issuable only in registered form [without coupons] in denominations of $ and any integral multiple thereof.</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74" w:right="259" w:bottom="1440" w:gutter="0" w:footer="0" w:header="0"/>
        </w:sectPr>
      </w:pPr>
    </w:p>
    <w:bookmarkStart w:id="187" w:name="page188"/>
    <w:bookmarkEnd w:id="18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FORMS OF CERTIFICATION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CERTIFICATE TO BE GIVEN BY PERSON ENTITLED TO RECEIVE BEARER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SECURITY OR TO OBTAIN INTEREST PAYABLE PRIOR TO THE EXCHANGE DATE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right="60" w:firstLine="8"/>
        <w:spacing w:after="0" w:line="251" w:lineRule="auto"/>
        <w:tabs>
          <w:tab w:leader="none" w:pos="24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foreign branches of United States financial institutions (financial institutions, as defined in United States Treasury Regulations 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NN,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4" w:right="27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3429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be dated no earlier than the 15th day prior to (i) the Exchange Date or (ii) the relevant Interest Payment Date occurring prior to the Exchange Date, as applicable]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80"/>
          </w:cols>
          <w:pgMar w:left="240" w:top="274" w:right="57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B-2</w:t>
      </w:r>
    </w:p>
    <w:p>
      <w:pPr>
        <w:spacing w:after="0" w:line="225" w:lineRule="exact"/>
        <w:rPr>
          <w:sz w:val="20"/>
          <w:szCs w:val="20"/>
          <w:color w:val="auto"/>
        </w:rPr>
      </w:pPr>
    </w:p>
    <w:p>
      <w:pPr>
        <w:jc w:val="center"/>
        <w:ind w:left="260" w:right="2220"/>
        <w:spacing w:after="0" w:line="286" w:lineRule="auto"/>
        <w:rPr>
          <w:sz w:val="20"/>
          <w:szCs w:val="20"/>
          <w:color w:val="auto"/>
        </w:rPr>
      </w:pPr>
      <w:r>
        <w:rPr>
          <w:rFonts w:ascii="Arial" w:cs="Arial" w:eastAsia="Arial" w:hAnsi="Arial"/>
          <w:sz w:val="17"/>
          <w:szCs w:val="17"/>
          <w:color w:val="auto"/>
        </w:rPr>
        <w:t>FORM OF CERTIFICATE TO BE GIVEN BY EUROCLEAR AND CLEARSTREAM S.A. IN CONNECTION WITH THE EXCHANGE OF A PORTION OF A TEMPORARY GLOBAL SECURITY OR TO OBTAIN INTEREST PAYABLE PRIOR TO THE EXCHANGE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NN,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w:t>
      </w:r>
    </w:p>
    <w:p>
      <w:pPr>
        <w:spacing w:after="0" w:line="4" w:lineRule="exact"/>
        <w:rPr>
          <w:sz w:val="20"/>
          <w:szCs w:val="20"/>
          <w:color w:val="auto"/>
        </w:rPr>
      </w:pPr>
    </w:p>
    <w:p>
      <w:pPr>
        <w:ind w:right="160" w:firstLine="8"/>
        <w:spacing w:after="0" w:line="261" w:lineRule="auto"/>
        <w:tabs>
          <w:tab w:leader="none" w:pos="21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or (ii)) have certified that they have not acquired the Securities for purposes of resale directly or indirectly to a United States person or to a person within the United States or its possessions.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understand that this certification is required in connection with certain tax legislation in the United States. If administrative or legal proceedings 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commenced or threatened in connection with which this certificate is or would be relevant, we irrevocably authorize you to produce this certificate or a copy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thereof to any interested party in such proceedings.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be dated no earlier than the Exchange Date or the relevant Interest Payment Date occurring prior to the Exchange Date, as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Guaranty Trust Company of New York, Brussels Office, as Operator of the Euroclear System Clearstream Banking Luxembourg]</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74" w:right="2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FIRST TENNESSEE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74750" cy="643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74750" cy="643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165 MADISON AVENUE</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MEMPHIS, TENNESSEE 38103</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PHONE: 901.526.2000</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FAX: 901.577.2303</w:t>
      </w:r>
    </w:p>
    <w:p>
      <w:pPr>
        <w:spacing w:after="0" w:line="11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www.bakerdonelson.com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 37604</w:t>
      </w:r>
    </w:p>
    <w:p>
      <w:pPr>
        <w:spacing w:after="0" w:line="238"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color w:val="auto"/>
        </w:rPr>
        <w:t>We have acted as counsel to NN, Inc., a Delaware corporation (the “Company”), in connection with the Company’s registration statement on Form S-3 (the “Registration Statement”), including the prospectus that is part of the Registration Statement (the “Prospectus”), to be filed on or about December 29, 2014, with the Securities and Exchange Commission (the “Commission”) under the Securities Act of 1933, as amended (the “Securities Act”). The Prospectus provides that it will be supplemented in the future by one or more prospectus supplements (each, a “Prospectus Supplement”). The Prospectus, as supplemented by the various Prospectus Supplements, will provide for the issuance and sale from time to time by the Company of up to an aggregate of $200,000,000 if its: (i) shares of common stock, $0.01 par value per share (the “Common Stock”), (ii) shares of the Company’s preferred stock, $0.01 par value per share (the “Preferred Stock”), (iii) one or more series of senior or subordinated debt securities of the Company (the “Debt Securities”),</w:t>
      </w:r>
    </w:p>
    <w:p>
      <w:pPr>
        <w:spacing w:after="0" w:line="3" w:lineRule="exact"/>
        <w:rPr>
          <w:sz w:val="20"/>
          <w:szCs w:val="20"/>
          <w:color w:val="auto"/>
        </w:rPr>
      </w:pPr>
    </w:p>
    <w:p>
      <w:pPr>
        <w:ind w:right="20" w:firstLine="8"/>
        <w:spacing w:after="0" w:line="254" w:lineRule="auto"/>
        <w:tabs>
          <w:tab w:leader="none" w:pos="30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warrants to purchase shares of Common Stock, shares of Preferred Stock and/or Debt Securities (the “Warrants”), (v) units comprised of shares of Common Stock, shares of Preferred Stock, Warrants and other securities of the Company in any combination (the “Units”), and/or (vi) any combination of the foregoing. The Common Stock, the Preferred Stock, the Debt Securities, the Warrants and the Units that may be offered and sold by the Company are herein referred to as the “Registered Securities”.</w:t>
      </w:r>
    </w:p>
    <w:p>
      <w:pPr>
        <w:spacing w:after="0" w:line="19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Registered Securities may be offered and sold by the Company from time to time pursuant to Rule 415 under the Securities Act as set forth in the Prospectus, as supplemented by the various Prospectus Supplements that may be filed under the Securities Act. This opinion letter is furnished to you at your request to enable you to fulfill the requirements of Item 16 of Form S-3 and Item 601(b)(5) of Regulation S-K, in connection with the filing of the Registration Statement.</w:t>
      </w:r>
    </w:p>
    <w:p>
      <w:pPr>
        <w:spacing w:after="0" w:line="18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Debt Securities consist of senior debt securities or subordinated debt securities and will be issued pursuant to one or more indentures in the forms filed as Exhibits 4.6 and 4.8 to the Registration Statement, as each may be amended or supplemented from time to time (each, as amended or supplemented, an “Indenture”), between the Company, as obligor, and a trustee chosen by the Company and qualified to act as such under the Trust Indenture Act of 1939, as amended (the “Trustee”).</w:t>
      </w:r>
    </w:p>
    <w:p>
      <w:pPr>
        <w:sectPr>
          <w:pgSz w:w="11900" w:h="16838" w:orient="portrait"/>
          <w:cols w:equalWidth="0" w:num="1">
            <w:col w:w="11420"/>
          </w:cols>
          <w:pgMar w:left="240" w:top="121" w:right="2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Warrants may be issued pursuant to a warrant agreement (the terms and conditions of which will be set forth in a Prospectus Supplement(s) relating to an issuance of Warrants), between the Company and a financial institution to be identified therein as a warrant agent (the “Warrant Agent”), as such warrant agreement may be supplemented from time to time (collectively, the “Warrant Agreement”).</w:t>
      </w:r>
    </w:p>
    <w:p>
      <w:pPr>
        <w:spacing w:after="0" w:line="18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connection with this opinion, we have examined the Registration Statement and the Indenture. We have also examined originals or copies certified to our satisfaction of such records, documents, certificates, memoranda and other instruments as in our judgment are necessary or appropriate to enable us to render the opinion expressed below, and we have undertaken no independent verification with respect thereto. We have assumed the genuineness and authenticity of all documents submitted to us as originals, and the conformity to originals of all documents where due execution and delivery are a prerequisite to the effectiveness thereof. As to certain factual matters, we have relied upon representations of officers of the Company and have not sought to independently verify such matters.</w:t>
      </w:r>
    </w:p>
    <w:p>
      <w:pPr>
        <w:spacing w:after="0" w:line="19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To the extent that the obligations of the Company under Debt Securities may be dependent upon such matters, we assume for purposes of this opinion letter that (i) the Trustee is duly organized, validly existing and in good standing under the laws of its jurisdiction of organization; (ii) the Trustee is duly qualified to engage in the activities contemplated by the Indenture; (iii) the Indenture has been duly authorized, executed and delivered by the Trustee and constitutes the legally valid and binding obligation of the Trustee, enforceable against the Trustee in accordance with its terms; (iv) the Trustee is in compliance, generally and with respect to acting as a trustee under the Indenture, with all applicable laws and regulations; and (v) the Trustee has the requisite organizational and legal power and authority to execute and deliver and to perform its obligations under the Indenture.</w:t>
      </w:r>
    </w:p>
    <w:p>
      <w:pPr>
        <w:spacing w:after="0" w:line="178"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To the extent that the obligations of the Company under Warrants may be dependent upon such matters, we assume for purposes of this opinion letter that (i) the Warrant Agent is duly organized, validly existing and in good standing under the laws of its jurisdiction of organization; (ii) the Warrant Agent is duly qualified to engage in the activities contemplated by the Warrant Agreement; (iii) the Warrant Agreement has been duly authorized, executed and delivered by the Warrant Agent and constitutes the legally valid and binding obligation of the Warrant Agent, enforceable against the Warrant Agent in accordance with its terms; (iv) the Warrant Agent is in compliance, generally and with respect to acting as a trustee under the Warrant Agreement, with all applicable laws and regulations; and (v) the Warrant Agent has the requisite organizational and legal power and authority to execute and deliver and to perform its obligations under the Warrant Agreement.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we are of the opinion that:</w:t>
      </w:r>
    </w:p>
    <w:p>
      <w:pPr>
        <w:spacing w:after="0" w:line="131" w:lineRule="exact"/>
        <w:rPr>
          <w:sz w:val="20"/>
          <w:szCs w:val="20"/>
          <w:color w:val="auto"/>
        </w:rPr>
      </w:pPr>
    </w:p>
    <w:p>
      <w:pPr>
        <w:ind w:left="900" w:right="140" w:hanging="446"/>
        <w:spacing w:after="0" w:line="302"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Company has the authority pursuant to its Restated Certificate of Incorporation of the Company (“Charter”), to issue up to an aggregate of 45,000,000 shares of Common Stock. When (i) the Board of Directors of the Company has adopted a resolution in form and content as required by applicable law authorizing the issuance of shares of Common Stock (with such shares, together with all shares previously issued or reserved for issuance and not duly and lawfully retired, not exceeding an aggregate of 45,000,000 shares), (ii) the Registration</w:t>
      </w:r>
    </w:p>
    <w:p>
      <w:pPr>
        <w:sectPr>
          <w:pgSz w:w="11900" w:h="16838" w:orient="portrait"/>
          <w:cols w:equalWidth="0" w:num="1">
            <w:col w:w="11400"/>
          </w:cols>
          <w:pgMar w:left="240" w:top="274" w:right="2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920" w:right="60"/>
        <w:spacing w:after="0" w:line="279" w:lineRule="auto"/>
        <w:rPr>
          <w:sz w:val="20"/>
          <w:szCs w:val="20"/>
          <w:color w:val="auto"/>
        </w:rPr>
      </w:pPr>
      <w:r>
        <w:rPr>
          <w:rFonts w:ascii="Arial" w:cs="Arial" w:eastAsia="Arial" w:hAnsi="Arial"/>
          <w:sz w:val="17"/>
          <w:szCs w:val="17"/>
          <w:color w:val="auto"/>
        </w:rPr>
        <w:t>Statement and any required post-effective amendments thereto and any and all Prospectus Supplement(s) required by applicable laws have all become effective under the Securities Act, and (iii) such shares are issued and delivered and payment of legal consideration in excess of the par value thereof is received in the manner contemplated by the Registration Statement, the Prospectus and the related Prospectus Supplement(s) and by such resolution, such shares of Common Stock will be validly issued, fully paid and nonassessable.</w:t>
      </w:r>
    </w:p>
    <w:p>
      <w:pPr>
        <w:spacing w:after="0" w:line="77" w:lineRule="exact"/>
        <w:rPr>
          <w:sz w:val="20"/>
          <w:szCs w:val="20"/>
          <w:color w:val="auto"/>
        </w:rPr>
      </w:pPr>
    </w:p>
    <w:p>
      <w:pPr>
        <w:ind w:left="900" w:hanging="446"/>
        <w:spacing w:after="0" w:line="253"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has the authority pursuant to its Charter to issue up to an aggregate of 5,000,000 shares of Preferred Stock. When (i) a series of Preferred Stock has been duly established in accordance with the terms of the Charter and applicable law, (ii) when the Board of Directors of the Company has adopted a resolution in form and content as required by applicable law authorizing the issuance of shares of Preferred Stock (with such shares, together with all shares previously issued or reserved for issuance and not duly and lawfully retired, not exceeding an aggregate of 5,000,000 shares), (iii) the Registration Statement and any required post-effective amendments thereto and any and all Prospectus Supplement(s) required by applicable laws have all become effective under the Securities Act, and (iv) such shares are issued and delivered and payment of legal consideration in excess of the par value thereof is received in the manner contemplated by the Registration Statement, the Prospectus and the related Prospectus Supplement(s) and by such resolution, shares of such series of Preferred Stock will be validly issued, fully paid and nonassessable.</w:t>
      </w:r>
    </w:p>
    <w:p>
      <w:pPr>
        <w:spacing w:after="0" w:line="102" w:lineRule="exact"/>
        <w:rPr>
          <w:rFonts w:ascii="Arial" w:cs="Arial" w:eastAsia="Arial" w:hAnsi="Arial"/>
          <w:sz w:val="18"/>
          <w:szCs w:val="18"/>
          <w:color w:val="auto"/>
        </w:rPr>
      </w:pPr>
    </w:p>
    <w:p>
      <w:pPr>
        <w:ind w:left="900" w:right="60" w:hanging="446"/>
        <w:spacing w:after="0" w:line="287"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When (i) the Indenture has been duly executed and delivered by the Company and the Trustee, (ii) the Debt Securities have been duly established in accordance with the Indenture (including, without limitation, the adoption by the Board of Directors of the Company, or a duly formed committee thereof, of a resolution duly authorizing the issuance and delivery of the Debt Securities), duly authenticated by the Trustee and duly executed and delivered on behalf of the Company against payment therefor in accordance with the terms and provisions of the Indenture and as contemplated by the Registration Statement, the Prospectus and the related Prospectus Supplement(s), and (iii) the Registration Statement and any required post-effective amendments thereto and any and all Prospectus Supplement(s) required by applicable laws have all become effective under the Securities Act, and assuming that the (x) terms of the Debt Securities as executed and delivered are as described in the Registration Statement, the Prospectus and the related Prospectus Supplement(s), (y) Debt Securities as executed and delivered do not violate any law applicable to the Company or result in a default under or breach of any agreement or instrument binding upon the Company, and (z) Debt Securities as executed and delivered comply with all requirements and restrictions, if any, applicable to the Company, whether imposed by any court or governmental or regulatory body having jurisdiction over the Company, the Debt Securities will constitute legally valid and binding obligations of the Company, enforceable against the Company in accordance with their terms.</w:t>
      </w:r>
    </w:p>
    <w:p>
      <w:pPr>
        <w:spacing w:after="0" w:line="74"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When (i) the Warrant Agreement has been duly executed and delivered by the Company and the Warrant Agent, (ii) the Warrants have been established in accordance with the Warrant Agreement (including, without limitation, the adoption by the Board of Directors of the Company, or a duly formed committee thereof, of a resolution duly authorizing the issuance and delivery of the Warrants), duly authenticated by the Warrant Agent and duly executed and</w:t>
      </w:r>
    </w:p>
    <w:p>
      <w:pPr>
        <w:sectPr>
          <w:pgSz w:w="11900" w:h="16838" w:orient="portrait"/>
          <w:cols w:equalWidth="0" w:num="1">
            <w:col w:w="11420"/>
          </w:cols>
          <w:pgMar w:left="240" w:top="274"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20" w:right="80"/>
        <w:spacing w:after="0" w:line="270" w:lineRule="auto"/>
        <w:rPr>
          <w:sz w:val="20"/>
          <w:szCs w:val="20"/>
          <w:color w:val="auto"/>
        </w:rPr>
      </w:pPr>
      <w:r>
        <w:rPr>
          <w:rFonts w:ascii="Arial" w:cs="Arial" w:eastAsia="Arial" w:hAnsi="Arial"/>
          <w:sz w:val="17"/>
          <w:szCs w:val="17"/>
          <w:color w:val="auto"/>
        </w:rPr>
        <w:t>delivered on behalf of the Company against payment therefor in accordance with the terms and provisions of the Warrant Agreement and as contemplated by the Registration Statement, the Prospectus and the related Prospectus Supplement(s), and (iii) the Registration Statement and any required post-effective amendments thereto and any and all Prospectus Supplement(s) required by applicable laws have all become effective under the Securities Act, and assuming that the (x) terms of the Warrants executed and delivered are as described in the Registration Statement, the Prospectus and the related Prospectus Supplement(s), (y) Warrants as executed and delivered do not violate any law applicable to the Company or result in a default under or breach of any agreement or instrument binding upon the Company, and (z) Warrants as executed and delivered comply with all requirements and restrictions, if any, applicable to the Company, whether imposed by any court or governmental or regulatory body having jurisdiction over the Company, the Warrants will constitute legally valid and binding obligations of the Company, enforceable against the Company in accordance with their terms.</w:t>
      </w:r>
    </w:p>
    <w:p>
      <w:pPr>
        <w:spacing w:after="0" w:line="18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opinions provided above are subject to the following exceptions, limitations and qualifications: (i) the effect of bankruptcy, insolvency, fraudulent transfer, reorganization, moratorium or other similar laws relating to or affecting the rights and remedies of creditors (including, without limitation, the effect of statutory or other laws regarding preferential transferees); (ii) the effect of general equitable principles (including, without limitation, concepts of materiality, reasonableness, good faith and fair dealing), regardless of whether considered in a proceeding at law or in equity,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and (iv) the unenforceability of any provision requiring the payment of attorneys’ fees, where such payment is contrary to law or public policy.</w:t>
      </w:r>
    </w:p>
    <w:p>
      <w:pPr>
        <w:spacing w:after="0" w:line="16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express no opinion as to (i) the effectiveness (A) of any waiver (whether or not stated as such) under Section 514 of the Indenture, or otherwise, or any consent thereunder relating to, any unknown future rights or the rights of any party thereto existing, or duties owing to it, as a matter of law;</w:t>
      </w:r>
    </w:p>
    <w:p>
      <w:pPr>
        <w:ind w:right="60" w:firstLine="8"/>
        <w:spacing w:after="0" w:line="268" w:lineRule="auto"/>
        <w:tabs>
          <w:tab w:leader="none" w:pos="28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of any waiver (whether or not stated as such) contained in the Indenture of rights of any party, or duties owing to it, that is broadly or vaguely stated or does not describe the right or duty purportedly waived with reasonable specificity; (C) of any provisions of the Indenture or Warrant Agreement that may be construed as penalties or forfeitures; or (D) of any covenants (other than covenants relating to the payment of principal, interest, premium, indemnities and expenses) in the Indenture or Warrant Agreement to the extent they are construed to be independent requirements as distinguished from conditions to the declaration or occurrence of a default or any event of default; or (ii) the validity, binding effect or enforceability of any provision of the Indenture or Warrant Agreement related to choice of governing law to the extent that the validity, binding effect or enforceability of any such provision is to be determined by any court other than a court of the State of New York or State of Delaware or a federal district court sitting in the State of New York or State of Delaware, in each case, applying the choice of law principles of the State of New York or the State of Delaware, respectively.</w:t>
      </w:r>
    </w:p>
    <w:p>
      <w:pPr>
        <w:spacing w:after="0" w:line="184"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Our examination of matters of law in connection with the opinions expressed herein has been limited to, and accordingly our opinions expressed herein are limited to, the laws of the State of New York and the laws of the State of Delaware. We express no opinion with respect to the laws of any other jurisdiction.</w:t>
      </w:r>
    </w:p>
    <w:p>
      <w:pPr>
        <w:sectPr>
          <w:pgSz w:w="11900" w:h="16838" w:orient="portrait"/>
          <w:cols w:equalWidth="0" w:num="1">
            <w:col w:w="11400"/>
          </w:cols>
          <w:pgMar w:left="240" w:top="274" w:right="2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opinion is given as of the date hereof, and we assume no obligation to advise you after the date hereof of facts or circumstances that come to our attention or changes in law that occur which could affect the opinions contained herein.</w:t>
      </w:r>
    </w:p>
    <w:p>
      <w:pPr>
        <w:spacing w:after="0" w:line="170" w:lineRule="exact"/>
        <w:rPr>
          <w:sz w:val="20"/>
          <w:szCs w:val="20"/>
          <w:color w:val="auto"/>
        </w:rPr>
      </w:pPr>
    </w:p>
    <w:p>
      <w:pPr>
        <w:ind w:right="540" w:firstLine="913"/>
        <w:spacing w:after="0" w:line="342" w:lineRule="auto"/>
        <w:rPr>
          <w:sz w:val="20"/>
          <w:szCs w:val="20"/>
          <w:color w:val="auto"/>
        </w:rPr>
      </w:pPr>
      <w:r>
        <w:rPr>
          <w:rFonts w:ascii="Arial" w:cs="Arial" w:eastAsia="Arial" w:hAnsi="Arial"/>
          <w:sz w:val="16"/>
          <w:szCs w:val="16"/>
          <w:color w:val="auto"/>
        </w:rPr>
        <w:t>We hereby consent to the reference to our name under the caption “Legal Matters” in the Prospectus constituting a part of the Registration Statement, and any amendments or supplements thereto, and further consent to the filing of this opinion as Exhibit 5.1 to the Registration Statement.</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BAKER, DONELSON, BEARMAN, CALDWELL &amp;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BERKOWITZ, a professional corporation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Representative</w:t>
      </w:r>
    </w:p>
    <w:p>
      <w:pPr>
        <w:sectPr>
          <w:pgSz w:w="11900" w:h="16838" w:orient="portrait"/>
          <w:cols w:equalWidth="0" w:num="1">
            <w:col w:w="11400"/>
          </w:cols>
          <w:pgMar w:left="240" w:top="274" w:right="25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December 31, 2009 through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Nine Months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ratio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4"/>
                <w:szCs w:val="14"/>
                <w:color w:val="auto"/>
                <w:w w:val="92"/>
              </w:rPr>
              <w:t>For Nine Months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Ended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color w:val="auto"/>
                <w:w w:val="89"/>
              </w:rPr>
              <w:t>September 30,</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w w:val="95"/>
              </w:rPr>
              <w:t>For Fiscal Years Ended December 31,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4"/>
                <w:szCs w:val="14"/>
                <w:color w:val="auto"/>
                <w:w w:val="96"/>
              </w:rPr>
              <w:t>2014</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2010</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9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10,621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25,178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20,341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26,105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10,985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(37,624)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Distributed income of equity investees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Fixed charges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8,843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6,253</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10,968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11,162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Adjusted Earnings</w:t>
            </w:r>
          </w:p>
        </w:tc>
        <w:tc>
          <w:tcPr>
            <w:tcW w:w="9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29,877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26,594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34,001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21,953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(26,462)</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9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 expense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720"/>
              <w:spacing w:after="0"/>
              <w:rPr>
                <w:sz w:val="20"/>
                <w:szCs w:val="20"/>
                <w:color w:val="auto"/>
              </w:rPr>
            </w:pPr>
            <w:r>
              <w:rPr>
                <w:rFonts w:ascii="Arial" w:cs="Arial" w:eastAsia="Arial" w:hAnsi="Arial"/>
                <w:sz w:val="18"/>
                <w:szCs w:val="18"/>
                <w:color w:val="auto"/>
              </w:rPr>
              <w:t>Total Fixed Charges</w:t>
            </w: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11,162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2.49x</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6.36x</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4.26x</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4.31x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2.01x</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nine months ended September 30, 2014 were significantly impacted by certain costs related to four acquisitions completed in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Additional earnings of $37.6 million would have been needed to achieve a coverage of 1:1 for the year ended December 31, 2009.</w:t>
      </w:r>
    </w:p>
    <w:p>
      <w:pPr>
        <w:sectPr>
          <w:pgSz w:w="11900" w:h="16838" w:orient="portrait"/>
          <w:cols w:equalWidth="0" w:num="1">
            <w:col w:w="11420"/>
          </w:cols>
          <w:pgMar w:left="240" w:top="12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814705" cy="6172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47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March 14, 2014 relating to the financial statements, financial statement schedule and the effectiveness of internal control over financial reporting, which appears in NN Inc.’s Annual Report on Form 10-K for the year ended December 31, 2013. We also consent to the reference to us under the heading “Experts” in such Registration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2014</w:t>
      </w:r>
    </w:p>
    <w:p>
      <w:pPr>
        <w:sectPr>
          <w:pgSz w:w="11900" w:h="16838" w:orient="portrait"/>
          <w:cols w:equalWidth="0" w:num="1">
            <w:col w:w="11420"/>
          </w:cols>
          <w:pgMar w:left="240" w:top="12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 dated March 28, 2014, related to the consolidated financial statements of Autocam Corporation as of and for the years ended December 31, 2013, 2012, and 2011, appearing in the Amendment to the Current Report on Form 8-K of NN, Inc. dated October 27, 2014, and to the reference to us under the heading “Experts” in the Prospectus, which is a part of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w:t>
      </w:r>
      <w:r>
        <w:rPr>
          <w:rFonts w:ascii="Arial" w:cs="Arial" w:eastAsia="Arial" w:hAnsi="Arial"/>
          <w:sz w:val="18"/>
          <w:szCs w:val="18"/>
          <w:i w:val="1"/>
          <w:iCs w:val="1"/>
          <w:color w:val="auto"/>
        </w:rPr>
        <w:t>,</w:t>
      </w:r>
      <w:r>
        <w:rPr>
          <w:rFonts w:ascii="Arial" w:cs="Arial" w:eastAsia="Arial" w:hAnsi="Arial"/>
          <w:sz w:val="18"/>
          <w:szCs w:val="18"/>
          <w:color w:val="auto"/>
        </w:rPr>
        <w:t xml:space="preserve">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1)"/>
      <w:numFmt w:val="decimal"/>
      <w:start w:val="1"/>
    </w:lvl>
  </w:abstractNum>
  <w:abstractNum w:abstractNumId="1">
    <w:nsid w:val="9DAF632"/>
    <w:multiLevelType w:val="hybridMultilevel"/>
    <w:lvl w:ilvl="0">
      <w:lvlJc w:val="left"/>
      <w:lvlText w:val="(%1)"/>
      <w:numFmt w:val="decimal"/>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
      <w:numFmt w:val="bullet"/>
      <w:start w:val="1"/>
    </w:lvl>
    <w:lvl w:ilvl="1">
      <w:lvlJc w:val="left"/>
      <w:lvlText w:val="(%2)"/>
      <w:numFmt w:val="decimal"/>
      <w:start w:val="2"/>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
      <w:numFmt w:val="bullet"/>
      <w:start w:val="1"/>
    </w:lvl>
  </w:abstractNum>
  <w:abstractNum w:abstractNumId="7">
    <w:nsid w:val="288F1A34"/>
    <w:multiLevelType w:val="hybridMultilevel"/>
    <w:lvl w:ilvl="0">
      <w:lvlJc w:val="left"/>
      <w:lvlText w:val="•"/>
      <w:numFmt w:val="bullet"/>
      <w:start w:val="1"/>
    </w:lvl>
  </w:abstractNum>
  <w:abstractNum w:abstractNumId="8">
    <w:nsid w:val="2A155DBC"/>
    <w:multiLevelType w:val="hybridMultilevel"/>
    <w:lvl w:ilvl="0">
      <w:lvlJc w:val="left"/>
      <w:lvlText w:val="•"/>
      <w:numFmt w:val="bullet"/>
      <w:start w:val="1"/>
    </w:lvl>
  </w:abstractNum>
  <w:abstractNum w:abstractNumId="9">
    <w:nsid w:val="1D9F6E5F"/>
    <w:multiLevelType w:val="hybridMultilevel"/>
    <w:lvl w:ilvl="0">
      <w:lvlJc w:val="left"/>
      <w:lvlText w:val="•"/>
      <w:numFmt w:val="bullet"/>
      <w:start w:val="1"/>
    </w:lvl>
    <w:lvl w:ilvl="1">
      <w:lvlJc w:val="left"/>
      <w:lvlText w:val="(%2)"/>
      <w:numFmt w:val="decimal"/>
      <w:start w:val="1"/>
    </w:lvl>
  </w:abstractNum>
  <w:abstractNum w:abstractNumId="10">
    <w:nsid w:val="97E1B4E"/>
    <w:multiLevelType w:val="hybridMultilevel"/>
    <w:lvl w:ilvl="0">
      <w:lvlJc w:val="left"/>
      <w:lvlText w:val="•"/>
      <w:numFmt w:val="bullet"/>
      <w:start w:val="1"/>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
      <w:numFmt w:val="bullet"/>
      <w:start w:val="1"/>
    </w:lvl>
  </w:abstractNum>
  <w:abstractNum w:abstractNumId="14">
    <w:nsid w:val="415E286C"/>
    <w:multiLevelType w:val="hybridMultilevel"/>
    <w:lvl w:ilvl="0">
      <w:lvlJc w:val="left"/>
      <w:lvlText w:val="•"/>
      <w:numFmt w:val="bullet"/>
      <w:start w:val="1"/>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
      <w:numFmt w:val="bullet"/>
      <w:start w:val="1"/>
    </w:lvl>
  </w:abstractNum>
  <w:abstractNum w:abstractNumId="17">
    <w:nsid w:val="45E6D486"/>
    <w:multiLevelType w:val="hybridMultilevel"/>
    <w:lvl w:ilvl="0">
      <w:lvlJc w:val="left"/>
      <w:lvlText w:val="•"/>
      <w:numFmt w:val="bullet"/>
      <w:start w:val="1"/>
    </w:lvl>
  </w:abstractNum>
  <w:abstractNum w:abstractNumId="18">
    <w:nsid w:val="5C10FE21"/>
    <w:multiLevelType w:val="hybridMultilevel"/>
    <w:lvl w:ilvl="0">
      <w:lvlJc w:val="left"/>
      <w:lvlText w:val="•"/>
      <w:numFmt w:val="bullet"/>
      <w:start w:val="1"/>
    </w:lvl>
  </w:abstractNum>
  <w:abstractNum w:abstractNumId="19">
    <w:nsid w:val="E7FFA2B"/>
    <w:multiLevelType w:val="hybridMultilevel"/>
    <w:lvl w:ilvl="0">
      <w:lvlJc w:val="left"/>
      <w:lvlText w:val="•"/>
      <w:numFmt w:val="bullet"/>
      <w:start w:val="1"/>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
      <w:numFmt w:val="bullet"/>
      <w:start w:val="1"/>
    </w:lvl>
  </w:abstractNum>
  <w:abstractNum w:abstractNumId="23">
    <w:nsid w:val="39B7AAA2"/>
    <w:multiLevelType w:val="hybridMultilevel"/>
    <w:lvl w:ilvl="0">
      <w:lvlJc w:val="left"/>
      <w:lvlText w:val="•"/>
      <w:numFmt w:val="bullet"/>
      <w:start w:val="1"/>
    </w:lvl>
  </w:abstractNum>
  <w:abstractNum w:abstractNumId="24">
    <w:nsid w:val="2B0D8DBE"/>
    <w:multiLevelType w:val="hybridMultilevel"/>
    <w:lvl w:ilvl="0">
      <w:lvlJc w:val="left"/>
      <w:lvlText w:val="•"/>
      <w:numFmt w:val="bullet"/>
      <w:start w:val="1"/>
    </w:lvl>
  </w:abstractNum>
  <w:abstractNum w:abstractNumId="25">
    <w:nsid w:val="6C80EC70"/>
    <w:multiLevelType w:val="hybridMultilevel"/>
    <w:lvl w:ilvl="0">
      <w:lvlJc w:val="left"/>
      <w:lvlText w:val="•"/>
      <w:numFmt w:val="bullet"/>
      <w:start w:val="1"/>
    </w:lvl>
  </w:abstractNum>
  <w:abstractNum w:abstractNumId="26">
    <w:nsid w:val="379E21B5"/>
    <w:multiLevelType w:val="hybridMultilevel"/>
    <w:lvl w:ilvl="0">
      <w:lvlJc w:val="left"/>
      <w:lvlText w:val="•"/>
      <w:numFmt w:val="bullet"/>
      <w:start w:val="1"/>
    </w:lvl>
  </w:abstractNum>
  <w:abstractNum w:abstractNumId="27">
    <w:nsid w:val="69E373"/>
    <w:multiLevelType w:val="hybridMultilevel"/>
    <w:lvl w:ilvl="0">
      <w:lvlJc w:val="left"/>
      <w:lvlText w:val="•"/>
      <w:numFmt w:val="bullet"/>
      <w:start w:val="1"/>
    </w:lvl>
  </w:abstractNum>
  <w:abstractNum w:abstractNumId="28">
    <w:nsid w:val="2C27173B"/>
    <w:multiLevelType w:val="hybridMultilevel"/>
    <w:lvl w:ilvl="0">
      <w:lvlJc w:val="left"/>
      <w:lvlText w:val="•"/>
      <w:numFmt w:val="bullet"/>
      <w:start w:val="1"/>
    </w:lvl>
  </w:abstractNum>
  <w:abstractNum w:abstractNumId="29">
    <w:nsid w:val="4C9B0904"/>
    <w:multiLevelType w:val="hybridMultilevel"/>
    <w:lvl w:ilvl="0">
      <w:lvlJc w:val="left"/>
      <w:lvlText w:val="•"/>
      <w:numFmt w:val="bullet"/>
      <w:start w:val="1"/>
    </w:lvl>
  </w:abstractNum>
  <w:abstractNum w:abstractNumId="30">
    <w:nsid w:val="6AA7B75C"/>
    <w:multiLevelType w:val="hybridMultilevel"/>
    <w:lvl w:ilvl="0">
      <w:lvlJc w:val="left"/>
      <w:lvlText w:val="•"/>
      <w:numFmt w:val="bullet"/>
      <w:start w:val="1"/>
    </w:lvl>
  </w:abstractNum>
  <w:abstractNum w:abstractNumId="31">
    <w:nsid w:val="1DF029D3"/>
    <w:multiLevelType w:val="hybridMultilevel"/>
    <w:lvl w:ilvl="0">
      <w:lvlJc w:val="left"/>
      <w:lvlText w:val="•"/>
      <w:numFmt w:val="bullet"/>
      <w:start w:val="1"/>
    </w:lvl>
  </w:abstractNum>
  <w:abstractNum w:abstractNumId="32">
    <w:nsid w:val="5675FF36"/>
    <w:multiLevelType w:val="hybridMultilevel"/>
    <w:lvl w:ilvl="0">
      <w:lvlJc w:val="left"/>
      <w:lvlText w:val="•"/>
      <w:numFmt w:val="bullet"/>
      <w:start w:val="1"/>
    </w:lvl>
  </w:abstractNum>
  <w:abstractNum w:abstractNumId="33">
    <w:nsid w:val="3DD15094"/>
    <w:multiLevelType w:val="hybridMultilevel"/>
    <w:lvl w:ilvl="0">
      <w:lvlJc w:val="left"/>
      <w:lvlText w:val="•"/>
      <w:numFmt w:val="bullet"/>
      <w:start w:val="1"/>
    </w:lvl>
  </w:abstractNum>
  <w:abstractNum w:abstractNumId="34">
    <w:nsid w:val="3DB012B3"/>
    <w:multiLevelType w:val="hybridMultilevel"/>
    <w:lvl w:ilvl="0">
      <w:lvlJc w:val="left"/>
      <w:lvlText w:val="•"/>
      <w:numFmt w:val="bullet"/>
      <w:start w:val="1"/>
    </w:lvl>
  </w:abstractNum>
  <w:abstractNum w:abstractNumId="35">
    <w:nsid w:val="2708C9AF"/>
    <w:multiLevelType w:val="hybridMultilevel"/>
    <w:lvl w:ilvl="0">
      <w:lvlJc w:val="left"/>
      <w:lvlText w:val="•"/>
      <w:numFmt w:val="bullet"/>
      <w:start w:val="1"/>
    </w:lvl>
  </w:abstractNum>
  <w:abstractNum w:abstractNumId="36">
    <w:nsid w:val="5B25ACE2"/>
    <w:multiLevelType w:val="hybridMultilevel"/>
    <w:lvl w:ilvl="0">
      <w:lvlJc w:val="left"/>
      <w:lvlText w:val="*"/>
      <w:numFmt w:val="bullet"/>
      <w:start w:val="1"/>
    </w:lvl>
  </w:abstractNum>
  <w:abstractNum w:abstractNumId="37">
    <w:nsid w:val="175DFCF0"/>
    <w:multiLevelType w:val="hybridMultilevel"/>
    <w:lvl w:ilvl="0">
      <w:lvlJc w:val="left"/>
      <w:lvlText w:val="(%1)"/>
      <w:numFmt w:val="decimal"/>
      <w:start w:val="1"/>
    </w:lvl>
    <w:lvl w:ilvl="1">
      <w:lvlJc w:val="left"/>
      <w:lvlText w:val="(%2)"/>
      <w:numFmt w:val="lowerRoman"/>
      <w:start w:val="1"/>
    </w:lvl>
  </w:abstractNum>
  <w:abstractNum w:abstractNumId="38">
    <w:nsid w:val="4F97E3E4"/>
    <w:multiLevelType w:val="hybridMultilevel"/>
    <w:lvl w:ilvl="0">
      <w:lvlJc w:val="left"/>
      <w:lvlText w:val="(%1)"/>
      <w:numFmt w:val="decimal"/>
      <w:start w:val="2"/>
    </w:lvl>
    <w:lvl w:ilvl="1">
      <w:lvlJc w:val="left"/>
      <w:lvlText w:val="(%2)"/>
      <w:numFmt w:val="lowerRoman"/>
      <w:start w:val="1"/>
    </w:lvl>
  </w:abstractNum>
  <w:abstractNum w:abstractNumId="39">
    <w:nsid w:val="53B0A9E"/>
    <w:multiLevelType w:val="hybridMultilevel"/>
    <w:lvl w:ilvl="0">
      <w:lvlJc w:val="left"/>
      <w:lvlText w:val="%1"/>
      <w:numFmt w:val="decimal"/>
      <w:start w:val="1"/>
    </w:lvl>
    <w:lvl w:ilvl="1">
      <w:lvlJc w:val="left"/>
      <w:lvlText w:val="(%2)"/>
      <w:numFmt w:val="lowerRoman"/>
      <w:start w:val="1"/>
    </w:lvl>
  </w:abstractNum>
  <w:abstractNum w:abstractNumId="40">
    <w:nsid w:val="34FD6B4F"/>
    <w:multiLevelType w:val="hybridMultilevel"/>
    <w:lvl w:ilvl="0">
      <w:lvlJc w:val="left"/>
      <w:lvlText w:val="(%1)"/>
      <w:numFmt w:val="decimal"/>
      <w:start w:val="6"/>
    </w:lvl>
    <w:lvl w:ilvl="1">
      <w:lvlJc w:val="left"/>
      <w:lvlText w:val="%2"/>
      <w:numFmt w:val="lowerRoman"/>
      <w:start w:val="1"/>
    </w:lvl>
  </w:abstractNum>
  <w:abstractNum w:abstractNumId="41">
    <w:nsid w:val="5915FF32"/>
    <w:multiLevelType w:val="hybridMultilevel"/>
    <w:lvl w:ilvl="0">
      <w:lvlJc w:val="left"/>
      <w:lvlText w:val="["/>
      <w:numFmt w:val="bullet"/>
      <w:start w:val="1"/>
    </w:lvl>
  </w:abstractNum>
  <w:abstractNum w:abstractNumId="42">
    <w:nsid w:val="56438D15"/>
    <w:multiLevelType w:val="hybridMultilevel"/>
    <w:lvl w:ilvl="0">
      <w:lvlJc w:val="left"/>
      <w:lvlText w:val="(%1)"/>
      <w:numFmt w:val="decimal"/>
      <w:start w:val="1"/>
    </w:lvl>
  </w:abstractNum>
  <w:abstractNum w:abstractNumId="43">
    <w:nsid w:val="519E3149"/>
    <w:multiLevelType w:val="hybridMultilevel"/>
    <w:lvl w:ilvl="0">
      <w:lvlJc w:val="left"/>
      <w:lvlText w:val="(%1)"/>
      <w:numFmt w:val="lowerRoman"/>
      <w:start w:val="1"/>
    </w:lvl>
  </w:abstractNum>
  <w:abstractNum w:abstractNumId="44">
    <w:nsid w:val="2C6E4AFD"/>
    <w:multiLevelType w:val="hybridMultilevel"/>
    <w:lvl w:ilvl="0">
      <w:lvlJc w:val="left"/>
      <w:lvlText w:val="\ldblquote"/>
      <w:numFmt w:val="bullet"/>
      <w:start w:val="1"/>
    </w:lvl>
  </w:abstractNum>
  <w:abstractNum w:abstractNumId="45">
    <w:nsid w:val="17A1B582"/>
    <w:multiLevelType w:val="hybridMultilevel"/>
    <w:lvl w:ilvl="0">
      <w:lvlJc w:val="left"/>
      <w:lvlText w:val="(%1)"/>
      <w:numFmt w:val="decimal"/>
      <w:start w:val="1"/>
    </w:lvl>
  </w:abstractNum>
  <w:abstractNum w:abstractNumId="46">
    <w:nsid w:val="4DF72E4E"/>
    <w:multiLevelType w:val="hybridMultilevel"/>
    <w:lvl w:ilvl="0">
      <w:lvlJc w:val="left"/>
      <w:lvlText w:val="(%1)"/>
      <w:numFmt w:val="lowerLetter"/>
      <w:start w:val="1"/>
    </w:lvl>
  </w:abstractNum>
  <w:abstractNum w:abstractNumId="47">
    <w:nsid w:val="5046B5A9"/>
    <w:multiLevelType w:val="hybridMultilevel"/>
    <w:lvl w:ilvl="0">
      <w:lvlJc w:val="left"/>
      <w:lvlText w:val="(%1)"/>
      <w:numFmt w:val="lowerLetter"/>
      <w:start w:val="2"/>
    </w:lvl>
  </w:abstractNum>
  <w:abstractNum w:abstractNumId="48">
    <w:nsid w:val="5D888A08"/>
    <w:multiLevelType w:val="hybridMultilevel"/>
    <w:lvl w:ilvl="0">
      <w:lvlJc w:val="left"/>
      <w:lvlText w:val="(%1)"/>
      <w:numFmt w:val="decimal"/>
      <w:start w:val="2"/>
    </w:lvl>
  </w:abstractNum>
  <w:abstractNum w:abstractNumId="49">
    <w:nsid w:val="2A082C70"/>
    <w:multiLevelType w:val="hybridMultilevel"/>
    <w:lvl w:ilvl="0">
      <w:lvlJc w:val="left"/>
      <w:lvlText w:val="(%1)"/>
      <w:numFmt w:val="decimal"/>
      <w:start w:val="1"/>
    </w:lvl>
  </w:abstractNum>
  <w:abstractNum w:abstractNumId="50">
    <w:nsid w:val="5EC6AFD4"/>
    <w:multiLevelType w:val="hybridMultilevel"/>
    <w:lvl w:ilvl="0">
      <w:lvlJc w:val="left"/>
      <w:lvlText w:val="(%1)"/>
      <w:numFmt w:val="decimal"/>
      <w:start w:val="10"/>
    </w:lvl>
  </w:abstractNum>
  <w:abstractNum w:abstractNumId="51">
    <w:nsid w:val="19E21BB2"/>
    <w:multiLevelType w:val="hybridMultilevel"/>
    <w:lvl w:ilvl="0">
      <w:lvlJc w:val="left"/>
      <w:lvlText w:val="(%1)"/>
      <w:numFmt w:val="decimal"/>
      <w:start w:val="21"/>
    </w:lvl>
  </w:abstractNum>
  <w:abstractNum w:abstractNumId="52">
    <w:nsid w:val="75E0858A"/>
    <w:multiLevelType w:val="hybridMultilevel"/>
    <w:lvl w:ilvl="0">
      <w:lvlJc w:val="left"/>
      <w:lvlText w:val="(%1)"/>
      <w:numFmt w:val="lowerLetter"/>
      <w:start w:val="1"/>
    </w:lvl>
  </w:abstractNum>
  <w:abstractNum w:abstractNumId="53">
    <w:nsid w:val="57A61A29"/>
    <w:multiLevelType w:val="hybridMultilevel"/>
    <w:lvl w:ilvl="0">
      <w:lvlJc w:val="left"/>
      <w:lvlText w:val="(%1)"/>
      <w:numFmt w:val="lowerRoman"/>
      <w:start w:val="2"/>
    </w:lvl>
  </w:abstractNum>
  <w:abstractNum w:abstractNumId="54">
    <w:nsid w:val="5399C654"/>
    <w:multiLevelType w:val="hybridMultilevel"/>
    <w:lvl w:ilvl="0">
      <w:lvlJc w:val="left"/>
      <w:lvlText w:val="(%1)"/>
      <w:numFmt w:val="lowerLetter"/>
      <w:start w:val="1"/>
    </w:lvl>
  </w:abstractNum>
  <w:abstractNum w:abstractNumId="55">
    <w:nsid w:val="20EE1348"/>
    <w:multiLevelType w:val="hybridMultilevel"/>
    <w:lvl w:ilvl="0">
      <w:lvlJc w:val="left"/>
      <w:lvlText w:val="(%1)"/>
      <w:numFmt w:val="lowerLetter"/>
      <w:start w:val="2"/>
    </w:lvl>
  </w:abstractNum>
  <w:abstractNum w:abstractNumId="56">
    <w:nsid w:val="4427069A"/>
    <w:multiLevelType w:val="hybridMultilevel"/>
    <w:lvl w:ilvl="0">
      <w:lvlJc w:val="left"/>
      <w:lvlText w:val="(%1)"/>
      <w:numFmt w:val="lowerLetter"/>
      <w:start w:val="24"/>
    </w:lvl>
  </w:abstractNum>
  <w:abstractNum w:abstractNumId="57">
    <w:nsid w:val="B37E80A"/>
    <w:multiLevelType w:val="hybridMultilevel"/>
    <w:lvl w:ilvl="0">
      <w:lvlJc w:val="left"/>
      <w:lvlText w:val="(%1)"/>
      <w:numFmt w:val="lowerLetter"/>
      <w:start w:val="26"/>
    </w:lvl>
  </w:abstractNum>
  <w:abstractNum w:abstractNumId="58">
    <w:nsid w:val="2157F6BC"/>
    <w:multiLevelType w:val="hybridMultilevel"/>
    <w:lvl w:ilvl="0">
      <w:lvlJc w:val="left"/>
      <w:lvlText w:val="(%1)"/>
      <w:numFmt w:val="lowerRoman"/>
      <w:start w:val="2"/>
    </w:lvl>
  </w:abstractNum>
  <w:abstractNum w:abstractNumId="59">
    <w:nsid w:val="704E1DD5"/>
    <w:multiLevelType w:val="hybridMultilevel"/>
    <w:lvl w:ilvl="0">
      <w:lvlJc w:val="left"/>
      <w:lvlText w:val="(%1)"/>
      <w:numFmt w:val="decimal"/>
      <w:start w:val="1"/>
    </w:lvl>
  </w:abstractNum>
  <w:abstractNum w:abstractNumId="60">
    <w:nsid w:val="57D2F10E"/>
    <w:multiLevelType w:val="hybridMultilevel"/>
    <w:lvl w:ilvl="0">
      <w:lvlJc w:val="left"/>
      <w:lvlText w:val="(%1)"/>
      <w:numFmt w:val="decimal"/>
      <w:start w:val="2"/>
    </w:lvl>
  </w:abstractNum>
  <w:abstractNum w:abstractNumId="61">
    <w:nsid w:val="BFFAE18"/>
    <w:multiLevelType w:val="hybridMultilevel"/>
    <w:lvl w:ilvl="0">
      <w:lvlJc w:val="left"/>
      <w:lvlText w:val="(%1)"/>
      <w:numFmt w:val="upperLetter"/>
      <w:start w:val="1"/>
    </w:lvl>
  </w:abstractNum>
  <w:abstractNum w:abstractNumId="62">
    <w:nsid w:val="E3E47A8"/>
    <w:multiLevelType w:val="hybridMultilevel"/>
    <w:lvl w:ilvl="0">
      <w:lvlJc w:val="left"/>
      <w:lvlText w:val="(%1)"/>
      <w:numFmt w:val="lowerRoman"/>
      <w:start w:val="2"/>
    </w:lvl>
  </w:abstractNum>
  <w:abstractNum w:abstractNumId="63">
    <w:nsid w:val="2E48F044"/>
    <w:multiLevelType w:val="hybridMultilevel"/>
    <w:lvl w:ilvl="0">
      <w:lvlJc w:val="left"/>
      <w:lvlText w:val="(%1)"/>
      <w:numFmt w:val="decimal"/>
      <w:start w:val="2"/>
    </w:lvl>
  </w:abstractNum>
  <w:abstractNum w:abstractNumId="64">
    <w:nsid w:val="49D0FEAC"/>
    <w:multiLevelType w:val="hybridMultilevel"/>
    <w:lvl w:ilvl="0">
      <w:lvlJc w:val="left"/>
      <w:lvlText w:val="(%1)"/>
      <w:numFmt w:val="decimal"/>
      <w:start w:val="1"/>
    </w:lvl>
  </w:abstractNum>
  <w:abstractNum w:abstractNumId="65">
    <w:nsid w:val="4BEE5A5B"/>
    <w:multiLevelType w:val="hybridMultilevel"/>
    <w:lvl w:ilvl="0">
      <w:lvlJc w:val="left"/>
      <w:lvlText w:val="(%1)"/>
      <w:numFmt w:val="decimal"/>
      <w:start w:val="5"/>
    </w:lvl>
  </w:abstractNum>
  <w:abstractNum w:abstractNumId="66">
    <w:nsid w:val="5551B9F3"/>
    <w:multiLevelType w:val="hybridMultilevel"/>
    <w:lvl w:ilvl="0">
      <w:lvlJc w:val="left"/>
      <w:lvlText w:val="(%1)"/>
      <w:numFmt w:val="upperLetter"/>
      <w:start w:val="1"/>
    </w:lvl>
  </w:abstractNum>
  <w:abstractNum w:abstractNumId="67">
    <w:nsid w:val="24F6AB8E"/>
    <w:multiLevelType w:val="hybridMultilevel"/>
    <w:lvl w:ilvl="0">
      <w:lvlJc w:val="left"/>
      <w:lvlText w:val="(%1)"/>
      <w:numFmt w:val="decimal"/>
      <w:start w:val="7"/>
    </w:lvl>
  </w:abstractNum>
  <w:abstractNum w:abstractNumId="68">
    <w:nsid w:val="634C574C"/>
    <w:multiLevelType w:val="hybridMultilevel"/>
    <w:lvl w:ilvl="0">
      <w:lvlJc w:val="left"/>
      <w:lvlText w:val="(%1)"/>
      <w:numFmt w:val="decimal"/>
      <w:start w:val="1"/>
    </w:lvl>
  </w:abstractNum>
  <w:abstractNum w:abstractNumId="69">
    <w:nsid w:val="24E99DD7"/>
    <w:multiLevelType w:val="hybridMultilevel"/>
    <w:lvl w:ilvl="0">
      <w:lvlJc w:val="left"/>
      <w:lvlText w:val="(%1)"/>
      <w:numFmt w:val="upperLetter"/>
      <w:start w:val="1"/>
    </w:lvl>
  </w:abstractNum>
  <w:abstractNum w:abstractNumId="70">
    <w:nsid w:val="2A31B62D"/>
    <w:multiLevelType w:val="hybridMultilevel"/>
    <w:lvl w:ilvl="0">
      <w:lvlJc w:val="left"/>
      <w:lvlText w:val="(%1)"/>
      <w:numFmt w:val="upperLetter"/>
      <w:start w:val="2"/>
    </w:lvl>
  </w:abstractNum>
  <w:abstractNum w:abstractNumId="71">
    <w:nsid w:val="1849C29B"/>
    <w:multiLevelType w:val="hybridMultilevel"/>
    <w:lvl w:ilvl="0">
      <w:lvlJc w:val="left"/>
      <w:lvlText w:val="(%1)"/>
      <w:numFmt w:val="decimal"/>
      <w:start w:val="2"/>
    </w:lvl>
  </w:abstractNum>
  <w:abstractNum w:abstractNumId="72">
    <w:nsid w:val="7DFF9D09"/>
    <w:multiLevelType w:val="hybridMultilevel"/>
    <w:lvl w:ilvl="0">
      <w:lvlJc w:val="left"/>
      <w:lvlText w:val="(%1)"/>
      <w:numFmt w:val="decimal"/>
      <w:start w:val="1"/>
    </w:lvl>
  </w:abstractNum>
  <w:abstractNum w:abstractNumId="73">
    <w:nsid w:val="754342"/>
    <w:multiLevelType w:val="hybridMultilevel"/>
    <w:lvl w:ilvl="0">
      <w:lvlJc w:val="left"/>
      <w:lvlText w:val="(%1)"/>
      <w:numFmt w:val="lowerRoman"/>
      <w:start w:val="1"/>
    </w:lvl>
  </w:abstractNum>
  <w:abstractNum w:abstractNumId="74">
    <w:nsid w:val="69E7F3E5"/>
    <w:multiLevelType w:val="hybridMultilevel"/>
    <w:lvl w:ilvl="0">
      <w:lvlJc w:val="left"/>
      <w:lvlText w:val="(%1)"/>
      <w:numFmt w:val="decimal"/>
      <w:start w:val="1"/>
    </w:lvl>
  </w:abstractNum>
  <w:abstractNum w:abstractNumId="75">
    <w:nsid w:val="2A6DE806"/>
    <w:multiLevelType w:val="hybridMultilevel"/>
    <w:lvl w:ilvl="0">
      <w:lvlJc w:val="left"/>
      <w:lvlText w:val="(%1)"/>
      <w:numFmt w:val="decimal"/>
      <w:start w:val="4"/>
    </w:lvl>
  </w:abstractNum>
  <w:abstractNum w:abstractNumId="76">
    <w:nsid w:val="1816F8C4"/>
    <w:multiLevelType w:val="hybridMultilevel"/>
    <w:lvl w:ilvl="0">
      <w:lvlJc w:val="left"/>
      <w:lvlText w:val="(%1)"/>
      <w:numFmt w:val="decimal"/>
      <w:start w:val="1"/>
    </w:lvl>
  </w:abstractNum>
  <w:abstractNum w:abstractNumId="77">
    <w:nsid w:val="37DF2233"/>
    <w:multiLevelType w:val="hybridMultilevel"/>
    <w:lvl w:ilvl="0">
      <w:lvlJc w:val="left"/>
      <w:lvlText w:val="(%1)"/>
      <w:numFmt w:val="decimal"/>
      <w:start w:val="1"/>
    </w:lvl>
  </w:abstractNum>
  <w:abstractNum w:abstractNumId="78">
    <w:nsid w:val="7AB49DAF"/>
    <w:multiLevelType w:val="hybridMultilevel"/>
    <w:lvl w:ilvl="0">
      <w:lvlJc w:val="left"/>
      <w:lvlText w:val="(%1)"/>
      <w:numFmt w:val="decimal"/>
      <w:start w:val="1"/>
    </w:lvl>
  </w:abstractNum>
  <w:abstractNum w:abstractNumId="79">
    <w:nsid w:val="759F82CD"/>
    <w:multiLevelType w:val="hybridMultilevel"/>
    <w:lvl w:ilvl="0">
      <w:lvlJc w:val="left"/>
      <w:lvlText w:val="(%1)"/>
      <w:numFmt w:val="lowerLetter"/>
      <w:start w:val="1"/>
    </w:lvl>
  </w:abstractNum>
  <w:abstractNum w:abstractNumId="80">
    <w:nsid w:val="61E74EA3"/>
    <w:multiLevelType w:val="hybridMultilevel"/>
    <w:lvl w:ilvl="0">
      <w:lvlJc w:val="left"/>
      <w:lvlText w:val="(%1)"/>
      <w:numFmt w:val="decimal"/>
      <w:start w:val="1"/>
    </w:lvl>
  </w:abstractNum>
  <w:abstractNum w:abstractNumId="81">
    <w:nsid w:val="597B4D84"/>
    <w:multiLevelType w:val="hybridMultilevel"/>
    <w:lvl w:ilvl="0">
      <w:lvlJc w:val="left"/>
      <w:lvlText w:val="(%1)"/>
      <w:numFmt w:val="decimal"/>
      <w:start w:val="2"/>
    </w:lvl>
  </w:abstractNum>
  <w:abstractNum w:abstractNumId="82">
    <w:nsid w:val="F819E7F"/>
    <w:multiLevelType w:val="hybridMultilevel"/>
    <w:lvl w:ilvl="0">
      <w:lvlJc w:val="left"/>
      <w:lvlText w:val="(%1)"/>
      <w:numFmt w:val="lowerLetter"/>
      <w:start w:val="5"/>
    </w:lvl>
  </w:abstractNum>
  <w:abstractNum w:abstractNumId="83">
    <w:nsid w:val="57C7D42D"/>
    <w:multiLevelType w:val="hybridMultilevel"/>
    <w:lvl w:ilvl="0">
      <w:lvlJc w:val="left"/>
      <w:lvlText w:val="(%1)"/>
      <w:numFmt w:val="lowerLetter"/>
      <w:start w:val="1"/>
    </w:lvl>
  </w:abstractNum>
  <w:abstractNum w:abstractNumId="84">
    <w:nsid w:val="312167AD"/>
    <w:multiLevelType w:val="hybridMultilevel"/>
    <w:lvl w:ilvl="0">
      <w:lvlJc w:val="left"/>
      <w:lvlText w:val="(%1)"/>
      <w:numFmt w:val="lowerLetter"/>
      <w:start w:val="3"/>
    </w:lvl>
  </w:abstractNum>
  <w:abstractNum w:abstractNumId="85">
    <w:nsid w:val="631B64D4"/>
    <w:multiLevelType w:val="hybridMultilevel"/>
    <w:lvl w:ilvl="0">
      <w:lvlJc w:val="left"/>
      <w:lvlText w:val="(%1)"/>
      <w:numFmt w:val="decimal"/>
      <w:start w:val="1"/>
    </w:lvl>
  </w:abstractNum>
  <w:abstractNum w:abstractNumId="86">
    <w:nsid w:val="78B5E776"/>
    <w:multiLevelType w:val="hybridMultilevel"/>
    <w:lvl w:ilvl="0">
      <w:lvlJc w:val="left"/>
      <w:lvlText w:val="(%1)"/>
      <w:numFmt w:val="lowerLetter"/>
      <w:start w:val="2"/>
    </w:lvl>
  </w:abstractNum>
  <w:abstractNum w:abstractNumId="87">
    <w:nsid w:val="75486E47"/>
    <w:multiLevelType w:val="hybridMultilevel"/>
    <w:lvl w:ilvl="0">
      <w:lvlJc w:val="left"/>
      <w:lvlText w:val="(%1)"/>
      <w:numFmt w:val="lowerLetter"/>
      <w:start w:val="3"/>
    </w:lvl>
  </w:abstractNum>
  <w:abstractNum w:abstractNumId="88">
    <w:nsid w:val="6E534CDE"/>
    <w:multiLevelType w:val="hybridMultilevel"/>
    <w:lvl w:ilvl="0">
      <w:lvlJc w:val="left"/>
      <w:lvlText w:val="(%1)"/>
      <w:numFmt w:val="decimal"/>
      <w:start w:val="1"/>
    </w:lvl>
  </w:abstractNum>
  <w:abstractNum w:abstractNumId="89">
    <w:nsid w:val="1A0DDE32"/>
    <w:multiLevelType w:val="hybridMultilevel"/>
    <w:lvl w:ilvl="0">
      <w:lvlJc w:val="left"/>
      <w:lvlText w:val="(%1)"/>
      <w:numFmt w:val="lowerLetter"/>
      <w:start w:val="4"/>
    </w:lvl>
  </w:abstractNum>
  <w:abstractNum w:abstractNumId="90">
    <w:nsid w:val="65968C1C"/>
    <w:multiLevelType w:val="hybridMultilevel"/>
    <w:lvl w:ilvl="0">
      <w:lvlJc w:val="left"/>
      <w:lvlText w:val=","/>
      <w:numFmt w:val="bullet"/>
      <w:start w:val="1"/>
    </w:lvl>
  </w:abstractNum>
  <w:abstractNum w:abstractNumId="91">
    <w:nsid w:val="46263DEC"/>
    <w:multiLevelType w:val="hybridMultilevel"/>
    <w:lvl w:ilvl="0">
      <w:lvlJc w:val="left"/>
      <w:lvlText w:val="(%1)"/>
      <w:numFmt w:val="decimal"/>
      <w:start w:val="1"/>
    </w:lvl>
  </w:abstractNum>
  <w:abstractNum w:abstractNumId="92">
    <w:nsid w:val="260D8C4A"/>
    <w:multiLevelType w:val="hybridMultilevel"/>
    <w:lvl w:ilvl="0">
      <w:lvlJc w:val="left"/>
      <w:lvlText w:val="(%1)"/>
      <w:numFmt w:val="decimal"/>
      <w:start w:val="2"/>
    </w:lvl>
  </w:abstractNum>
  <w:abstractNum w:abstractNumId="93">
    <w:nsid w:val="73D4D3C4"/>
    <w:multiLevelType w:val="hybridMultilevel"/>
    <w:lvl w:ilvl="0">
      <w:lvlJc w:val="left"/>
      <w:lvlText w:val="(%1)"/>
      <w:numFmt w:val="lowerLetter"/>
      <w:start w:val="1"/>
    </w:lvl>
  </w:abstractNum>
  <w:abstractNum w:abstractNumId="94">
    <w:nsid w:val="746F2E30"/>
    <w:multiLevelType w:val="hybridMultilevel"/>
    <w:lvl w:ilvl="0">
      <w:lvlJc w:val="left"/>
      <w:lvlText w:val="(%1)"/>
      <w:numFmt w:val="decimal"/>
      <w:start w:val="1"/>
    </w:lvl>
  </w:abstractNum>
  <w:abstractNum w:abstractNumId="95">
    <w:nsid w:val="6FDE8AF6"/>
    <w:multiLevelType w:val="hybridMultilevel"/>
    <w:lvl w:ilvl="0">
      <w:lvlJc w:val="left"/>
      <w:lvlText w:val="(%1)"/>
      <w:numFmt w:val="decimal"/>
      <w:start w:val="1"/>
    </w:lvl>
  </w:abstractNum>
  <w:abstractNum w:abstractNumId="96">
    <w:nsid w:val="3FC32E20"/>
    <w:multiLevelType w:val="hybridMultilevel"/>
    <w:lvl w:ilvl="0">
      <w:lvlJc w:val="left"/>
      <w:lvlText w:val="(%1)"/>
      <w:numFmt w:val="decimal"/>
      <w:start w:val="10"/>
    </w:lvl>
  </w:abstractNum>
  <w:abstractNum w:abstractNumId="97">
    <w:nsid w:val="49C0E823"/>
    <w:multiLevelType w:val="hybridMultilevel"/>
    <w:lvl w:ilvl="0">
      <w:lvlJc w:val="left"/>
      <w:lvlText w:val="(%1)"/>
      <w:numFmt w:val="decimal"/>
      <w:start w:val="1"/>
    </w:lvl>
  </w:abstractNum>
  <w:abstractNum w:abstractNumId="98">
    <w:nsid w:val="14D53685"/>
    <w:multiLevelType w:val="hybridMultilevel"/>
    <w:lvl w:ilvl="0">
      <w:lvlJc w:val="left"/>
      <w:lvlText w:val="(%1)"/>
      <w:numFmt w:val="decimal"/>
      <w:start w:val="1"/>
    </w:lvl>
  </w:abstractNum>
  <w:abstractNum w:abstractNumId="99">
    <w:nsid w:val="230F856C"/>
    <w:multiLevelType w:val="hybridMultilevel"/>
    <w:lvl w:ilvl="0">
      <w:lvlJc w:val="left"/>
      <w:lvlText w:val="(%1)"/>
      <w:numFmt w:val="decimal"/>
      <w:start w:val="1"/>
    </w:lvl>
  </w:abstractNum>
  <w:abstractNum w:abstractNumId="100">
    <w:nsid w:val="6EAA85FB"/>
    <w:multiLevelType w:val="hybridMultilevel"/>
    <w:lvl w:ilvl="0">
      <w:lvlJc w:val="left"/>
      <w:lvlText w:val="(%1)"/>
      <w:numFmt w:val="decimal"/>
      <w:start w:val="11"/>
    </w:lvl>
  </w:abstractNum>
  <w:abstractNum w:abstractNumId="101">
    <w:nsid w:val="3F06ECB2"/>
    <w:multiLevelType w:val="hybridMultilevel"/>
    <w:lvl w:ilvl="0">
      <w:lvlJc w:val="left"/>
      <w:lvlText w:val="(%1)"/>
      <w:numFmt w:val="upperLetter"/>
      <w:start w:val="4"/>
    </w:lvl>
  </w:abstractNum>
  <w:abstractNum w:abstractNumId="102">
    <w:nsid w:val="3B594807"/>
    <w:multiLevelType w:val="hybridMultilevel"/>
    <w:lvl w:ilvl="0">
      <w:lvlJc w:val="left"/>
      <w:lvlText w:val="(%1)"/>
      <w:numFmt w:val="lowerLetter"/>
      <w:start w:val="1"/>
    </w:lvl>
  </w:abstractNum>
  <w:abstractNum w:abstractNumId="103">
    <w:nsid w:val="6CAA2304"/>
    <w:multiLevelType w:val="hybridMultilevel"/>
    <w:lvl w:ilvl="0">
      <w:lvlJc w:val="left"/>
      <w:lvlText w:val="(%1)"/>
      <w:numFmt w:val="lowerLetter"/>
      <w:start w:val="4"/>
    </w:lvl>
  </w:abstractNum>
  <w:abstractNum w:abstractNumId="104">
    <w:nsid w:val="3F7C2FF4"/>
    <w:multiLevelType w:val="hybridMultilevel"/>
    <w:lvl w:ilvl="0">
      <w:lvlJc w:val="left"/>
      <w:lvlText w:val="(%1)"/>
      <w:numFmt w:val="lowerLetter"/>
      <w:start w:val="1"/>
    </w:lvl>
  </w:abstractNum>
  <w:abstractNum w:abstractNumId="105">
    <w:nsid w:val="25413BEC"/>
    <w:multiLevelType w:val="hybridMultilevel"/>
    <w:lvl w:ilvl="0">
      <w:lvlJc w:val="left"/>
      <w:lvlText w:val="(%1)"/>
      <w:numFmt w:val="lowerRoman"/>
      <w:start w:val="1"/>
    </w:lvl>
  </w:abstractNum>
  <w:abstractNum w:abstractNumId="106">
    <w:nsid w:val="17180B0B"/>
    <w:multiLevelType w:val="hybridMultilevel"/>
    <w:lvl w:ilvl="0">
      <w:lvlJc w:val="left"/>
      <w:lvlText w:val="(%1)"/>
      <w:numFmt w:val="lowerLetter"/>
      <w:start w:val="1"/>
    </w:lvl>
  </w:abstractNum>
  <w:abstractNum w:abstractNumId="107">
    <w:nsid w:val="579328B9"/>
    <w:multiLevelType w:val="hybridMultilevel"/>
    <w:lvl w:ilvl="0">
      <w:lvlJc w:val="left"/>
      <w:lvlText w:val="(%1)"/>
      <w:numFmt w:val="lowerRoman"/>
      <w:start w:val="2"/>
    </w:lvl>
  </w:abstractNum>
  <w:abstractNum w:abstractNumId="108">
    <w:nsid w:val="5D205E20"/>
    <w:multiLevelType w:val="hybridMultilevel"/>
    <w:lvl w:ilvl="0">
      <w:lvlJc w:val="left"/>
      <w:lvlText w:val="(%1)"/>
      <w:numFmt w:val="decimal"/>
      <w:start w:val="1"/>
    </w:lvl>
  </w:abstractNum>
  <w:abstractNum w:abstractNumId="109">
    <w:nsid w:val="11CCA8BA"/>
    <w:multiLevelType w:val="hybridMultilevel"/>
    <w:lvl w:ilvl="0">
      <w:lvlJc w:val="left"/>
      <w:lvlText w:val="(%1)"/>
      <w:numFmt w:val="decimal"/>
      <w:start w:val="2"/>
    </w:lvl>
  </w:abstractNum>
  <w:abstractNum w:abstractNumId="110">
    <w:nsid w:val="4D32AB86"/>
    <w:multiLevelType w:val="hybridMultilevel"/>
    <w:lvl w:ilvl="0">
      <w:lvlJc w:val="left"/>
      <w:lvlText w:val="(%1)"/>
      <w:numFmt w:val="decimal"/>
      <w:start w:val="7"/>
    </w:lvl>
  </w:abstractNum>
  <w:abstractNum w:abstractNumId="111">
    <w:nsid w:val="3F07ACC3"/>
    <w:multiLevelType w:val="hybridMultilevel"/>
    <w:lvl w:ilvl="0">
      <w:lvlJc w:val="left"/>
      <w:lvlText w:val="(%1)"/>
      <w:numFmt w:val="decimal"/>
      <w:start w:val="3"/>
    </w:lvl>
  </w:abstractNum>
  <w:abstractNum w:abstractNumId="112">
    <w:nsid w:val="6B47F63E"/>
    <w:multiLevelType w:val="hybridMultilevel"/>
    <w:lvl w:ilvl="0">
      <w:lvlJc w:val="left"/>
      <w:lvlText w:val="(%1)"/>
      <w:numFmt w:val="decimal"/>
      <w:start w:val="5"/>
    </w:lvl>
  </w:abstractNum>
  <w:abstractNum w:abstractNumId="113">
    <w:nsid w:val="5CB44A05"/>
    <w:multiLevelType w:val="hybridMultilevel"/>
    <w:lvl w:ilvl="0">
      <w:lvlJc w:val="left"/>
      <w:lvlText w:val="(%1)"/>
      <w:numFmt w:val="decimal"/>
      <w:start w:val="1"/>
    </w:lvl>
  </w:abstractNum>
  <w:abstractNum w:abstractNumId="114">
    <w:nsid w:val="16CF80F1"/>
    <w:multiLevelType w:val="hybridMultilevel"/>
    <w:lvl w:ilvl="0">
      <w:lvlJc w:val="left"/>
      <w:lvlText w:val="(%1)"/>
      <w:numFmt w:val="decimal"/>
      <w:start w:val="1"/>
    </w:lvl>
  </w:abstractNum>
  <w:abstractNum w:abstractNumId="115">
    <w:nsid w:val="1C695DEC"/>
    <w:multiLevelType w:val="hybridMultilevel"/>
    <w:lvl w:ilvl="0">
      <w:lvlJc w:val="left"/>
      <w:lvlText w:val="(%1)"/>
      <w:numFmt w:val="decimal"/>
      <w:start w:val="1"/>
    </w:lvl>
  </w:abstractNum>
  <w:abstractNum w:abstractNumId="116">
    <w:nsid w:val="3FCFAED9"/>
    <w:multiLevelType w:val="hybridMultilevel"/>
    <w:lvl w:ilvl="0">
      <w:lvlJc w:val="left"/>
      <w:lvlText w:val="(%1)"/>
      <w:numFmt w:val="decimal"/>
      <w:start w:val="4"/>
    </w:lvl>
  </w:abstractNum>
  <w:abstractNum w:abstractNumId="117">
    <w:nsid w:val="F856867"/>
    <w:multiLevelType w:val="hybridMultilevel"/>
    <w:lvl w:ilvl="0">
      <w:lvlJc w:val="left"/>
      <w:lvlText w:val="(%1)"/>
      <w:numFmt w:val="decimal"/>
      <w:start w:val="1"/>
    </w:lvl>
  </w:abstractNum>
  <w:abstractNum w:abstractNumId="118">
    <w:nsid w:val="11B1CC33"/>
    <w:multiLevelType w:val="hybridMultilevel"/>
    <w:lvl w:ilvl="0">
      <w:lvlJc w:val="left"/>
      <w:lvlText w:val="["/>
      <w:numFmt w:val="bullet"/>
      <w:start w:val="1"/>
    </w:lvl>
  </w:abstractNum>
  <w:abstractNum w:abstractNumId="119">
    <w:nsid w:val="2E22FBB7"/>
    <w:multiLevelType w:val="hybridMultilevel"/>
    <w:lvl w:ilvl="0">
      <w:lvlJc w:val="left"/>
      <w:lvlText w:val="["/>
      <w:numFmt w:val="bullet"/>
      <w:start w:val="1"/>
    </w:lvl>
  </w:abstractNum>
  <w:abstractNum w:abstractNumId="120">
    <w:nsid w:val="29934699"/>
    <w:multiLevelType w:val="hybridMultilevel"/>
    <w:lvl w:ilvl="0">
      <w:lvlJc w:val="left"/>
      <w:lvlText w:val="(%1)"/>
      <w:numFmt w:val="lowerLetter"/>
      <w:start w:val="1"/>
    </w:lvl>
  </w:abstractNum>
  <w:abstractNum w:abstractNumId="121">
    <w:nsid w:val="77485850"/>
    <w:multiLevelType w:val="hybridMultilevel"/>
    <w:lvl w:ilvl="0">
      <w:lvlJc w:val="left"/>
      <w:lvlText w:val="(%1)"/>
      <w:numFmt w:val="lowerRoman"/>
      <w:start w:val="1"/>
    </w:lvl>
  </w:abstractNum>
  <w:abstractNum w:abstractNumId="122">
    <w:nsid w:val="744939A3"/>
    <w:multiLevelType w:val="hybridMultilevel"/>
    <w:lvl w:ilvl="0">
      <w:lvlJc w:val="left"/>
      <w:lvlText w:val="["/>
      <w:numFmt w:val="bullet"/>
      <w:start w:val="1"/>
    </w:lvl>
  </w:abstractNum>
  <w:abstractNum w:abstractNumId="123">
    <w:nsid w:val="4FA0D2E3"/>
    <w:multiLevelType w:val="hybridMultilevel"/>
    <w:lvl w:ilvl="0">
      <w:lvlJc w:val="left"/>
      <w:lvlText w:val="(%1)"/>
      <w:numFmt w:val="decimal"/>
      <w:start w:val="1"/>
    </w:lvl>
  </w:abstractNum>
  <w:abstractNum w:abstractNumId="124">
    <w:nsid w:val="6B1D2C14"/>
    <w:multiLevelType w:val="hybridMultilevel"/>
    <w:lvl w:ilvl="0">
      <w:lvlJc w:val="left"/>
      <w:lvlText w:val="\ldblquote"/>
      <w:numFmt w:val="bullet"/>
      <w:start w:val="1"/>
    </w:lvl>
  </w:abstractNum>
  <w:abstractNum w:abstractNumId="125">
    <w:nsid w:val="68B867D3"/>
    <w:multiLevelType w:val="hybridMultilevel"/>
    <w:lvl w:ilvl="0">
      <w:lvlJc w:val="left"/>
      <w:lvlText w:val="(%1)"/>
      <w:numFmt w:val="lowerRoman"/>
      <w:start w:val="1"/>
    </w:lvl>
  </w:abstractNum>
  <w:abstractNum w:abstractNumId="126">
    <w:nsid w:val="3F7F5DD9"/>
    <w:multiLevelType w:val="hybridMultilevel"/>
    <w:lvl w:ilvl="0">
      <w:lvlJc w:val="left"/>
      <w:lvlText w:val="(%1)"/>
      <w:numFmt w:val="lowerRoman"/>
      <w:start w:val="3"/>
    </w:lvl>
  </w:abstractNum>
  <w:abstractNum w:abstractNumId="127">
    <w:nsid w:val="2AE05A34"/>
    <w:multiLevelType w:val="hybridMultilevel"/>
    <w:lvl w:ilvl="0">
      <w:lvlJc w:val="left"/>
      <w:lvlText w:val="(%1)"/>
      <w:numFmt w:val="decimal"/>
      <w:start w:val="1"/>
    </w:lvl>
  </w:abstractNum>
  <w:abstractNum w:abstractNumId="128">
    <w:nsid w:val="32794FF7"/>
    <w:multiLevelType w:val="hybridMultilevel"/>
    <w:lvl w:ilvl="0">
      <w:lvlJc w:val="left"/>
      <w:lvlText w:val="(%1)"/>
      <w:numFmt w:val="decimal"/>
      <w:start w:val="2"/>
    </w:lvl>
  </w:abstractNum>
  <w:abstractNum w:abstractNumId="129">
    <w:nsid w:val="5454945E"/>
    <w:multiLevelType w:val="hybridMultilevel"/>
    <w:lvl w:ilvl="0">
      <w:lvlJc w:val="left"/>
      <w:lvlText w:val="(%1)"/>
      <w:numFmt w:val="lowerLetter"/>
      <w:start w:val="1"/>
    </w:lvl>
  </w:abstractNum>
  <w:abstractNum w:abstractNumId="130">
    <w:nsid w:val="4DEFDFA0"/>
    <w:multiLevelType w:val="hybridMultilevel"/>
    <w:lvl w:ilvl="0">
      <w:lvlJc w:val="left"/>
      <w:lvlText w:val="(%1)"/>
      <w:numFmt w:val="lowerLetter"/>
      <w:start w:val="3"/>
    </w:lvl>
  </w:abstractNum>
  <w:abstractNum w:abstractNumId="131">
    <w:nsid w:val="2123D5F2"/>
    <w:multiLevelType w:val="hybridMultilevel"/>
    <w:lvl w:ilvl="0">
      <w:lvlJc w:val="left"/>
      <w:lvlText w:val="(%1)"/>
      <w:numFmt w:val="decimal"/>
      <w:start w:val="2"/>
    </w:lvl>
  </w:abstractNum>
  <w:abstractNum w:abstractNumId="132">
    <w:nsid w:val="135B8110"/>
    <w:multiLevelType w:val="hybridMultilevel"/>
    <w:lvl w:ilvl="0">
      <w:lvlJc w:val="left"/>
      <w:lvlText w:val="["/>
      <w:numFmt w:val="bullet"/>
      <w:start w:val="1"/>
    </w:lvl>
  </w:abstractNum>
  <w:abstractNum w:abstractNumId="133">
    <w:nsid w:val="94927A8"/>
    <w:multiLevelType w:val="hybridMultilevel"/>
    <w:lvl w:ilvl="0">
      <w:lvlJc w:val="left"/>
      <w:lvlText w:val="(%1)"/>
      <w:numFmt w:val="decimal"/>
      <w:start w:val="1"/>
    </w:lvl>
  </w:abstractNum>
  <w:abstractNum w:abstractNumId="134">
    <w:nsid w:val="DCDF8F6"/>
    <w:multiLevelType w:val="hybridMultilevel"/>
    <w:lvl w:ilvl="0">
      <w:lvlJc w:val="left"/>
      <w:lvlText w:val="(%1)"/>
      <w:numFmt w:val="decimal"/>
      <w:start w:val="14"/>
    </w:lvl>
  </w:abstractNum>
  <w:abstractNum w:abstractNumId="135">
    <w:nsid w:val="52D7B105"/>
    <w:multiLevelType w:val="hybridMultilevel"/>
    <w:lvl w:ilvl="0">
      <w:lvlJc w:val="left"/>
      <w:lvlText w:val="(%1)"/>
      <w:numFmt w:val="lowerLetter"/>
      <w:start w:val="1"/>
    </w:lvl>
  </w:abstractNum>
  <w:abstractNum w:abstractNumId="136">
    <w:nsid w:val="2E8A6394"/>
    <w:multiLevelType w:val="hybridMultilevel"/>
    <w:lvl w:ilvl="0">
      <w:lvlJc w:val="left"/>
      <w:lvlText w:val="(%1)"/>
      <w:numFmt w:val="lowerRoman"/>
      <w:start w:val="2"/>
    </w:lvl>
  </w:abstractNum>
  <w:abstractNum w:abstractNumId="137">
    <w:nsid w:val="24E60401"/>
    <w:multiLevelType w:val="hybridMultilevel"/>
    <w:lvl w:ilvl="0">
      <w:lvlJc w:val="left"/>
      <w:lvlText w:val="(%1)"/>
      <w:numFmt w:val="lowerLetter"/>
      <w:start w:val="1"/>
    </w:lvl>
  </w:abstractNum>
  <w:abstractNum w:abstractNumId="138">
    <w:nsid w:val="2A6AD9BE"/>
    <w:multiLevelType w:val="hybridMultilevel"/>
    <w:lvl w:ilvl="0">
      <w:lvlJc w:val="left"/>
      <w:lvlText w:val="(%1)"/>
      <w:numFmt w:val="lowerLetter"/>
      <w:start w:val="2"/>
    </w:lvl>
  </w:abstractNum>
  <w:abstractNum w:abstractNumId="139">
    <w:nsid w:val="BAAC1B4"/>
    <w:multiLevelType w:val="hybridMultilevel"/>
    <w:lvl w:ilvl="0">
      <w:lvlJc w:val="left"/>
      <w:lvlText w:val="(%1)"/>
      <w:numFmt w:val="lowerLetter"/>
      <w:start w:val="24"/>
    </w:lvl>
  </w:abstractNum>
  <w:abstractNum w:abstractNumId="140">
    <w:nsid w:val="36B2ACBC"/>
    <w:multiLevelType w:val="hybridMultilevel"/>
    <w:lvl w:ilvl="0">
      <w:lvlJc w:val="left"/>
      <w:lvlText w:val="(%1)"/>
      <w:numFmt w:val="lowerLetter"/>
      <w:start w:val="26"/>
    </w:lvl>
  </w:abstractNum>
  <w:abstractNum w:abstractNumId="141">
    <w:nsid w:val="779D8544"/>
    <w:multiLevelType w:val="hybridMultilevel"/>
    <w:lvl w:ilvl="0">
      <w:lvlJc w:val="left"/>
      <w:lvlText w:val="(%1)"/>
      <w:numFmt w:val="lowerRoman"/>
      <w:start w:val="2"/>
    </w:lvl>
  </w:abstractNum>
  <w:abstractNum w:abstractNumId="142">
    <w:nsid w:val="4AB26E78"/>
    <w:multiLevelType w:val="hybridMultilevel"/>
    <w:lvl w:ilvl="0">
      <w:lvlJc w:val="left"/>
      <w:lvlText w:val="(%1)"/>
      <w:numFmt w:val="decimal"/>
      <w:start w:val="1"/>
    </w:lvl>
  </w:abstractNum>
  <w:abstractNum w:abstractNumId="143">
    <w:nsid w:val="21FAA2FA"/>
    <w:multiLevelType w:val="hybridMultilevel"/>
    <w:lvl w:ilvl="0">
      <w:lvlJc w:val="left"/>
      <w:lvlText w:val="(%1)"/>
      <w:numFmt w:val="upperLetter"/>
      <w:start w:val="1"/>
    </w:lvl>
  </w:abstractNum>
  <w:abstractNum w:abstractNumId="144">
    <w:nsid w:val="5451CF49"/>
    <w:multiLevelType w:val="hybridMultilevel"/>
    <w:lvl w:ilvl="0">
      <w:lvlJc w:val="left"/>
      <w:lvlText w:val="(%1)"/>
      <w:numFmt w:val="lowerRoman"/>
      <w:start w:val="3"/>
    </w:lvl>
  </w:abstractNum>
  <w:abstractNum w:abstractNumId="145">
    <w:nsid w:val="6181EF69"/>
    <w:multiLevelType w:val="hybridMultilevel"/>
    <w:lvl w:ilvl="0">
      <w:lvlJc w:val="left"/>
      <w:lvlText w:val="(%1)"/>
      <w:numFmt w:val="decimal"/>
      <w:start w:val="2"/>
    </w:lvl>
  </w:abstractNum>
  <w:abstractNum w:abstractNumId="146">
    <w:nsid w:val="3E6400E6"/>
    <w:multiLevelType w:val="hybridMultilevel"/>
    <w:lvl w:ilvl="0">
      <w:lvlJc w:val="left"/>
      <w:lvlText w:val="(%1)"/>
      <w:numFmt w:val="decimal"/>
      <w:start w:val="1"/>
    </w:lvl>
  </w:abstractNum>
  <w:abstractNum w:abstractNumId="147">
    <w:nsid w:val="14217E23"/>
    <w:multiLevelType w:val="hybridMultilevel"/>
    <w:lvl w:ilvl="0">
      <w:lvlJc w:val="left"/>
      <w:lvlText w:val="(%1)"/>
      <w:numFmt w:val="decimal"/>
      <w:start w:val="3"/>
    </w:lvl>
  </w:abstractNum>
  <w:abstractNum w:abstractNumId="148">
    <w:nsid w:val="710757D0"/>
    <w:multiLevelType w:val="hybridMultilevel"/>
    <w:lvl w:ilvl="0">
      <w:lvlJc w:val="left"/>
      <w:lvlText w:val="(%1)"/>
      <w:numFmt w:val="upperLetter"/>
      <w:start w:val="1"/>
    </w:lvl>
  </w:abstractNum>
  <w:abstractNum w:abstractNumId="149">
    <w:nsid w:val="5015CD1A"/>
    <w:multiLevelType w:val="hybridMultilevel"/>
    <w:lvl w:ilvl="0">
      <w:lvlJc w:val="left"/>
      <w:lvlText w:val="(%1)"/>
      <w:numFmt w:val="decimal"/>
      <w:start w:val="7"/>
    </w:lvl>
  </w:abstractNum>
  <w:abstractNum w:abstractNumId="150">
    <w:nsid w:val="424479DA"/>
    <w:multiLevelType w:val="hybridMultilevel"/>
    <w:lvl w:ilvl="0">
      <w:lvlJc w:val="left"/>
      <w:lvlText w:val="(%1)"/>
      <w:numFmt w:val="decimal"/>
      <w:start w:val="1"/>
    </w:lvl>
  </w:abstractNum>
  <w:abstractNum w:abstractNumId="151">
    <w:nsid w:val="1A9A9E69"/>
    <w:multiLevelType w:val="hybridMultilevel"/>
    <w:lvl w:ilvl="0">
      <w:lvlJc w:val="left"/>
      <w:lvlText w:val="(%1)"/>
      <w:numFmt w:val="upperLetter"/>
      <w:start w:val="1"/>
    </w:lvl>
  </w:abstractNum>
  <w:abstractNum w:abstractNumId="152">
    <w:nsid w:val="475E256A"/>
    <w:multiLevelType w:val="hybridMultilevel"/>
    <w:lvl w:ilvl="0">
      <w:lvlJc w:val="left"/>
      <w:lvlText w:val="(%1)"/>
      <w:numFmt w:val="decimal"/>
      <w:start w:val="2"/>
    </w:lvl>
  </w:abstractNum>
  <w:abstractNum w:abstractNumId="153">
    <w:nsid w:val="368DB37E"/>
    <w:multiLevelType w:val="hybridMultilevel"/>
    <w:lvl w:ilvl="0">
      <w:lvlJc w:val="left"/>
      <w:lvlText w:val="(%1)"/>
      <w:numFmt w:val="decimal"/>
      <w:start w:val="1"/>
    </w:lvl>
  </w:abstractNum>
  <w:abstractNum w:abstractNumId="154">
    <w:nsid w:val="6A3B714C"/>
    <w:multiLevelType w:val="hybridMultilevel"/>
    <w:lvl w:ilvl="0">
      <w:lvlJc w:val="left"/>
      <w:lvlText w:val="(%1)"/>
      <w:numFmt w:val="lowerRoman"/>
      <w:start w:val="1"/>
    </w:lvl>
  </w:abstractNum>
  <w:abstractNum w:abstractNumId="155">
    <w:nsid w:val="327B517E"/>
    <w:multiLevelType w:val="hybridMultilevel"/>
    <w:lvl w:ilvl="0">
      <w:lvlJc w:val="left"/>
      <w:lvlText w:val="(%1)"/>
      <w:numFmt w:val="decimal"/>
      <w:start w:val="1"/>
    </w:lvl>
  </w:abstractNum>
  <w:abstractNum w:abstractNumId="156">
    <w:nsid w:val="1F461B51"/>
    <w:multiLevelType w:val="hybridMultilevel"/>
    <w:lvl w:ilvl="0">
      <w:lvlJc w:val="left"/>
      <w:lvlText w:val="(%1)"/>
      <w:numFmt w:val="decimal"/>
      <w:start w:val="2"/>
    </w:lvl>
  </w:abstractNum>
  <w:abstractNum w:abstractNumId="157">
    <w:nsid w:val="29BACF25"/>
    <w:multiLevelType w:val="hybridMultilevel"/>
    <w:lvl w:ilvl="0">
      <w:lvlJc w:val="left"/>
      <w:lvlText w:val="(%1)"/>
      <w:numFmt w:val="decimal"/>
      <w:start w:val="1"/>
    </w:lvl>
  </w:abstractNum>
  <w:abstractNum w:abstractNumId="158">
    <w:nsid w:val="5D5BABB3"/>
    <w:multiLevelType w:val="hybridMultilevel"/>
    <w:lvl w:ilvl="0">
      <w:lvlJc w:val="left"/>
      <w:lvlText w:val="(%1)"/>
      <w:numFmt w:val="decimal"/>
      <w:start w:val="1"/>
    </w:lvl>
  </w:abstractNum>
  <w:abstractNum w:abstractNumId="159">
    <w:nsid w:val="51BF6B48"/>
    <w:multiLevelType w:val="hybridMultilevel"/>
    <w:lvl w:ilvl="0">
      <w:lvlJc w:val="left"/>
      <w:lvlText w:val="(%1)"/>
      <w:numFmt w:val="decimal"/>
      <w:start w:val="1"/>
    </w:lvl>
  </w:abstractNum>
  <w:abstractNum w:abstractNumId="160">
    <w:nsid w:val="7E0F6384"/>
    <w:multiLevelType w:val="hybridMultilevel"/>
    <w:lvl w:ilvl="0">
      <w:lvlJc w:val="left"/>
      <w:lvlText w:val="(%1)"/>
      <w:numFmt w:val="decimal"/>
      <w:start w:val="1"/>
    </w:lvl>
  </w:abstractNum>
  <w:abstractNum w:abstractNumId="161">
    <w:nsid w:val="2B4B8B53"/>
    <w:multiLevelType w:val="hybridMultilevel"/>
    <w:lvl w:ilvl="0">
      <w:lvlJc w:val="left"/>
      <w:lvlText w:val="(%1)"/>
      <w:numFmt w:val="lowerLetter"/>
      <w:start w:val="1"/>
    </w:lvl>
  </w:abstractNum>
  <w:abstractNum w:abstractNumId="162">
    <w:nsid w:val="72E3413A"/>
    <w:multiLevelType w:val="hybridMultilevel"/>
    <w:lvl w:ilvl="0">
      <w:lvlJc w:val="left"/>
      <w:lvlText w:val="(%1)"/>
      <w:numFmt w:val="decimal"/>
      <w:start w:val="1"/>
    </w:lvl>
  </w:abstractNum>
  <w:abstractNum w:abstractNumId="163">
    <w:nsid w:val="116AE494"/>
    <w:multiLevelType w:val="hybridMultilevel"/>
    <w:lvl w:ilvl="0">
      <w:lvlJc w:val="left"/>
      <w:lvlText w:val="(%1)"/>
      <w:numFmt w:val="lowerLetter"/>
      <w:start w:val="5"/>
    </w:lvl>
  </w:abstractNum>
  <w:abstractNum w:abstractNumId="164">
    <w:nsid w:val="3494B2FB"/>
    <w:multiLevelType w:val="hybridMultilevel"/>
    <w:lvl w:ilvl="0">
      <w:lvlJc w:val="left"/>
      <w:lvlText w:val="(%1)"/>
      <w:numFmt w:val="lowerLetter"/>
      <w:start w:val="6"/>
    </w:lvl>
  </w:abstractNum>
  <w:abstractNum w:abstractNumId="165">
    <w:nsid w:val="B13A31"/>
    <w:multiLevelType w:val="hybridMultilevel"/>
    <w:lvl w:ilvl="0">
      <w:lvlJc w:val="left"/>
      <w:lvlText w:val="(%1)"/>
      <w:numFmt w:val="lowerLetter"/>
      <w:start w:val="1"/>
    </w:lvl>
  </w:abstractNum>
  <w:abstractNum w:abstractNumId="166">
    <w:nsid w:val="64429599"/>
    <w:multiLevelType w:val="hybridMultilevel"/>
    <w:lvl w:ilvl="0">
      <w:lvlJc w:val="left"/>
      <w:lvlText w:val="(%1)"/>
      <w:numFmt w:val="decimal"/>
      <w:start w:val="1"/>
    </w:lvl>
  </w:abstractNum>
  <w:abstractNum w:abstractNumId="167">
    <w:nsid w:val="631F1690"/>
    <w:multiLevelType w:val="hybridMultilevel"/>
    <w:lvl w:ilvl="0">
      <w:lvlJc w:val="left"/>
      <w:lvlText w:val="(%1)"/>
      <w:numFmt w:val="lowerLetter"/>
      <w:start w:val="2"/>
    </w:lvl>
  </w:abstractNum>
  <w:abstractNum w:abstractNumId="168">
    <w:nsid w:val="25973E32"/>
    <w:multiLevelType w:val="hybridMultilevel"/>
    <w:lvl w:ilvl="0">
      <w:lvlJc w:val="left"/>
      <w:lvlText w:val="(%1)"/>
      <w:numFmt w:val="decimal"/>
      <w:start w:val="1"/>
    </w:lvl>
  </w:abstractNum>
  <w:abstractNum w:abstractNumId="169">
    <w:nsid w:val="EAD6F57"/>
    <w:multiLevelType w:val="hybridMultilevel"/>
    <w:lvl w:ilvl="0">
      <w:lvlJc w:val="left"/>
      <w:lvlText w:val="(%1)"/>
      <w:numFmt w:val="lowerLetter"/>
      <w:start w:val="4"/>
    </w:lvl>
  </w:abstractNum>
  <w:abstractNum w:abstractNumId="170">
    <w:nsid w:val="6EC9D844"/>
    <w:multiLevelType w:val="hybridMultilevel"/>
    <w:lvl w:ilvl="0">
      <w:lvlJc w:val="left"/>
      <w:lvlText w:val="(%1)"/>
      <w:numFmt w:val="decimal"/>
      <w:start w:val="1"/>
    </w:lvl>
  </w:abstractNum>
  <w:abstractNum w:abstractNumId="171">
    <w:nsid w:val="5C49EAEE"/>
    <w:multiLevelType w:val="hybridMultilevel"/>
    <w:lvl w:ilvl="0">
      <w:lvlJc w:val="left"/>
      <w:lvlText w:val="(%1)"/>
      <w:numFmt w:val="lowerLetter"/>
      <w:start w:val="1"/>
    </w:lvl>
  </w:abstractNum>
  <w:abstractNum w:abstractNumId="172">
    <w:nsid w:val="64AF49B"/>
    <w:multiLevelType w:val="hybridMultilevel"/>
    <w:lvl w:ilvl="0">
      <w:lvlJc w:val="left"/>
      <w:lvlText w:val="(%1)"/>
      <w:numFmt w:val="decimal"/>
      <w:start w:val="1"/>
    </w:lvl>
  </w:abstractNum>
  <w:abstractNum w:abstractNumId="173">
    <w:nsid w:val="397C46BC"/>
    <w:multiLevelType w:val="hybridMultilevel"/>
    <w:lvl w:ilvl="0">
      <w:lvlJc w:val="left"/>
      <w:lvlText w:val="(%1)"/>
      <w:numFmt w:val="decimal"/>
      <w:start w:val="1"/>
    </w:lvl>
  </w:abstractNum>
  <w:abstractNum w:abstractNumId="174">
    <w:nsid w:val="7E448DE9"/>
    <w:multiLevelType w:val="hybridMultilevel"/>
    <w:lvl w:ilvl="0">
      <w:lvlJc w:val="left"/>
      <w:lvlText w:val="(%1)"/>
      <w:numFmt w:val="decimal"/>
      <w:start w:val="5"/>
    </w:lvl>
  </w:abstractNum>
  <w:abstractNum w:abstractNumId="175">
    <w:nsid w:val="5A9CC3E5"/>
    <w:multiLevelType w:val="hybridMultilevel"/>
    <w:lvl w:ilvl="0">
      <w:lvlJc w:val="left"/>
      <w:lvlText w:val="(%1)"/>
      <w:numFmt w:val="decimal"/>
      <w:start w:val="1"/>
    </w:lvl>
  </w:abstractNum>
  <w:abstractNum w:abstractNumId="176">
    <w:nsid w:val="1AFE3625"/>
    <w:multiLevelType w:val="hybridMultilevel"/>
    <w:lvl w:ilvl="0">
      <w:lvlJc w:val="left"/>
      <w:lvlText w:val="(%1)"/>
      <w:numFmt w:val="decimal"/>
      <w:start w:val="1"/>
    </w:lvl>
  </w:abstractNum>
  <w:abstractNum w:abstractNumId="177">
    <w:nsid w:val="3CA88ECF"/>
    <w:multiLevelType w:val="hybridMultilevel"/>
    <w:lvl w:ilvl="0">
      <w:lvlJc w:val="left"/>
      <w:lvlText w:val="(%1)"/>
      <w:numFmt w:val="lowerRoman"/>
      <w:start w:val="1"/>
    </w:lvl>
  </w:abstractNum>
  <w:abstractNum w:abstractNumId="178">
    <w:nsid w:val="6EBE4208"/>
    <w:multiLevelType w:val="hybridMultilevel"/>
    <w:lvl w:ilvl="0">
      <w:lvlJc w:val="left"/>
      <w:lvlText w:val="(%1)"/>
      <w:numFmt w:val="decimal"/>
      <w:start w:val="1"/>
    </w:lvl>
  </w:abstractNum>
  <w:abstractNum w:abstractNumId="179">
    <w:nsid w:val="C058DF5"/>
    <w:multiLevelType w:val="hybridMultilevel"/>
    <w:lvl w:ilvl="0">
      <w:lvlJc w:val="left"/>
      <w:lvlText w:val="(%1)"/>
      <w:numFmt w:val="upperLetter"/>
      <w:start w:val="4"/>
    </w:lvl>
  </w:abstractNum>
  <w:abstractNum w:abstractNumId="180">
    <w:nsid w:val="CBE5BE9"/>
    <w:multiLevelType w:val="hybridMultilevel"/>
    <w:lvl w:ilvl="0">
      <w:lvlJc w:val="left"/>
      <w:lvlText w:val="(%1)"/>
      <w:numFmt w:val="lowerLetter"/>
      <w:start w:val="1"/>
    </w:lvl>
  </w:abstractNum>
  <w:abstractNum w:abstractNumId="181">
    <w:nsid w:val="3102BBE2"/>
    <w:multiLevelType w:val="hybridMultilevel"/>
    <w:lvl w:ilvl="0">
      <w:lvlJc w:val="left"/>
      <w:lvlText w:val="(%1)"/>
      <w:numFmt w:val="lowerLetter"/>
      <w:start w:val="1"/>
    </w:lvl>
  </w:abstractNum>
  <w:abstractNum w:abstractNumId="182">
    <w:nsid w:val="26A02C5E"/>
    <w:multiLevelType w:val="hybridMultilevel"/>
    <w:lvl w:ilvl="0">
      <w:lvlJc w:val="left"/>
      <w:lvlText w:val="(%1)"/>
      <w:numFmt w:val="lowerRoman"/>
      <w:start w:val="1"/>
    </w:lvl>
  </w:abstractNum>
  <w:abstractNum w:abstractNumId="183">
    <w:nsid w:val="541C8153"/>
    <w:multiLevelType w:val="hybridMultilevel"/>
    <w:lvl w:ilvl="0">
      <w:lvlJc w:val="left"/>
      <w:lvlText w:val="(%1)"/>
      <w:numFmt w:val="lowerLetter"/>
      <w:start w:val="1"/>
    </w:lvl>
  </w:abstractNum>
  <w:abstractNum w:abstractNumId="184">
    <w:nsid w:val="67906F60"/>
    <w:multiLevelType w:val="hybridMultilevel"/>
    <w:lvl w:ilvl="0">
      <w:lvlJc w:val="left"/>
      <w:lvlText w:val="(%1)"/>
      <w:numFmt w:val="lowerLetter"/>
      <w:start w:val="2"/>
    </w:lvl>
  </w:abstractNum>
  <w:abstractNum w:abstractNumId="185">
    <w:nsid w:val="10DB9DAA"/>
    <w:multiLevelType w:val="hybridMultilevel"/>
    <w:lvl w:ilvl="0">
      <w:lvlJc w:val="left"/>
      <w:lvlText w:val="(%1)"/>
      <w:numFmt w:val="lowerLetter"/>
      <w:start w:val="2"/>
    </w:lvl>
  </w:abstractNum>
  <w:abstractNum w:abstractNumId="186">
    <w:nsid w:val="697D2D2"/>
    <w:multiLevelType w:val="hybridMultilevel"/>
    <w:lvl w:ilvl="0">
      <w:lvlJc w:val="left"/>
      <w:lvlText w:val="(%1)"/>
      <w:numFmt w:val="lowerLetter"/>
      <w:start w:val="2"/>
    </w:lvl>
  </w:abstractNum>
  <w:abstractNum w:abstractNumId="187">
    <w:nsid w:val="6D68AB2"/>
    <w:multiLevelType w:val="hybridMultilevel"/>
    <w:lvl w:ilvl="0">
      <w:lvlJc w:val="left"/>
      <w:lvlText w:val="(%1)"/>
      <w:numFmt w:val="decimal"/>
      <w:start w:val="1"/>
    </w:lvl>
  </w:abstractNum>
  <w:abstractNum w:abstractNumId="188">
    <w:nsid w:val="3A966CD0"/>
    <w:multiLevelType w:val="hybridMultilevel"/>
    <w:lvl w:ilvl="0">
      <w:lvlJc w:val="left"/>
      <w:lvlText w:val="(%1)"/>
      <w:numFmt w:val="decimal"/>
      <w:start w:val="1"/>
    </w:lvl>
  </w:abstractNum>
  <w:abstractNum w:abstractNumId="189">
    <w:nsid w:val="63F37E85"/>
    <w:multiLevelType w:val="hybridMultilevel"/>
    <w:lvl w:ilvl="0">
      <w:lvlJc w:val="left"/>
      <w:lvlText w:val="(%1)"/>
      <w:numFmt w:val="decimal"/>
      <w:start w:val="7"/>
    </w:lvl>
  </w:abstractNum>
  <w:abstractNum w:abstractNumId="190">
    <w:nsid w:val="5895F5FA"/>
    <w:multiLevelType w:val="hybridMultilevel"/>
    <w:lvl w:ilvl="0">
      <w:lvlJc w:val="left"/>
      <w:lvlText w:val="(%1)"/>
      <w:numFmt w:val="decimal"/>
      <w:start w:val="3"/>
    </w:lvl>
  </w:abstractNum>
  <w:abstractNum w:abstractNumId="191">
    <w:nsid w:val="38A5D054"/>
    <w:multiLevelType w:val="hybridMultilevel"/>
    <w:lvl w:ilvl="0">
      <w:lvlJc w:val="left"/>
      <w:lvlText w:val="(%1)"/>
      <w:numFmt w:val="decimal"/>
      <w:start w:val="4"/>
    </w:lvl>
  </w:abstractNum>
  <w:abstractNum w:abstractNumId="192">
    <w:nsid w:val="F3F09D8"/>
    <w:multiLevelType w:val="hybridMultilevel"/>
    <w:lvl w:ilvl="0">
      <w:lvlJc w:val="left"/>
      <w:lvlText w:val="(%1)"/>
      <w:numFmt w:val="decimal"/>
      <w:start w:val="9"/>
    </w:lvl>
  </w:abstractNum>
  <w:abstractNum w:abstractNumId="193">
    <w:nsid w:val="4B793735"/>
    <w:multiLevelType w:val="hybridMultilevel"/>
    <w:lvl w:ilvl="0">
      <w:lvlJc w:val="left"/>
      <w:lvlText w:val="(%1)"/>
      <w:numFmt w:val="decimal"/>
      <w:start w:val="1"/>
    </w:lvl>
  </w:abstractNum>
  <w:abstractNum w:abstractNumId="194">
    <w:nsid w:val="4A10B4E8"/>
    <w:multiLevelType w:val="hybridMultilevel"/>
    <w:lvl w:ilvl="0">
      <w:lvlJc w:val="left"/>
      <w:lvlText w:val="(%1)"/>
      <w:numFmt w:val="decimal"/>
      <w:start w:val="1"/>
    </w:lvl>
  </w:abstractNum>
  <w:abstractNum w:abstractNumId="195">
    <w:nsid w:val="43D3BCD4"/>
    <w:multiLevelType w:val="hybridMultilevel"/>
    <w:lvl w:ilvl="0">
      <w:lvlJc w:val="left"/>
      <w:lvlText w:val="(%1)"/>
      <w:numFmt w:val="decimal"/>
      <w:start w:val="1"/>
    </w:lvl>
  </w:abstractNum>
  <w:abstractNum w:abstractNumId="196">
    <w:nsid w:val="4C2A7166"/>
    <w:multiLevelType w:val="hybridMultilevel"/>
    <w:lvl w:ilvl="0">
      <w:lvlJc w:val="left"/>
      <w:lvlText w:val="(%1)"/>
      <w:numFmt w:val="decimal"/>
      <w:start w:val="4"/>
    </w:lvl>
  </w:abstractNum>
  <w:abstractNum w:abstractNumId="197">
    <w:nsid w:val="2E534A82"/>
    <w:multiLevelType w:val="hybridMultilevel"/>
    <w:lvl w:ilvl="0">
      <w:lvlJc w:val="left"/>
      <w:lvlText w:val="(%1)"/>
      <w:numFmt w:val="decimal"/>
      <w:start w:val="1"/>
    </w:lvl>
  </w:abstractNum>
  <w:abstractNum w:abstractNumId="198">
    <w:nsid w:val="26F2D364"/>
    <w:multiLevelType w:val="hybridMultilevel"/>
    <w:lvl w:ilvl="0">
      <w:lvlJc w:val="left"/>
      <w:lvlText w:val="["/>
      <w:numFmt w:val="bullet"/>
      <w:start w:val="1"/>
    </w:lvl>
  </w:abstractNum>
  <w:abstractNum w:abstractNumId="199">
    <w:nsid w:val="71C1AF98"/>
    <w:multiLevelType w:val="hybridMultilevel"/>
    <w:lvl w:ilvl="0">
      <w:lvlJc w:val="left"/>
      <w:lvlText w:val="["/>
      <w:numFmt w:val="bullet"/>
      <w:start w:val="1"/>
    </w:lvl>
  </w:abstractNum>
  <w:abstractNum w:abstractNumId="200">
    <w:nsid w:val="3D00B9D9"/>
    <w:multiLevelType w:val="hybridMultilevel"/>
    <w:lvl w:ilvl="0">
      <w:lvlJc w:val="left"/>
      <w:lvlText w:val="["/>
      <w:numFmt w:val="bullet"/>
      <w:start w:val="1"/>
    </w:lvl>
  </w:abstractNum>
  <w:abstractNum w:abstractNumId="201">
    <w:nsid w:val="15BCABA8"/>
    <w:multiLevelType w:val="hybridMultilevel"/>
    <w:lvl w:ilvl="0">
      <w:lvlJc w:val="left"/>
      <w:lvlText w:val="(%1)"/>
      <w:numFmt w:val="lowerLetter"/>
      <w:start w:val="1"/>
    </w:lvl>
  </w:abstractNum>
  <w:abstractNum w:abstractNumId="202">
    <w:nsid w:val="4E0B9A87"/>
    <w:multiLevelType w:val="hybridMultilevel"/>
    <w:lvl w:ilvl="0">
      <w:lvlJc w:val="left"/>
      <w:lvlText w:val="(%1)"/>
      <w:numFmt w:val="lowerRoman"/>
      <w:start w:val="1"/>
    </w:lvl>
  </w:abstractNum>
  <w:abstractNum w:abstractNumId="203">
    <w:nsid w:val="434BAE75"/>
    <w:multiLevelType w:val="hybridMultilevel"/>
    <w:lvl w:ilvl="0">
      <w:lvlJc w:val="left"/>
      <w:lvlText w:val="(%1)"/>
      <w:numFmt w:val="lowerRoman"/>
      <w:start w:val="4"/>
    </w:lvl>
  </w:abstractNum>
  <w:abstractNum w:abstractNumId="204">
    <w:nsid w:val="4F38F265"/>
    <w:multiLevelType w:val="hybridMultilevel"/>
    <w:lvl w:ilvl="0">
      <w:lvlJc w:val="left"/>
      <w:lvlText w:val="%1."/>
      <w:numFmt w:val="decimal"/>
      <w:start w:val="1"/>
    </w:lvl>
  </w:abstractNum>
  <w:abstractNum w:abstractNumId="205">
    <w:nsid w:val="4C502870"/>
    <w:multiLevelType w:val="hybridMultilevel"/>
    <w:lvl w:ilvl="0">
      <w:lvlJc w:val="left"/>
      <w:lvlText w:val="%1."/>
      <w:numFmt w:val="decimal"/>
      <w:start w:val="2"/>
    </w:lvl>
  </w:abstractNum>
  <w:abstractNum w:abstractNumId="206">
    <w:nsid w:val="1DE8725A"/>
    <w:multiLevelType w:val="hybridMultilevel"/>
    <w:lvl w:ilvl="0">
      <w:lvlJc w:val="left"/>
      <w:lvlText w:val="(%1)"/>
      <w:numFmt w:val="upperLetter"/>
      <w:start w:val="2"/>
    </w:lvl>
  </w:abstractNum>
  <w:abstractNum w:abstractNumId="207">
    <w:nsid w:val="6A37288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2019-12-06T10:06:03Z</dcterms:created>
  <dcterms:modified xsi:type="dcterms:W3CDTF">2019-12-06T10:06:03Z</dcterms:modified>
</cp:coreProperties>
</file>