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240665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CURRENT REPORT</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PURSUANT TO SECTION 13 OR 15(d)</w:t>
      </w:r>
    </w:p>
    <w:p>
      <w:pPr>
        <w:jc w:val="center"/>
        <w:ind w:right="-17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0"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Date of Report (Date of earliest event reported): August 17,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229870</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412750</wp:posOffset>
            </wp:positionV>
            <wp:extent cx="631825" cy="631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825" cy="6318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79"/>
        <w:spacing w:after="0"/>
        <w:rPr>
          <w:sz w:val="20"/>
          <w:szCs w:val="20"/>
          <w:color w:val="auto"/>
        </w:rPr>
      </w:pPr>
      <w:r>
        <w:rPr>
          <w:rFonts w:ascii="Arial" w:cs="Arial" w:eastAsia="Arial" w:hAnsi="Arial"/>
          <w:sz w:val="42"/>
          <w:szCs w:val="42"/>
          <w:b w:val="1"/>
          <w:bCs w:val="1"/>
          <w:color w:val="auto"/>
        </w:rPr>
        <w:t>NN, INC.</w:t>
      </w:r>
    </w:p>
    <w:p>
      <w:pPr>
        <w:spacing w:after="0" w:line="45"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224155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11260"/>
          </w:cols>
          <w:pgMar w:left="240" w:top="360"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5"/>
          <w:szCs w:val="15"/>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62-1096725</w:t>
      </w:r>
    </w:p>
    <w:p>
      <w:pPr>
        <w:spacing w:after="0" w:line="43" w:lineRule="exact"/>
        <w:rPr>
          <w:sz w:val="24"/>
          <w:szCs w:val="24"/>
          <w:color w:val="auto"/>
        </w:rPr>
      </w:pPr>
    </w:p>
    <w:p>
      <w:pPr>
        <w:sectPr>
          <w:pgSz w:w="11900" w:h="16838" w:orient="portrait"/>
          <w:cols w:equalWidth="0" w:num="3">
            <w:col w:w="4820" w:space="720"/>
            <w:col w:w="2920" w:space="720"/>
            <w:col w:w="2080"/>
          </w:cols>
          <w:pgMar w:left="240" w:top="360" w:right="3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No.)</w:t>
      </w:r>
    </w:p>
    <w:p>
      <w:pPr>
        <w:spacing w:after="0" w:line="223" w:lineRule="exact"/>
        <w:rPr>
          <w:sz w:val="24"/>
          <w:szCs w:val="24"/>
          <w:color w:val="auto"/>
        </w:rPr>
      </w:pPr>
    </w:p>
    <w:p>
      <w:pPr>
        <w:sectPr>
          <w:pgSz w:w="11900" w:h="16838" w:orient="portrait"/>
          <w:cols w:equalWidth="0" w:num="3">
            <w:col w:w="4720" w:space="720"/>
            <w:col w:w="2900" w:space="720"/>
            <w:col w:w="2200"/>
          </w:cols>
          <w:pgMar w:left="240" w:top="360" w:right="399" w:bottom="1440" w:gutter="0" w:footer="0" w:header="0"/>
          <w:type w:val="continuous"/>
        </w:sectPr>
      </w:pPr>
    </w:p>
    <w:p>
      <w:pPr>
        <w:spacing w:after="0" w:line="20" w:lineRule="exact"/>
        <w:rPr>
          <w:sz w:val="24"/>
          <w:szCs w:val="24"/>
          <w:color w:val="auto"/>
        </w:rPr>
      </w:pPr>
    </w:p>
    <w:p>
      <w:pPr>
        <w:ind w:left="2020"/>
        <w:spacing w:after="0"/>
        <w:rPr>
          <w:sz w:val="20"/>
          <w:szCs w:val="20"/>
          <w:color w:val="auto"/>
        </w:rPr>
      </w:pPr>
      <w:r>
        <w:rPr>
          <w:rFonts w:ascii="Arial" w:cs="Arial" w:eastAsia="Arial" w:hAnsi="Arial"/>
          <w:sz w:val="16"/>
          <w:szCs w:val="16"/>
          <w:b w:val="1"/>
          <w:bCs w:val="1"/>
          <w:color w:val="auto"/>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37604</w:t>
      </w:r>
    </w:p>
    <w:p>
      <w:pPr>
        <w:spacing w:after="0" w:line="55" w:lineRule="exact"/>
        <w:rPr>
          <w:sz w:val="24"/>
          <w:szCs w:val="24"/>
          <w:color w:val="auto"/>
        </w:rPr>
      </w:pPr>
    </w:p>
    <w:p>
      <w:pPr>
        <w:sectPr>
          <w:pgSz w:w="11900" w:h="16838" w:orient="portrait"/>
          <w:cols w:equalWidth="0" w:num="2">
            <w:col w:w="7680" w:space="720"/>
            <w:col w:w="2860"/>
          </w:cols>
          <w:pgMar w:left="240" w:top="360" w:right="39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86" w:lineRule="exact"/>
        <w:rPr>
          <w:sz w:val="24"/>
          <w:szCs w:val="24"/>
          <w:color w:val="auto"/>
        </w:rPr>
      </w:pPr>
    </w:p>
    <w:p>
      <w:pPr>
        <w:sectPr>
          <w:pgSz w:w="11900" w:h="16838" w:orient="portrait"/>
          <w:cols w:equalWidth="0" w:num="2">
            <w:col w:w="7580" w:space="720"/>
            <w:col w:w="2960"/>
          </w:cols>
          <w:pgMar w:left="240" w:top="360" w:right="399" w:bottom="1440" w:gutter="0" w:footer="0" w:header="0"/>
          <w:type w:val="continuous"/>
        </w:sectPr>
      </w:pPr>
    </w:p>
    <w:p>
      <w:pPr>
        <w:jc w:val="center"/>
        <w:ind w:right="-179"/>
        <w:spacing w:after="0"/>
        <w:rPr>
          <w:sz w:val="20"/>
          <w:szCs w:val="20"/>
          <w:color w:val="auto"/>
        </w:rPr>
      </w:pPr>
      <w:r>
        <w:rPr>
          <w:rFonts w:ascii="Arial" w:cs="Arial" w:eastAsia="Arial" w:hAnsi="Arial"/>
          <w:sz w:val="17"/>
          <w:szCs w:val="17"/>
          <w:b w:val="1"/>
          <w:bCs w:val="1"/>
          <w:color w:val="auto"/>
        </w:rPr>
        <w:t>(423) 743-9151</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8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219710</wp:posOffset>
            </wp:positionV>
            <wp:extent cx="152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line="289" w:lineRule="auto"/>
        <w:rPr>
          <w:sz w:val="20"/>
          <w:szCs w:val="20"/>
          <w:color w:val="auto"/>
        </w:rPr>
      </w:pPr>
      <w:r>
        <w:rPr>
          <w:rFonts w:ascii="Arial" w:cs="Arial" w:eastAsia="Arial" w:hAnsi="Arial"/>
          <w:sz w:val="17"/>
          <w:szCs w:val="17"/>
          <w:color w:val="auto"/>
        </w:rPr>
        <w:t>Check the appropriate box if the Form 8-K filing is intended to simultaneously satisfy the filing obligation of the registrant under any of the following provisions (see General Instruction A.2. below):</w:t>
      </w:r>
    </w:p>
    <w:p>
      <w:pPr>
        <w:spacing w:after="0" w:line="66"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240.14d- 2(b))</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60"/>
          </w:cols>
          <w:pgMar w:left="240" w:top="360" w:right="39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7.01</w:t>
      </w:r>
      <w:r>
        <w:rPr>
          <w:sz w:val="20"/>
          <w:szCs w:val="20"/>
          <w:color w:val="auto"/>
        </w:rPr>
        <w:tab/>
      </w:r>
      <w:r>
        <w:rPr>
          <w:rFonts w:ascii="Arial" w:cs="Arial" w:eastAsia="Arial" w:hAnsi="Arial"/>
          <w:sz w:val="17"/>
          <w:szCs w:val="17"/>
          <w:b w:val="1"/>
          <w:bCs w:val="1"/>
          <w:color w:val="auto"/>
        </w:rPr>
        <w:t>REGULATION FD DISCLOSURE</w:t>
      </w:r>
    </w:p>
    <w:p>
      <w:pPr>
        <w:spacing w:after="0" w:line="125" w:lineRule="exact"/>
        <w:rPr>
          <w:sz w:val="20"/>
          <w:szCs w:val="20"/>
          <w:color w:val="auto"/>
        </w:rPr>
      </w:pPr>
    </w:p>
    <w:p>
      <w:pPr>
        <w:ind w:right="280" w:firstLine="457"/>
        <w:spacing w:after="0" w:line="297" w:lineRule="auto"/>
        <w:rPr>
          <w:sz w:val="20"/>
          <w:szCs w:val="20"/>
          <w:color w:val="auto"/>
        </w:rPr>
      </w:pPr>
      <w:r>
        <w:rPr>
          <w:rFonts w:ascii="Arial" w:cs="Arial" w:eastAsia="Arial" w:hAnsi="Arial"/>
          <w:sz w:val="16"/>
          <w:szCs w:val="16"/>
          <w:color w:val="auto"/>
        </w:rPr>
        <w:t>On August 17, 2015, NN, Inc. (“NN”) issued a press release announcing that NN entered into a Stock Purchase Agreement with PEP Industries, LLC, a Delaware limited liability company (“Seller”), pursuant to which NN agreed to acquire from Seller (the “Acquisition”) all of the outstanding capital stock of Precision Engineered Products Holdings, Inc., a Delaware corporation (“PEP”). A copy of the press release is attached hereto as Exhibit 99.1.</w:t>
      </w:r>
    </w:p>
    <w:p>
      <w:pPr>
        <w:spacing w:after="0" w:line="155"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On August 17, 2015, NN posted a PEP Acquisition Overview presentation on its website to provide supplemental information regarding the Acquisition. A copy of the presentation is attached hereto as Exhibit 99.2.</w:t>
      </w:r>
    </w:p>
    <w:p>
      <w:pPr>
        <w:spacing w:after="0" w:line="158"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Pursuant to the rules and regulations of the U.S. Securities and Exchange Commission, the information in this Item 7.01 disclosure, including Exhibits 99.1 and 99.2 and information set forth therein, is deemed to have been furnished and shall not be deemed to be “filed” for purposes of Section 18 of the Securities Exchange Act of 1934, as amended, or otherwise subject to the liabilities of that section. Such information shall not be incorporated by reference into any filing of NN, whether made before or after the date hereof, regardless of any general incorporation language in such filing.</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4500" w:type="dxa"/>
            <w:vAlign w:val="bottom"/>
            <w:gridSpan w:val="2"/>
          </w:tcPr>
          <w:p>
            <w:pPr>
              <w:ind w:left="360"/>
              <w:spacing w:after="0"/>
              <w:rPr>
                <w:sz w:val="20"/>
                <w:szCs w:val="20"/>
                <w:color w:val="auto"/>
              </w:rPr>
            </w:pPr>
            <w:r>
              <w:rPr>
                <w:rFonts w:ascii="Arial" w:cs="Arial" w:eastAsia="Arial" w:hAnsi="Arial"/>
                <w:sz w:val="17"/>
                <w:szCs w:val="17"/>
                <w:b w:val="1"/>
                <w:bCs w:val="1"/>
                <w:color w:val="auto"/>
              </w:rPr>
              <w:t>FINANCIAL STATEMENTS AND EXHIBITS</w:t>
            </w:r>
          </w:p>
        </w:tc>
        <w:tc>
          <w:tcPr>
            <w:tcW w:w="0" w:type="dxa"/>
            <w:vAlign w:val="bottom"/>
          </w:tcPr>
          <w:p>
            <w:pPr>
              <w:spacing w:after="0"/>
              <w:rPr>
                <w:sz w:val="1"/>
                <w:szCs w:val="1"/>
                <w:color w:val="auto"/>
              </w:rPr>
            </w:pPr>
          </w:p>
        </w:tc>
      </w:tr>
      <w:tr>
        <w:trPr>
          <w:trHeight w:val="240"/>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8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440" w:type="dxa"/>
            <w:vAlign w:val="bottom"/>
          </w:tcPr>
          <w:p>
            <w:pPr>
              <w:spacing w:after="0"/>
              <w:rPr>
                <w:sz w:val="20"/>
                <w:szCs w:val="20"/>
                <w:color w:val="auto"/>
              </w:rPr>
            </w:pPr>
            <w:r>
              <w:rPr>
                <w:rFonts w:ascii="Arial" w:cs="Arial" w:eastAsia="Arial" w:hAnsi="Arial"/>
                <w:sz w:val="17"/>
                <w:szCs w:val="17"/>
                <w:color w:val="auto"/>
              </w:rPr>
              <w:t>99.1</w:t>
            </w:r>
          </w:p>
        </w:tc>
        <w:tc>
          <w:tcPr>
            <w:tcW w:w="56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7"/>
                <w:szCs w:val="17"/>
                <w:color w:val="auto"/>
              </w:rPr>
              <w:t>Press Release of NN, Inc., dated August 17, 2015.</w:t>
            </w:r>
          </w:p>
        </w:tc>
        <w:tc>
          <w:tcPr>
            <w:tcW w:w="0" w:type="dxa"/>
            <w:vAlign w:val="bottom"/>
          </w:tcPr>
          <w:p>
            <w:pPr>
              <w:spacing w:after="0"/>
              <w:rPr>
                <w:sz w:val="1"/>
                <w:szCs w:val="1"/>
                <w:color w:val="auto"/>
              </w:rPr>
            </w:pPr>
          </w:p>
        </w:tc>
      </w:tr>
      <w:tr>
        <w:trPr>
          <w:trHeight w:val="314"/>
        </w:trPr>
        <w:tc>
          <w:tcPr>
            <w:tcW w:w="440" w:type="dxa"/>
            <w:vAlign w:val="bottom"/>
          </w:tcPr>
          <w:p>
            <w:pPr>
              <w:spacing w:after="0"/>
              <w:rPr>
                <w:sz w:val="20"/>
                <w:szCs w:val="20"/>
                <w:color w:val="auto"/>
              </w:rPr>
            </w:pPr>
            <w:r>
              <w:rPr>
                <w:rFonts w:ascii="Arial" w:cs="Arial" w:eastAsia="Arial" w:hAnsi="Arial"/>
                <w:sz w:val="17"/>
                <w:szCs w:val="17"/>
                <w:color w:val="auto"/>
              </w:rPr>
              <w:t>99.2</w:t>
            </w:r>
          </w:p>
        </w:tc>
        <w:tc>
          <w:tcPr>
            <w:tcW w:w="56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7"/>
                <w:szCs w:val="17"/>
                <w:color w:val="auto"/>
                <w:w w:val="92"/>
              </w:rPr>
              <w:t>PEP Acquisition Overview Presentation, dated August 17, 2015.</w:t>
            </w:r>
          </w:p>
        </w:tc>
        <w:tc>
          <w:tcPr>
            <w:tcW w:w="0" w:type="dxa"/>
            <w:vAlign w:val="bottom"/>
          </w:tcPr>
          <w:p>
            <w:pPr>
              <w:spacing w:after="0"/>
              <w:rPr>
                <w:sz w:val="1"/>
                <w:szCs w:val="1"/>
                <w:color w:val="auto"/>
              </w:rPr>
            </w:pPr>
          </w:p>
        </w:tc>
      </w:tr>
    </w:tbl>
    <w:p>
      <w:pPr>
        <w:sectPr>
          <w:pgSz w:w="11900" w:h="16838" w:orient="portrait"/>
          <w:cols w:equalWidth="0" w:num="1">
            <w:col w:w="11340"/>
          </w:cols>
          <w:pgMar w:left="240" w:top="265"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SIGNATURES</w:t>
      </w:r>
    </w:p>
    <w:p>
      <w:pPr>
        <w:spacing w:after="0" w:line="230"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August 18, 2015</w:t>
      </w:r>
    </w:p>
    <w:p>
      <w:pPr>
        <w:spacing w:after="0" w:line="244"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NN, INC.</w:t>
      </w:r>
    </w:p>
    <w:p>
      <w:pPr>
        <w:spacing w:after="0" w:line="230"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C. Kelly, Jr.</w:t>
            </w: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William C. Kelly, Jr.</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spacing w:after="0"/>
              <w:rPr>
                <w:sz w:val="20"/>
                <w:szCs w:val="20"/>
                <w:color w:val="auto"/>
              </w:rPr>
            </w:pPr>
            <w:r>
              <w:rPr>
                <w:rFonts w:ascii="Arial" w:cs="Arial" w:eastAsia="Arial" w:hAnsi="Arial"/>
                <w:sz w:val="17"/>
                <w:szCs w:val="17"/>
                <w:color w:val="auto"/>
              </w:rPr>
              <w:t>Vice President and Chief Administrative Officer</w:t>
            </w:r>
          </w:p>
        </w:tc>
      </w:tr>
    </w:tbl>
    <w:p>
      <w:pPr>
        <w:sectPr>
          <w:pgSz w:w="11900" w:h="16838" w:orient="portrait"/>
          <w:cols w:equalWidth="0" w:num="1">
            <w:col w:w="11420"/>
          </w:cols>
          <w:pgMar w:left="240" w:top="265"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700" w:type="dxa"/>
            <w:vAlign w:val="bottom"/>
          </w:tcPr>
          <w:p>
            <w:pPr>
              <w:ind w:left="334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58"/>
        </w:trPr>
        <w:tc>
          <w:tcPr>
            <w:tcW w:w="440" w:type="dxa"/>
            <w:vAlign w:val="bottom"/>
          </w:tcPr>
          <w:p>
            <w:pPr>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7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440" w:type="dxa"/>
            <w:vAlign w:val="bottom"/>
          </w:tcPr>
          <w:p>
            <w:pPr>
              <w:spacing w:after="0"/>
              <w:rPr>
                <w:sz w:val="20"/>
                <w:szCs w:val="20"/>
                <w:color w:val="auto"/>
              </w:rPr>
            </w:pPr>
            <w:r>
              <w:rPr>
                <w:rFonts w:ascii="Arial" w:cs="Arial" w:eastAsia="Arial" w:hAnsi="Arial"/>
                <w:sz w:val="17"/>
                <w:szCs w:val="17"/>
                <w:color w:val="auto"/>
              </w:rPr>
              <w:t>99.1</w:t>
            </w:r>
          </w:p>
        </w:tc>
        <w:tc>
          <w:tcPr>
            <w:tcW w:w="56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7"/>
                <w:szCs w:val="17"/>
                <w:color w:val="auto"/>
              </w:rPr>
              <w:t>Press Release of NN, Inc., dated August 17, 2015.</w:t>
            </w:r>
          </w:p>
        </w:tc>
        <w:tc>
          <w:tcPr>
            <w:tcW w:w="0" w:type="dxa"/>
            <w:vAlign w:val="bottom"/>
          </w:tcPr>
          <w:p>
            <w:pPr>
              <w:spacing w:after="0"/>
              <w:rPr>
                <w:sz w:val="1"/>
                <w:szCs w:val="1"/>
                <w:color w:val="auto"/>
              </w:rPr>
            </w:pPr>
          </w:p>
        </w:tc>
      </w:tr>
      <w:tr>
        <w:trPr>
          <w:trHeight w:val="314"/>
        </w:trPr>
        <w:tc>
          <w:tcPr>
            <w:tcW w:w="440" w:type="dxa"/>
            <w:vAlign w:val="bottom"/>
          </w:tcPr>
          <w:p>
            <w:pPr>
              <w:spacing w:after="0"/>
              <w:rPr>
                <w:sz w:val="20"/>
                <w:szCs w:val="20"/>
                <w:color w:val="auto"/>
              </w:rPr>
            </w:pPr>
            <w:r>
              <w:rPr>
                <w:rFonts w:ascii="Arial" w:cs="Arial" w:eastAsia="Arial" w:hAnsi="Arial"/>
                <w:sz w:val="17"/>
                <w:szCs w:val="17"/>
                <w:color w:val="auto"/>
              </w:rPr>
              <w:t>99.2</w:t>
            </w:r>
          </w:p>
        </w:tc>
        <w:tc>
          <w:tcPr>
            <w:tcW w:w="56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7"/>
                <w:szCs w:val="17"/>
                <w:color w:val="auto"/>
              </w:rPr>
              <w:t>PEP Acquisition Overview Presentation, dated August 17, 2015.</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5391150</wp:posOffset>
            </wp:positionH>
            <wp:positionV relativeFrom="paragraph">
              <wp:posOffset>170180</wp:posOffset>
            </wp:positionV>
            <wp:extent cx="1862455" cy="5651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62455" cy="5651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810260</wp:posOffset>
            </wp:positionV>
            <wp:extent cx="1421765" cy="481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1765" cy="481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RE: NN, Inc.</w:t>
      </w:r>
    </w:p>
    <w:p>
      <w:pPr>
        <w:spacing w:after="0" w:line="2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207 Mockingbird Lane</w:t>
      </w:r>
    </w:p>
    <w:p>
      <w:pPr>
        <w:spacing w:after="0" w:line="1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3</w:t>
      </w:r>
      <w:r>
        <w:rPr>
          <w:rFonts w:ascii="Arial" w:cs="Arial" w:eastAsia="Arial" w:hAnsi="Arial"/>
          <w:sz w:val="14"/>
          <w:szCs w:val="14"/>
          <w:color w:val="auto"/>
        </w:rPr>
        <w:t>rd</w:t>
      </w:r>
      <w:r>
        <w:rPr>
          <w:rFonts w:ascii="Arial" w:cs="Arial" w:eastAsia="Arial" w:hAnsi="Arial"/>
          <w:sz w:val="17"/>
          <w:szCs w:val="17"/>
          <w:color w:val="auto"/>
        </w:rPr>
        <w:t xml:space="preserve"> Floor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Johnson City, TN 37604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w:t>
      </w:r>
    </w:p>
    <w:p>
      <w:pPr>
        <w:sectPr>
          <w:pgSz w:w="11900" w:h="16838" w:orient="portrait"/>
          <w:cols w:equalWidth="0" w:num="1">
            <w:col w:w="11420"/>
          </w:cols>
          <w:pgMar w:left="240" w:top="121" w:right="23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AT THE COMPANY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Robbie Atkinson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Corporate Treasurer &amp; Investor Relations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(423) 434-8398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AT FINANCIAL RELATIONS BOARD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Marilynn Meek</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(General info)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212-827-3773</w:t>
      </w:r>
    </w:p>
    <w:p>
      <w:pPr>
        <w:spacing w:after="0" w:line="200"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August 17, 2015</w:t>
      </w:r>
    </w:p>
    <w:p>
      <w:pPr>
        <w:sectPr>
          <w:pgSz w:w="11900" w:h="16838" w:orient="portrait"/>
          <w:cols w:equalWidth="0" w:num="1">
            <w:col w:w="11420"/>
          </w:cols>
          <w:pgMar w:left="240" w:top="121" w:right="239" w:bottom="1440" w:gutter="0" w:footer="0" w:header="0"/>
          <w:type w:val="continuous"/>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NN, INC. ANNOUNCES DEFINITIVE AGREEMENT TO ACQUIRE PRECISION ENGINEERED PRODUCTS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Company to Host Conference Call to Discuss Transaction</w:t>
      </w:r>
    </w:p>
    <w:p>
      <w:pPr>
        <w:spacing w:after="0" w:line="206"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b w:val="1"/>
          <w:bCs w:val="1"/>
          <w:color w:val="auto"/>
        </w:rPr>
        <w:t>Johnson City, Tenn, August 17, 2015 –</w:t>
      </w:r>
      <w:r>
        <w:rPr>
          <w:rFonts w:ascii="Arial" w:cs="Arial" w:eastAsia="Arial" w:hAnsi="Arial"/>
          <w:sz w:val="17"/>
          <w:szCs w:val="17"/>
          <w:color w:val="auto"/>
        </w:rPr>
        <w:t>NN, Inc., (NASDAQ: NNBR) a diversified industrial company, today announced that it has entered into a definitive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acquire Precision Engineered Products Holdings, Inc. (P.E.P.) for $615 million in cash. The transaction is expected to be immediately accretive to earnings. The Company anticipates that the transaction will close by the end of October, 2015, subject to customary closing conditions and regulatory approval. NN was advised on the transaction by KeyBanc Capital Markets, Inc.</w:t>
      </w:r>
    </w:p>
    <w:p>
      <w:pPr>
        <w:spacing w:after="0" w:line="17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P.E.P. is a global manufacturer of highly engineered precision customized solutions serving the medical, electrical, transportation and aerospace end markets. P.E.P has built a highly respected brand on which customers rely to solve their most difficult problems across diversified end markets. P.E.P.’s net sales for the last twelve months ending June 30, 2015, including acquisitions, were $245.3 million, with approximately $180.0 million coming from the medical and electrical businesses.</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Richard Holder, President and CEO commented, “The addition of the P.E.P. business into our portfolio is a transformative step in creating a diversified industrial company that serves a variety of end markets and delivers consistent results through the economic cycle. P.E.P. strengthens our technical capabilities and provides us with additional dynamic platforms to support outgrowth of our end markets. P.E.P.’s focus on the medical, electrical, and aerospace end markets and delivery of world class precision and technology to their customers aligns perfectly with our strategic plan. Utilizing the NN Operating System, P.E.P. will have the tools and resources to continue to develop new products and drive operational efficiency in the years to come. We look forward to welcoming the P.E.P. team into the NN family.”</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NN expects to finance the transaction primarily with available cash and the issuance of debt from new fully committed credit facilities.</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 &amp; Supplemental Deck</w:t>
      </w:r>
    </w:p>
    <w:p>
      <w:pPr>
        <w:spacing w:after="0" w:line="12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 supplemental presentation on this acquisition has been posted to NN’s website. The Company will host a conference call to discuss the transaction on August 18 at 10:00 a.m. ET. Access the call by dialing 888.500.6950 in the U.S., or 719.325.2329 internationally, conference ID: 5318922. A replay of the conference call will be available shortly after the conclusion of the call. The replay along with presentation materials relating the acquisition will be available under the investor relations section of NN’s website.</w:t>
      </w:r>
    </w:p>
    <w:p>
      <w:pPr>
        <w:spacing w:after="0" w:line="178" w:lineRule="exact"/>
        <w:rPr>
          <w:sz w:val="20"/>
          <w:szCs w:val="20"/>
          <w:color w:val="auto"/>
        </w:rPr>
      </w:pPr>
    </w:p>
    <w:p>
      <w:pPr>
        <w:jc w:val="both"/>
        <w:ind w:right="560"/>
        <w:spacing w:after="0" w:line="273" w:lineRule="auto"/>
        <w:rPr>
          <w:sz w:val="20"/>
          <w:szCs w:val="20"/>
          <w:color w:val="auto"/>
        </w:rPr>
      </w:pPr>
      <w:r>
        <w:rPr>
          <w:rFonts w:ascii="Arial" w:cs="Arial" w:eastAsia="Arial" w:hAnsi="Arial"/>
          <w:sz w:val="17"/>
          <w:szCs w:val="17"/>
          <w:color w:val="auto"/>
        </w:rPr>
        <w:t>NN, Inc., a diversified industrial company, manufactures and supplies high precision metal bearing components, industrial plastic and rubber products and precision metal components to a variety of markets on a global basis. Headquartered in Johnson City, Tennessee, NN has 26 manufacturing plants in North America, Western Europe, Eastern Europe, South America and China.</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spacing w:after="0" w:line="176"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2014. Except as required by law, we undertake no obligation to update or revise any forward-looking statements we make in our press releases, whether as a result of new information, future events or otherwise.</w:t>
      </w:r>
    </w:p>
    <w:p>
      <w:pPr>
        <w:sectPr>
          <w:pgSz w:w="11900" w:h="16838" w:orient="portrait"/>
          <w:cols w:equalWidth="0" w:num="1">
            <w:col w:w="11380"/>
          </w:cols>
          <w:pgMar w:left="240" w:top="271" w:right="279" w:bottom="1440" w:gutter="0" w:footer="0" w:header="0"/>
        </w:sectPr>
      </w:pPr>
    </w:p>
    <w:bookmarkStart w:id="6" w:name="page7"/>
    <w:bookmarkEnd w:id="6"/>
    <w:p>
      <w:pPr>
        <w:jc w:val="right"/>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312025" cy="41160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2025" cy="411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FFFFFF"/>
        </w:rPr>
        <w:t>Exhibit 99.2</w:t>
      </w:r>
    </w:p>
    <w:p>
      <w:pPr>
        <w:spacing w:after="0" w:line="204" w:lineRule="auto"/>
        <w:rPr>
          <w:sz w:val="20"/>
          <w:szCs w:val="20"/>
          <w:color w:val="auto"/>
        </w:rPr>
      </w:pPr>
      <w:r>
        <w:rPr>
          <w:rFonts w:ascii="Arial" w:cs="Arial" w:eastAsia="Arial" w:hAnsi="Arial"/>
          <w:sz w:val="4"/>
          <w:szCs w:val="4"/>
          <w:color w:val="FFFFFF"/>
        </w:rPr>
        <w:t>Precision Engineered Products Acquisition</w:t>
      </w:r>
    </w:p>
    <w:p>
      <w:pPr>
        <w:spacing w:after="0"/>
        <w:rPr>
          <w:sz w:val="20"/>
          <w:szCs w:val="20"/>
          <w:color w:val="auto"/>
        </w:rPr>
      </w:pPr>
      <w:r>
        <w:rPr>
          <w:rFonts w:ascii="Arial" w:cs="Arial" w:eastAsia="Arial" w:hAnsi="Arial"/>
          <w:sz w:val="13"/>
          <w:szCs w:val="13"/>
          <w:color w:val="FFFFFF"/>
        </w:rPr>
        <w:t>August 17, 2015</w:t>
      </w:r>
    </w:p>
    <w:p>
      <w:pPr>
        <w:sectPr>
          <w:pgSz w:w="11900" w:h="16838" w:orient="portrait"/>
          <w:cols w:equalWidth="0" w:num="1">
            <w:col w:w="11520"/>
          </w:cols>
          <w:pgMar w:left="240" w:top="127" w:right="1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ind w:left="440"/>
              <w:spacing w:after="0"/>
              <w:rPr>
                <w:sz w:val="20"/>
                <w:szCs w:val="20"/>
                <w:color w:val="auto"/>
              </w:rPr>
            </w:pPr>
            <w:r>
              <w:rPr>
                <w:rFonts w:ascii="Arial" w:cs="Arial" w:eastAsia="Arial" w:hAnsi="Arial"/>
                <w:sz w:val="13"/>
                <w:szCs w:val="13"/>
                <w:color w:val="FFFFFF"/>
                <w:w w:val="96"/>
              </w:rPr>
              <w:t>-Looking</w:t>
            </w:r>
          </w:p>
        </w:tc>
        <w:tc>
          <w:tcPr>
            <w:tcW w:w="3860" w:type="dxa"/>
            <w:vAlign w:val="bottom"/>
            <w:gridSpan w:val="4"/>
          </w:tcPr>
          <w:p>
            <w:pPr>
              <w:ind w:left="640"/>
              <w:spacing w:after="0"/>
              <w:rPr>
                <w:sz w:val="20"/>
                <w:szCs w:val="20"/>
                <w:color w:val="auto"/>
              </w:rPr>
            </w:pPr>
            <w:r>
              <w:rPr>
                <w:rFonts w:ascii="Arial" w:cs="Arial" w:eastAsia="Arial" w:hAnsi="Arial"/>
                <w:sz w:val="13"/>
                <w:szCs w:val="13"/>
                <w:color w:val="FFFFFF"/>
              </w:rPr>
              <w:t>and Non-GAAP Financial Information</w:t>
            </w:r>
          </w:p>
        </w:tc>
        <w:tc>
          <w:tcPr>
            <w:tcW w:w="6620" w:type="dxa"/>
            <w:vAlign w:val="bottom"/>
          </w:tcPr>
          <w:p>
            <w:pPr>
              <w:spacing w:after="0"/>
              <w:rPr>
                <w:sz w:val="12"/>
                <w:szCs w:val="12"/>
                <w:color w:val="auto"/>
              </w:rPr>
            </w:pPr>
          </w:p>
        </w:tc>
      </w:tr>
      <w:tr>
        <w:trPr>
          <w:trHeight w:val="39"/>
        </w:trPr>
        <w:tc>
          <w:tcPr>
            <w:tcW w:w="940" w:type="dxa"/>
            <w:vAlign w:val="bottom"/>
          </w:tcPr>
          <w:p>
            <w:pPr>
              <w:spacing w:after="0" w:line="40" w:lineRule="exact"/>
              <w:rPr>
                <w:sz w:val="20"/>
                <w:szCs w:val="20"/>
                <w:color w:val="auto"/>
              </w:rPr>
            </w:pPr>
            <w:r>
              <w:rPr>
                <w:rFonts w:ascii="Arial" w:cs="Arial" w:eastAsia="Arial" w:hAnsi="Arial"/>
                <w:sz w:val="4"/>
                <w:szCs w:val="4"/>
                <w:color w:val="FFFFFF"/>
              </w:rPr>
              <w:t>Forward Looking</w:t>
            </w:r>
          </w:p>
        </w:tc>
        <w:tc>
          <w:tcPr>
            <w:tcW w:w="10480" w:type="dxa"/>
            <w:vAlign w:val="bottom"/>
            <w:gridSpan w:val="5"/>
          </w:tcPr>
          <w:p>
            <w:pPr>
              <w:ind w:left="20"/>
              <w:spacing w:after="0" w:line="40" w:lineRule="exact"/>
              <w:rPr>
                <w:sz w:val="20"/>
                <w:szCs w:val="20"/>
                <w:color w:val="auto"/>
              </w:rPr>
            </w:pPr>
            <w:r>
              <w:rPr>
                <w:rFonts w:ascii="Arial" w:cs="Arial" w:eastAsia="Arial" w:hAnsi="Arial"/>
                <w:sz w:val="4"/>
                <w:szCs w:val="4"/>
                <w:color w:val="FFFFFF"/>
              </w:rPr>
              <w:t>Statements: With the exception of the historical information contained in this presentation, the matters described herein contain forward looking statements that are made pursuant to the safe harbor</w:t>
            </w:r>
          </w:p>
        </w:tc>
      </w:tr>
      <w:tr>
        <w:trPr>
          <w:trHeight w:val="39"/>
        </w:trPr>
        <w:tc>
          <w:tcPr>
            <w:tcW w:w="11420" w:type="dxa"/>
            <w:vAlign w:val="bottom"/>
            <w:gridSpan w:val="6"/>
          </w:tcPr>
          <w:p>
            <w:pPr>
              <w:spacing w:after="0" w:line="40" w:lineRule="exact"/>
              <w:rPr>
                <w:sz w:val="20"/>
                <w:szCs w:val="20"/>
                <w:color w:val="auto"/>
              </w:rPr>
            </w:pPr>
            <w:r>
              <w:rPr>
                <w:rFonts w:ascii="Arial" w:cs="Arial" w:eastAsia="Arial" w:hAnsi="Arial"/>
                <w:sz w:val="4"/>
                <w:szCs w:val="4"/>
                <w:color w:val="FFFFFF"/>
              </w:rPr>
              <w:t>provisions of the Private Securities Litigation Reform Act of 1995. Forward looking statements include statements regarding the proposed acquisition of Precision Engineered Products, Inc. (PEP), expected timetable</w:t>
            </w:r>
          </w:p>
        </w:tc>
      </w:tr>
      <w:tr>
        <w:trPr>
          <w:trHeight w:val="39"/>
        </w:trPr>
        <w:tc>
          <w:tcPr>
            <w:tcW w:w="11420" w:type="dxa"/>
            <w:vAlign w:val="bottom"/>
            <w:gridSpan w:val="6"/>
          </w:tcPr>
          <w:p>
            <w:pPr>
              <w:spacing w:after="0" w:line="40" w:lineRule="exact"/>
              <w:rPr>
                <w:sz w:val="20"/>
                <w:szCs w:val="20"/>
                <w:color w:val="auto"/>
              </w:rPr>
            </w:pPr>
            <w:r>
              <w:rPr>
                <w:rFonts w:ascii="Arial" w:cs="Arial" w:eastAsia="Arial" w:hAnsi="Arial"/>
                <w:sz w:val="4"/>
                <w:szCs w:val="4"/>
                <w:color w:val="FFFFFF"/>
              </w:rPr>
              <w:t>for completing the acquis tion, future financial and operating results, benefits and synergies of the acquisition, future opportunities for the combined businesses and any other statements regarding events or</w:t>
            </w:r>
          </w:p>
        </w:tc>
      </w:tr>
      <w:tr>
        <w:trPr>
          <w:trHeight w:val="39"/>
        </w:trPr>
        <w:tc>
          <w:tcPr>
            <w:tcW w:w="11420" w:type="dxa"/>
            <w:vAlign w:val="bottom"/>
            <w:gridSpan w:val="6"/>
          </w:tcPr>
          <w:p>
            <w:pPr>
              <w:spacing w:after="0" w:line="40" w:lineRule="exact"/>
              <w:rPr>
                <w:sz w:val="20"/>
                <w:szCs w:val="20"/>
                <w:color w:val="auto"/>
              </w:rPr>
            </w:pPr>
            <w:r>
              <w:rPr>
                <w:rFonts w:ascii="Arial" w:cs="Arial" w:eastAsia="Arial" w:hAnsi="Arial"/>
                <w:sz w:val="4"/>
                <w:szCs w:val="4"/>
                <w:color w:val="FFFFFF"/>
              </w:rPr>
              <w:t>developments that we believe or anticipate will or may occur in the future. Forward looking statements involve a number of risks and uncertainties that may cause actual results to be materially different from such</w:t>
            </w:r>
          </w:p>
        </w:tc>
      </w:tr>
      <w:tr>
        <w:trPr>
          <w:trHeight w:val="39"/>
        </w:trPr>
        <w:tc>
          <w:tcPr>
            <w:tcW w:w="1980" w:type="dxa"/>
            <w:vAlign w:val="bottom"/>
            <w:gridSpan w:val="2"/>
          </w:tcPr>
          <w:p>
            <w:pPr>
              <w:spacing w:after="0" w:line="40" w:lineRule="exact"/>
              <w:rPr>
                <w:sz w:val="20"/>
                <w:szCs w:val="20"/>
                <w:color w:val="auto"/>
              </w:rPr>
            </w:pPr>
            <w:r>
              <w:rPr>
                <w:rFonts w:ascii="Arial" w:cs="Arial" w:eastAsia="Arial" w:hAnsi="Arial"/>
                <w:sz w:val="4"/>
                <w:szCs w:val="4"/>
                <w:color w:val="FFFFFF"/>
              </w:rPr>
              <w:t>forward looking statements. Such</w:t>
            </w:r>
          </w:p>
        </w:tc>
        <w:tc>
          <w:tcPr>
            <w:tcW w:w="9440" w:type="dxa"/>
            <w:vAlign w:val="bottom"/>
            <w:gridSpan w:val="4"/>
          </w:tcPr>
          <w:p>
            <w:pPr>
              <w:ind w:left="200"/>
              <w:spacing w:after="0" w:line="40" w:lineRule="exact"/>
              <w:rPr>
                <w:sz w:val="20"/>
                <w:szCs w:val="20"/>
                <w:color w:val="auto"/>
              </w:rPr>
            </w:pPr>
            <w:r>
              <w:rPr>
                <w:rFonts w:ascii="Arial" w:cs="Arial" w:eastAsia="Arial" w:hAnsi="Arial"/>
                <w:sz w:val="4"/>
                <w:szCs w:val="4"/>
                <w:color w:val="FFFFFF"/>
              </w:rPr>
              <w:t>include, among others, general economic conditions and economic conditions in the medical, automotive, electrical and industrial sector, competitive influences, risks that</w:t>
            </w:r>
          </w:p>
        </w:tc>
      </w:tr>
      <w:tr>
        <w:trPr>
          <w:trHeight w:val="39"/>
        </w:trPr>
        <w:tc>
          <w:tcPr>
            <w:tcW w:w="11420" w:type="dxa"/>
            <w:vAlign w:val="bottom"/>
            <w:gridSpan w:val="6"/>
          </w:tcPr>
          <w:p>
            <w:pPr>
              <w:spacing w:after="0" w:line="40" w:lineRule="exact"/>
              <w:rPr>
                <w:sz w:val="20"/>
                <w:szCs w:val="20"/>
                <w:color w:val="auto"/>
              </w:rPr>
            </w:pPr>
            <w:r>
              <w:rPr>
                <w:rFonts w:ascii="Arial" w:cs="Arial" w:eastAsia="Arial" w:hAnsi="Arial"/>
                <w:sz w:val="4"/>
                <w:szCs w:val="4"/>
                <w:color w:val="FFFFFF"/>
              </w:rPr>
              <w:t>current customers will commence factorsincrease captive production, risks of capacity underutilization, availability of raw materials, currency and other risks associated with international trade, our dependence on certain</w:t>
            </w:r>
          </w:p>
        </w:tc>
      </w:tr>
      <w:tr>
        <w:trPr>
          <w:trHeight w:val="39"/>
        </w:trPr>
        <w:tc>
          <w:tcPr>
            <w:tcW w:w="940" w:type="dxa"/>
            <w:vAlign w:val="bottom"/>
          </w:tcPr>
          <w:p>
            <w:pPr>
              <w:spacing w:after="0" w:line="40" w:lineRule="exact"/>
              <w:rPr>
                <w:sz w:val="20"/>
                <w:szCs w:val="20"/>
                <w:color w:val="auto"/>
              </w:rPr>
            </w:pPr>
            <w:r>
              <w:rPr>
                <w:rFonts w:ascii="Arial" w:cs="Arial" w:eastAsia="Arial" w:hAnsi="Arial"/>
                <w:sz w:val="4"/>
                <w:szCs w:val="4"/>
                <w:color w:val="FFFFFF"/>
              </w:rPr>
              <w:t>major</w:t>
            </w:r>
          </w:p>
        </w:tc>
        <w:tc>
          <w:tcPr>
            <w:tcW w:w="1640" w:type="dxa"/>
            <w:vAlign w:val="bottom"/>
            <w:gridSpan w:val="2"/>
          </w:tcPr>
          <w:p>
            <w:pPr>
              <w:spacing w:after="0" w:line="40" w:lineRule="exact"/>
              <w:rPr>
                <w:sz w:val="20"/>
                <w:szCs w:val="20"/>
                <w:color w:val="auto"/>
              </w:rPr>
            </w:pPr>
            <w:r>
              <w:rPr>
                <w:rFonts w:ascii="Arial" w:cs="Arial" w:eastAsia="Arial" w:hAnsi="Arial"/>
                <w:sz w:val="4"/>
                <w:szCs w:val="4"/>
                <w:color w:val="FFFFFF"/>
              </w:rPr>
              <w:t>the uncertainty of regulatory</w:t>
            </w:r>
          </w:p>
        </w:tc>
        <w:tc>
          <w:tcPr>
            <w:tcW w:w="8840" w:type="dxa"/>
            <w:vAlign w:val="bottom"/>
            <w:gridSpan w:val="3"/>
          </w:tcPr>
          <w:p>
            <w:pPr>
              <w:jc w:val="center"/>
              <w:ind w:left="430"/>
              <w:spacing w:after="0" w:line="40" w:lineRule="exact"/>
              <w:rPr>
                <w:sz w:val="20"/>
                <w:szCs w:val="20"/>
                <w:color w:val="auto"/>
              </w:rPr>
            </w:pPr>
            <w:r>
              <w:rPr>
                <w:rFonts w:ascii="Arial" w:cs="Arial" w:eastAsia="Arial" w:hAnsi="Arial"/>
                <w:sz w:val="4"/>
                <w:szCs w:val="4"/>
                <w:color w:val="FFFFFF"/>
              </w:rPr>
              <w:t>NN and PEP’s ability to satisfy the stock purchase agreement conditions and consummate the transaction on a timely basis or at all, NN’s ability to successfully</w:t>
            </w:r>
          </w:p>
        </w:tc>
      </w:tr>
      <w:tr>
        <w:trPr>
          <w:trHeight w:val="39"/>
        </w:trPr>
        <w:tc>
          <w:tcPr>
            <w:tcW w:w="11420" w:type="dxa"/>
            <w:vAlign w:val="bottom"/>
            <w:gridSpan w:val="6"/>
          </w:tcPr>
          <w:p>
            <w:pPr>
              <w:spacing w:after="0" w:line="40" w:lineRule="exact"/>
              <w:rPr>
                <w:sz w:val="20"/>
                <w:szCs w:val="20"/>
                <w:color w:val="auto"/>
              </w:rPr>
            </w:pPr>
            <w:r>
              <w:rPr>
                <w:rFonts w:ascii="Arial" w:cs="Arial" w:eastAsia="Arial" w:hAnsi="Arial"/>
                <w:sz w:val="4"/>
                <w:szCs w:val="4"/>
                <w:color w:val="FFFFFF"/>
              </w:rPr>
              <w:t>integratecustomers,PEP’operations and employees withapprovals,NN’existing business, the ability to realize anticipated growth, synergies and cost savings from the acquisition, PEP’s performance and maintenance of important</w:t>
            </w:r>
          </w:p>
        </w:tc>
      </w:tr>
      <w:tr>
        <w:trPr>
          <w:trHeight w:val="39"/>
        </w:trPr>
        <w:tc>
          <w:tcPr>
            <w:tcW w:w="4800" w:type="dxa"/>
            <w:vAlign w:val="bottom"/>
            <w:gridSpan w:val="5"/>
          </w:tcPr>
          <w:p>
            <w:pPr>
              <w:spacing w:after="0" w:line="40" w:lineRule="exact"/>
              <w:rPr>
                <w:sz w:val="20"/>
                <w:szCs w:val="20"/>
                <w:color w:val="auto"/>
              </w:rPr>
            </w:pPr>
            <w:r>
              <w:rPr>
                <w:rFonts w:ascii="Arial" w:cs="Arial" w:eastAsia="Arial" w:hAnsi="Arial"/>
                <w:sz w:val="4"/>
                <w:szCs w:val="4"/>
                <w:color w:val="FFFFFF"/>
              </w:rPr>
              <w:t>business relationships, our ability to develop and successfully market new products and</w:t>
            </w:r>
          </w:p>
        </w:tc>
        <w:tc>
          <w:tcPr>
            <w:tcW w:w="6620" w:type="dxa"/>
            <w:vAlign w:val="bottom"/>
          </w:tcPr>
          <w:p>
            <w:pPr>
              <w:ind w:left="240"/>
              <w:spacing w:after="0" w:line="40" w:lineRule="exact"/>
              <w:rPr>
                <w:sz w:val="20"/>
                <w:szCs w:val="20"/>
                <w:color w:val="auto"/>
              </w:rPr>
            </w:pPr>
            <w:r>
              <w:rPr>
                <w:rFonts w:ascii="Arial" w:cs="Arial" w:eastAsia="Arial" w:hAnsi="Arial"/>
                <w:sz w:val="4"/>
                <w:szCs w:val="4"/>
                <w:color w:val="FFFFFF"/>
              </w:rPr>
              <w:t>into new markets, our ability to successfully identify, consummate and integrate appropriate acquisitions and successfully</w:t>
            </w:r>
          </w:p>
        </w:tc>
      </w:tr>
      <w:tr>
        <w:trPr>
          <w:trHeight w:val="39"/>
        </w:trPr>
        <w:tc>
          <w:tcPr>
            <w:tcW w:w="11420" w:type="dxa"/>
            <w:vAlign w:val="bottom"/>
            <w:gridSpan w:val="6"/>
          </w:tcPr>
          <w:p>
            <w:pPr>
              <w:spacing w:after="0" w:line="40" w:lineRule="exact"/>
              <w:rPr>
                <w:sz w:val="20"/>
                <w:szCs w:val="20"/>
                <w:color w:val="auto"/>
              </w:rPr>
            </w:pPr>
            <w:r>
              <w:rPr>
                <w:rFonts w:ascii="Arial" w:cs="Arial" w:eastAsia="Arial" w:hAnsi="Arial"/>
                <w:sz w:val="4"/>
                <w:szCs w:val="4"/>
                <w:color w:val="FFFFFF"/>
              </w:rPr>
              <w:t>complete divestitures and other dispositions, contingent liabilities related to acquisitionsexpanddivestitures, our compliance with applicable laws and regulations (including regulations relating to medical devices and the</w:t>
            </w:r>
          </w:p>
        </w:tc>
      </w:tr>
      <w:tr>
        <w:trPr>
          <w:trHeight w:val="39"/>
        </w:trPr>
        <w:tc>
          <w:tcPr>
            <w:tcW w:w="11420" w:type="dxa"/>
            <w:vAlign w:val="bottom"/>
            <w:gridSpan w:val="6"/>
          </w:tcPr>
          <w:p>
            <w:pPr>
              <w:spacing w:after="0" w:line="40" w:lineRule="exact"/>
              <w:rPr>
                <w:sz w:val="20"/>
                <w:szCs w:val="20"/>
                <w:color w:val="auto"/>
              </w:rPr>
            </w:pPr>
            <w:r>
              <w:rPr>
                <w:rFonts w:ascii="Arial" w:cs="Arial" w:eastAsia="Arial" w:hAnsi="Arial"/>
                <w:sz w:val="4"/>
                <w:szCs w:val="4"/>
                <w:color w:val="FFFFFF"/>
              </w:rPr>
              <w:t>healthcare industry) and changes in applicable laws and regulations, our ability to eff ctively address cost reduction and other changes   the healthcare industry, risks relating to the potential impairment of goodwill</w:t>
            </w:r>
          </w:p>
        </w:tc>
      </w:tr>
      <w:tr>
        <w:trPr>
          <w:trHeight w:val="39"/>
        </w:trPr>
        <w:tc>
          <w:tcPr>
            <w:tcW w:w="11420" w:type="dxa"/>
            <w:vAlign w:val="bottom"/>
            <w:gridSpan w:val="6"/>
          </w:tcPr>
          <w:p>
            <w:pPr>
              <w:spacing w:after="0" w:line="40" w:lineRule="exact"/>
              <w:rPr>
                <w:sz w:val="20"/>
                <w:szCs w:val="20"/>
                <w:color w:val="auto"/>
              </w:rPr>
            </w:pPr>
            <w:r>
              <w:rPr>
                <w:rFonts w:ascii="Arial" w:cs="Arial" w:eastAsia="Arial" w:hAnsi="Arial"/>
                <w:sz w:val="4"/>
                <w:szCs w:val="4"/>
                <w:color w:val="FFFFFF"/>
              </w:rPr>
              <w:t>and other intangible assets, tax audits and changes in our tax rate, income tax liabilities, litigation and other contingent liabilities including environmental, health and safety matters, risks relating to product defects,</w:t>
            </w:r>
          </w:p>
        </w:tc>
      </w:tr>
      <w:tr>
        <w:trPr>
          <w:trHeight w:val="39"/>
        </w:trPr>
        <w:tc>
          <w:tcPr>
            <w:tcW w:w="3380" w:type="dxa"/>
            <w:vAlign w:val="bottom"/>
            <w:gridSpan w:val="4"/>
          </w:tcPr>
          <w:p>
            <w:pPr>
              <w:spacing w:after="0" w:line="40" w:lineRule="exact"/>
              <w:rPr>
                <w:sz w:val="20"/>
                <w:szCs w:val="20"/>
                <w:color w:val="auto"/>
              </w:rPr>
            </w:pPr>
            <w:r>
              <w:rPr>
                <w:rFonts w:ascii="Arial" w:cs="Arial" w:eastAsia="Arial" w:hAnsi="Arial"/>
                <w:sz w:val="4"/>
                <w:szCs w:val="4"/>
                <w:color w:val="FFFFFF"/>
              </w:rPr>
              <w:t>product liability and recalls, the impact of our debt obligations</w:t>
            </w:r>
          </w:p>
        </w:tc>
        <w:tc>
          <w:tcPr>
            <w:tcW w:w="8040" w:type="dxa"/>
            <w:vAlign w:val="bottom"/>
            <w:gridSpan w:val="2"/>
          </w:tcPr>
          <w:p>
            <w:pPr>
              <w:jc w:val="center"/>
              <w:ind w:right="298"/>
              <w:spacing w:after="0" w:line="40" w:lineRule="exact"/>
              <w:rPr>
                <w:sz w:val="20"/>
                <w:szCs w:val="20"/>
                <w:color w:val="auto"/>
              </w:rPr>
            </w:pPr>
            <w:r>
              <w:rPr>
                <w:rFonts w:ascii="Arial" w:cs="Arial" w:eastAsia="Arial" w:hAnsi="Arial"/>
                <w:sz w:val="4"/>
                <w:szCs w:val="4"/>
                <w:color w:val="FFFFFF"/>
              </w:rPr>
              <w:t>our operations and liquidity, our ability to adjust purchases and manufacturing capacity to reflect market conditions, labor matters, international</w:t>
            </w:r>
          </w:p>
        </w:tc>
      </w:tr>
      <w:tr>
        <w:trPr>
          <w:trHeight w:val="0"/>
        </w:trPr>
        <w:tc>
          <w:tcPr>
            <w:tcW w:w="2580" w:type="dxa"/>
            <w:vAlign w:val="bottom"/>
            <w:gridSpan w:val="3"/>
          </w:tcPr>
          <w:p>
            <w:pPr>
              <w:spacing w:after="0" w:line="78" w:lineRule="exact"/>
              <w:rPr>
                <w:sz w:val="20"/>
                <w:szCs w:val="20"/>
                <w:color w:val="auto"/>
              </w:rPr>
            </w:pPr>
            <w:r>
              <w:rPr>
                <w:rFonts w:ascii="Arial" w:cs="Arial" w:eastAsia="Arial" w:hAnsi="Arial"/>
                <w:sz w:val="8"/>
                <w:szCs w:val="8"/>
                <w:color w:val="FFFFFF"/>
              </w:rPr>
              <w:t>economic, political, legal, compliance and</w:t>
            </w:r>
          </w:p>
        </w:tc>
        <w:tc>
          <w:tcPr>
            <w:tcW w:w="8840" w:type="dxa"/>
            <w:vAlign w:val="bottom"/>
            <w:gridSpan w:val="3"/>
          </w:tcPr>
          <w:p>
            <w:pPr>
              <w:ind w:left="140"/>
              <w:spacing w:after="0" w:line="78" w:lineRule="exact"/>
              <w:rPr>
                <w:sz w:val="20"/>
                <w:szCs w:val="20"/>
                <w:color w:val="auto"/>
              </w:rPr>
            </w:pPr>
            <w:r>
              <w:rPr>
                <w:rFonts w:ascii="Arial" w:cs="Arial" w:eastAsia="Arial" w:hAnsi="Arial"/>
                <w:sz w:val="8"/>
                <w:szCs w:val="8"/>
                <w:color w:val="FFFFFF"/>
              </w:rPr>
              <w:t>factors, disruptions related to man made and natural disasters, security breaches or other disruptions of our information technology systems, and other risk factors and</w:t>
            </w:r>
          </w:p>
        </w:tc>
      </w:tr>
    </w:tbl>
    <w:p>
      <w:pPr>
        <w:ind w:right="720"/>
        <w:spacing w:after="0" w:line="211" w:lineRule="auto"/>
        <w:rPr>
          <w:sz w:val="20"/>
          <w:szCs w:val="20"/>
          <w:color w:val="auto"/>
        </w:rPr>
      </w:pPr>
      <w:r>
        <w:rPr>
          <w:rFonts w:ascii="Arial" w:cs="Arial" w:eastAsia="Arial" w:hAnsi="Arial"/>
          <w:sz w:val="2"/>
          <w:szCs w:val="2"/>
          <w:color w:val="FFFFFF"/>
        </w:rPr>
        <w:t xml:space="preserve">cautionary statements listed from time to timebusinessour periodic reports filed with the Securities and Exchange Commission, including, but not limited to, our Annual Report on 10-K for the fiscal year ended </w:t>
      </w:r>
      <w:r>
        <w:rPr>
          <w:rFonts w:ascii="Arial" w:cs="Arial" w:eastAsia="Arial" w:hAnsi="Arial"/>
          <w:sz w:val="4"/>
          <w:szCs w:val="4"/>
          <w:color w:val="FFFFFF"/>
          <w:vertAlign w:val="subscript"/>
        </w:rPr>
        <w:t>Disclaimer:</w:t>
      </w:r>
      <w:r>
        <w:rPr>
          <w:rFonts w:ascii="Arial" w:cs="Arial" w:eastAsia="Arial" w:hAnsi="Arial"/>
          <w:sz w:val="2"/>
          <w:szCs w:val="2"/>
          <w:color w:val="FFFFFF"/>
        </w:rPr>
        <w:t>ecember31, 2014.</w:t>
      </w:r>
    </w:p>
    <w:p>
      <w:pPr>
        <w:ind w:right="20" w:firstLine="644"/>
        <w:spacing w:after="0" w:line="182" w:lineRule="auto"/>
        <w:rPr>
          <w:sz w:val="20"/>
          <w:szCs w:val="20"/>
          <w:color w:val="auto"/>
        </w:rPr>
      </w:pPr>
      <w:r>
        <w:rPr>
          <w:rFonts w:ascii="Arial" w:cs="Arial" w:eastAsia="Arial" w:hAnsi="Arial"/>
          <w:sz w:val="9"/>
          <w:szCs w:val="9"/>
          <w:color w:val="FFFFFF"/>
        </w:rPr>
        <w:t>NN disclaims any obligation to update any forward looking statements or to publicly announce the result of any revisions to any of the forward looking statements included herein or therein to reflect future events or developments.</w:t>
      </w:r>
    </w:p>
    <w:p>
      <w:pPr>
        <w:spacing w:after="0"/>
        <w:rPr>
          <w:sz w:val="20"/>
          <w:szCs w:val="20"/>
          <w:color w:val="auto"/>
        </w:rPr>
      </w:pPr>
      <w:r>
        <w:rPr>
          <w:rFonts w:ascii="Arial" w:cs="Arial" w:eastAsia="Arial" w:hAnsi="Arial"/>
          <w:sz w:val="12"/>
          <w:szCs w:val="12"/>
          <w:color w:val="FFFFFF"/>
        </w:rPr>
        <w:t>This presentation includes certain non-GAAP measures as defined by SEC rules. A reconciliation of those measures to the most directly comparable GAAP equivalent is provided at the end of this presentation.</w:t>
      </w:r>
    </w:p>
    <w:p>
      <w:pPr>
        <w:sectPr>
          <w:pgSz w:w="11900" w:h="16838" w:orient="portrait"/>
          <w:cols w:equalWidth="0" w:num="1">
            <w:col w:w="11420"/>
          </w:cols>
          <w:pgMar w:left="240" w:top="1440"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gridSpan w:val="2"/>
          </w:tcPr>
          <w:p>
            <w:pPr>
              <w:spacing w:after="0"/>
              <w:rPr>
                <w:sz w:val="20"/>
                <w:szCs w:val="20"/>
                <w:color w:val="auto"/>
              </w:rPr>
            </w:pPr>
            <w:r>
              <w:rPr>
                <w:rFonts w:ascii="Arial" w:cs="Arial" w:eastAsia="Arial" w:hAnsi="Arial"/>
                <w:sz w:val="13"/>
                <w:szCs w:val="13"/>
                <w:color w:val="FFFFFF"/>
              </w:rPr>
              <w:t>Strategic Rationale</w:t>
            </w:r>
          </w:p>
        </w:tc>
        <w:tc>
          <w:tcPr>
            <w:tcW w:w="4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500" w:type="dxa"/>
            <w:vAlign w:val="bottom"/>
            <w:gridSpan w:val="3"/>
          </w:tcPr>
          <w:p>
            <w:pPr>
              <w:spacing w:after="0" w:line="40" w:lineRule="exact"/>
              <w:rPr>
                <w:sz w:val="20"/>
                <w:szCs w:val="20"/>
                <w:color w:val="auto"/>
              </w:rPr>
            </w:pPr>
            <w:r>
              <w:rPr>
                <w:rFonts w:ascii="Arial" w:cs="Arial" w:eastAsia="Arial" w:hAnsi="Arial"/>
                <w:sz w:val="4"/>
                <w:szCs w:val="4"/>
                <w:color w:val="FFFFFF"/>
              </w:rPr>
              <w:t>Fills out our diversified industrial portfolio Continued expansion of Blue Chip customer base</w:t>
            </w:r>
          </w:p>
        </w:tc>
        <w:tc>
          <w:tcPr>
            <w:tcW w:w="0" w:type="dxa"/>
            <w:vAlign w:val="bottom"/>
          </w:tcPr>
          <w:p>
            <w:pPr>
              <w:spacing w:after="0" w:line="20" w:lineRule="exact"/>
              <w:rPr>
                <w:sz w:val="1"/>
                <w:szCs w:val="1"/>
                <w:color w:val="auto"/>
              </w:rPr>
            </w:pPr>
          </w:p>
        </w:tc>
      </w:tr>
      <w:tr>
        <w:trPr>
          <w:trHeight w:val="39"/>
        </w:trPr>
        <w:tc>
          <w:tcPr>
            <w:tcW w:w="5500" w:type="dxa"/>
            <w:vAlign w:val="bottom"/>
            <w:gridSpan w:val="3"/>
          </w:tcPr>
          <w:p>
            <w:pPr>
              <w:spacing w:after="0" w:line="40" w:lineRule="exact"/>
              <w:rPr>
                <w:sz w:val="20"/>
                <w:szCs w:val="20"/>
                <w:color w:val="auto"/>
              </w:rPr>
            </w:pPr>
            <w:r>
              <w:rPr>
                <w:rFonts w:ascii="Arial" w:cs="Arial" w:eastAsia="Arial" w:hAnsi="Arial"/>
                <w:sz w:val="4"/>
                <w:szCs w:val="4"/>
                <w:color w:val="FFFFFF"/>
              </w:rPr>
              <w:t>Positions NN, Inc. to achieve $1 billion strategic target Maintains focus on high precision manufacturing</w:t>
            </w:r>
          </w:p>
        </w:tc>
        <w:tc>
          <w:tcPr>
            <w:tcW w:w="0" w:type="dxa"/>
            <w:vAlign w:val="bottom"/>
          </w:tcPr>
          <w:p>
            <w:pPr>
              <w:spacing w:after="0" w:line="20" w:lineRule="exact"/>
              <w:rPr>
                <w:sz w:val="1"/>
                <w:szCs w:val="1"/>
                <w:color w:val="auto"/>
              </w:rPr>
            </w:pPr>
          </w:p>
        </w:tc>
      </w:tr>
      <w:tr>
        <w:trPr>
          <w:trHeight w:val="39"/>
        </w:trPr>
        <w:tc>
          <w:tcPr>
            <w:tcW w:w="5500" w:type="dxa"/>
            <w:vAlign w:val="bottom"/>
            <w:gridSpan w:val="3"/>
          </w:tcPr>
          <w:p>
            <w:pPr>
              <w:spacing w:after="0" w:line="40" w:lineRule="exact"/>
              <w:rPr>
                <w:sz w:val="20"/>
                <w:szCs w:val="20"/>
                <w:color w:val="auto"/>
              </w:rPr>
            </w:pPr>
            <w:r>
              <w:rPr>
                <w:rFonts w:ascii="Arial" w:cs="Arial" w:eastAsia="Arial" w:hAnsi="Arial"/>
                <w:sz w:val="4"/>
                <w:szCs w:val="4"/>
                <w:color w:val="FFFFFF"/>
              </w:rPr>
              <w:t>Significantly improved operating margins Immediately accretive to EPS</w:t>
            </w:r>
          </w:p>
        </w:tc>
        <w:tc>
          <w:tcPr>
            <w:tcW w:w="0" w:type="dxa"/>
            <w:vAlign w:val="bottom"/>
          </w:tcPr>
          <w:p>
            <w:pPr>
              <w:spacing w:after="0" w:line="20" w:lineRule="exact"/>
              <w:rPr>
                <w:sz w:val="1"/>
                <w:szCs w:val="1"/>
                <w:color w:val="auto"/>
              </w:rPr>
            </w:pPr>
          </w:p>
        </w:tc>
      </w:tr>
      <w:tr>
        <w:trPr>
          <w:trHeight w:val="39"/>
        </w:trPr>
        <w:tc>
          <w:tcPr>
            <w:tcW w:w="1160" w:type="dxa"/>
            <w:vAlign w:val="bottom"/>
            <w:gridSpan w:val="2"/>
          </w:tcPr>
          <w:p>
            <w:pPr>
              <w:spacing w:after="0" w:line="40" w:lineRule="exact"/>
              <w:rPr>
                <w:sz w:val="20"/>
                <w:szCs w:val="20"/>
                <w:color w:val="auto"/>
              </w:rPr>
            </w:pPr>
            <w:r>
              <w:rPr>
                <w:rFonts w:ascii="Arial" w:cs="Arial" w:eastAsia="Arial" w:hAnsi="Arial"/>
                <w:sz w:val="4"/>
                <w:szCs w:val="4"/>
                <w:color w:val="FFFFFF"/>
              </w:rPr>
              <w:t>Balances NN’</w:t>
            </w:r>
          </w:p>
        </w:tc>
        <w:tc>
          <w:tcPr>
            <w:tcW w:w="4340" w:type="dxa"/>
            <w:vAlign w:val="bottom"/>
          </w:tcPr>
          <w:p>
            <w:pPr>
              <w:ind w:left="140"/>
              <w:spacing w:after="0" w:line="40" w:lineRule="exact"/>
              <w:rPr>
                <w:sz w:val="20"/>
                <w:szCs w:val="20"/>
                <w:color w:val="auto"/>
              </w:rPr>
            </w:pPr>
            <w:r>
              <w:rPr>
                <w:rFonts w:ascii="Arial" w:cs="Arial" w:eastAsia="Arial" w:hAnsi="Arial"/>
                <w:sz w:val="4"/>
                <w:szCs w:val="4"/>
                <w:color w:val="FFFFFF"/>
              </w:rPr>
              <w:t>segment mix</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420" w:type="dxa"/>
            <w:vAlign w:val="bottom"/>
            <w:gridSpan w:val="2"/>
          </w:tcPr>
          <w:p>
            <w:pPr>
              <w:ind w:left="20"/>
              <w:spacing w:after="0" w:line="40" w:lineRule="exact"/>
              <w:rPr>
                <w:sz w:val="20"/>
                <w:szCs w:val="20"/>
                <w:color w:val="auto"/>
              </w:rPr>
            </w:pPr>
            <w:r>
              <w:rPr>
                <w:rFonts w:ascii="Arial" w:cs="Arial" w:eastAsia="Arial" w:hAnsi="Arial"/>
                <w:sz w:val="4"/>
                <w:szCs w:val="4"/>
                <w:color w:val="FFFFFF"/>
              </w:rPr>
              <w:t>Strong presencebusinessthe medical end market</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420" w:type="dxa"/>
            <w:vAlign w:val="bottom"/>
            <w:gridSpan w:val="2"/>
          </w:tcPr>
          <w:p>
            <w:pPr>
              <w:ind w:left="20"/>
              <w:spacing w:after="0" w:line="40" w:lineRule="exact"/>
              <w:rPr>
                <w:sz w:val="20"/>
                <w:szCs w:val="20"/>
                <w:color w:val="auto"/>
              </w:rPr>
            </w:pPr>
            <w:r>
              <w:rPr>
                <w:rFonts w:ascii="Arial" w:cs="Arial" w:eastAsia="Arial" w:hAnsi="Arial"/>
                <w:sz w:val="4"/>
                <w:szCs w:val="4"/>
                <w:color w:val="FFFFFF"/>
              </w:rPr>
              <w:t>Electrical provides another powerful growth engine</w:t>
            </w:r>
          </w:p>
        </w:tc>
        <w:tc>
          <w:tcPr>
            <w:tcW w:w="0" w:type="dxa"/>
            <w:vAlign w:val="bottom"/>
          </w:tcPr>
          <w:p>
            <w:pPr>
              <w:spacing w:after="0" w:line="20" w:lineRule="exact"/>
              <w:rPr>
                <w:sz w:val="1"/>
                <w:szCs w:val="1"/>
                <w:color w:val="auto"/>
              </w:rPr>
            </w:pPr>
          </w:p>
        </w:tc>
      </w:tr>
      <w:tr>
        <w:trPr>
          <w:trHeight w:val="39"/>
        </w:trPr>
        <w:tc>
          <w:tcPr>
            <w:tcW w:w="80" w:type="dxa"/>
            <w:vAlign w:val="bottom"/>
            <w:vMerge w:val="restart"/>
          </w:tcPr>
          <w:p>
            <w:pPr>
              <w:spacing w:after="0" w:line="2" w:lineRule="exact"/>
              <w:rPr>
                <w:sz w:val="20"/>
                <w:szCs w:val="20"/>
                <w:color w:val="auto"/>
              </w:rPr>
            </w:pPr>
            <w:r>
              <w:rPr>
                <w:rFonts w:ascii="Arial" w:cs="Arial" w:eastAsia="Arial" w:hAnsi="Arial"/>
                <w:sz w:val="1"/>
                <w:szCs w:val="1"/>
                <w:color w:val="FFFFFF"/>
              </w:rPr>
              <w:t>–</w:t>
            </w:r>
          </w:p>
        </w:tc>
        <w:tc>
          <w:tcPr>
            <w:tcW w:w="5420" w:type="dxa"/>
            <w:vAlign w:val="bottom"/>
            <w:gridSpan w:val="2"/>
          </w:tcPr>
          <w:p>
            <w:pPr>
              <w:ind w:left="20"/>
              <w:spacing w:after="0" w:line="40" w:lineRule="exact"/>
              <w:rPr>
                <w:sz w:val="20"/>
                <w:szCs w:val="20"/>
                <w:color w:val="auto"/>
              </w:rPr>
            </w:pPr>
            <w:r>
              <w:rPr>
                <w:rFonts w:ascii="Arial" w:cs="Arial" w:eastAsia="Arial" w:hAnsi="Arial"/>
                <w:sz w:val="4"/>
                <w:szCs w:val="4"/>
                <w:color w:val="FFFFFF"/>
              </w:rPr>
              <w:t>Well positioned transportation business complimentary to existing platforms</w:t>
            </w:r>
          </w:p>
        </w:tc>
        <w:tc>
          <w:tcPr>
            <w:tcW w:w="0" w:type="dxa"/>
            <w:vAlign w:val="bottom"/>
          </w:tcPr>
          <w:p>
            <w:pPr>
              <w:spacing w:after="0" w:line="20" w:lineRule="exact"/>
              <w:rPr>
                <w:sz w:val="1"/>
                <w:szCs w:val="1"/>
                <w:color w:val="auto"/>
              </w:rPr>
            </w:pPr>
          </w:p>
        </w:tc>
      </w:tr>
      <w:tr>
        <w:trPr>
          <w:trHeight w:val="0"/>
        </w:trPr>
        <w:tc>
          <w:tcPr>
            <w:tcW w:w="80" w:type="dxa"/>
            <w:vAlign w:val="bottom"/>
            <w:vMerge w:val="continue"/>
          </w:tcPr>
          <w:p>
            <w:pPr>
              <w:spacing w:after="0" w:line="20" w:lineRule="exact"/>
              <w:rPr>
                <w:sz w:val="1"/>
                <w:szCs w:val="1"/>
                <w:color w:val="auto"/>
              </w:rPr>
            </w:pPr>
          </w:p>
        </w:tc>
        <w:tc>
          <w:tcPr>
            <w:tcW w:w="5420" w:type="dxa"/>
            <w:vAlign w:val="bottom"/>
            <w:gridSpan w:val="2"/>
          </w:tcPr>
          <w:p>
            <w:pPr>
              <w:ind w:left="600"/>
              <w:spacing w:after="0" w:line="38" w:lineRule="exact"/>
              <w:rPr>
                <w:sz w:val="20"/>
                <w:szCs w:val="20"/>
                <w:color w:val="auto"/>
              </w:rPr>
            </w:pPr>
            <w:r>
              <w:rPr>
                <w:rFonts w:ascii="Arial" w:cs="Arial" w:eastAsia="Arial" w:hAnsi="Arial"/>
                <w:sz w:val="4"/>
                <w:szCs w:val="4"/>
                <w:color w:val="FFFFFF"/>
              </w:rPr>
              <w:t>business provides foothold in the sector</w:t>
            </w:r>
          </w:p>
        </w:tc>
        <w:tc>
          <w:tcPr>
            <w:tcW w:w="0" w:type="dxa"/>
            <w:vAlign w:val="bottom"/>
          </w:tcPr>
          <w:p>
            <w:pPr>
              <w:spacing w:after="0" w:line="20" w:lineRule="exact"/>
              <w:rPr>
                <w:sz w:val="1"/>
                <w:szCs w:val="1"/>
                <w:color w:val="auto"/>
              </w:rPr>
            </w:pPr>
          </w:p>
        </w:tc>
      </w:tr>
    </w:tbl>
    <w:p>
      <w:pPr>
        <w:spacing w:after="0" w:line="187" w:lineRule="auto"/>
        <w:rPr>
          <w:sz w:val="20"/>
          <w:szCs w:val="20"/>
          <w:color w:val="auto"/>
        </w:rPr>
      </w:pPr>
      <w:r>
        <w:rPr>
          <w:rFonts w:ascii="Arial" w:cs="Arial" w:eastAsia="Arial" w:hAnsi="Arial"/>
          <w:sz w:val="13"/>
          <w:szCs w:val="13"/>
          <w:color w:val="FFFFFF"/>
        </w:rPr>
        <w:t>NN,AerospaceInc.diversified Industrial 3</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1"/>
          <w:szCs w:val="11"/>
          <w:color w:val="FFFFFF"/>
        </w:rPr>
        <w:t>Precision Engineered Products</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140" w:type="dxa"/>
            <w:vAlign w:val="bottom"/>
            <w:gridSpan w:val="4"/>
          </w:tcPr>
          <w:p>
            <w:pPr>
              <w:spacing w:after="0"/>
              <w:rPr>
                <w:sz w:val="20"/>
                <w:szCs w:val="20"/>
                <w:color w:val="auto"/>
              </w:rPr>
            </w:pPr>
            <w:r>
              <w:rPr>
                <w:rFonts w:ascii="Arial" w:cs="Arial" w:eastAsia="Arial" w:hAnsi="Arial"/>
                <w:sz w:val="13"/>
                <w:szCs w:val="13"/>
                <w:color w:val="FFFFFF"/>
              </w:rPr>
              <w:t>Precision Engineered Products Overview</w:t>
            </w:r>
          </w:p>
        </w:tc>
        <w:tc>
          <w:tcPr>
            <w:tcW w:w="0" w:type="dxa"/>
            <w:vAlign w:val="bottom"/>
          </w:tcPr>
          <w:p>
            <w:pPr>
              <w:spacing w:after="0"/>
              <w:rPr>
                <w:sz w:val="1"/>
                <w:szCs w:val="1"/>
                <w:color w:val="auto"/>
              </w:rPr>
            </w:pPr>
          </w:p>
        </w:tc>
      </w:tr>
      <w:tr>
        <w:trPr>
          <w:trHeight w:val="39"/>
        </w:trPr>
        <w:tc>
          <w:tcPr>
            <w:tcW w:w="9140" w:type="dxa"/>
            <w:vAlign w:val="bottom"/>
            <w:gridSpan w:val="4"/>
          </w:tcPr>
          <w:p>
            <w:pPr>
              <w:spacing w:after="0" w:line="40" w:lineRule="exact"/>
              <w:rPr>
                <w:sz w:val="20"/>
                <w:szCs w:val="20"/>
                <w:color w:val="auto"/>
              </w:rPr>
            </w:pPr>
            <w:r>
              <w:rPr>
                <w:rFonts w:ascii="Arial" w:cs="Arial" w:eastAsia="Arial" w:hAnsi="Arial"/>
                <w:sz w:val="4"/>
                <w:szCs w:val="4"/>
                <w:color w:val="FFFFFF"/>
              </w:rPr>
              <w:t>A global manufacturer of highly engineered precision customized solutions serving the medical, electrical, transportation and aerospace end markets.</w:t>
            </w:r>
          </w:p>
        </w:tc>
        <w:tc>
          <w:tcPr>
            <w:tcW w:w="0" w:type="dxa"/>
            <w:vAlign w:val="bottom"/>
          </w:tcPr>
          <w:p>
            <w:pPr>
              <w:spacing w:after="0" w:line="20" w:lineRule="exact"/>
              <w:rPr>
                <w:sz w:val="1"/>
                <w:szCs w:val="1"/>
                <w:color w:val="auto"/>
              </w:rPr>
            </w:pPr>
          </w:p>
        </w:tc>
      </w:tr>
      <w:tr>
        <w:trPr>
          <w:trHeight w:val="39"/>
        </w:trPr>
        <w:tc>
          <w:tcPr>
            <w:tcW w:w="9140" w:type="dxa"/>
            <w:vAlign w:val="bottom"/>
            <w:gridSpan w:val="4"/>
          </w:tcPr>
          <w:p>
            <w:pPr>
              <w:spacing w:after="0" w:line="40" w:lineRule="exact"/>
              <w:rPr>
                <w:sz w:val="20"/>
                <w:szCs w:val="20"/>
                <w:color w:val="auto"/>
              </w:rPr>
            </w:pPr>
            <w:r>
              <w:rPr>
                <w:rFonts w:ascii="Arial" w:cs="Arial" w:eastAsia="Arial" w:hAnsi="Arial"/>
                <w:sz w:val="4"/>
                <w:szCs w:val="4"/>
                <w:color w:val="FFFFFF"/>
              </w:rPr>
              <w:t>June 30, 2015 LTM Financial Profile1 P.E.P. Addressable Market Details</w:t>
            </w:r>
          </w:p>
        </w:tc>
        <w:tc>
          <w:tcPr>
            <w:tcW w:w="0" w:type="dxa"/>
            <w:vAlign w:val="bottom"/>
          </w:tcPr>
          <w:p>
            <w:pPr>
              <w:spacing w:after="0" w:line="20" w:lineRule="exact"/>
              <w:rPr>
                <w:sz w:val="1"/>
                <w:szCs w:val="1"/>
                <w:color w:val="auto"/>
              </w:rPr>
            </w:pPr>
          </w:p>
        </w:tc>
      </w:tr>
      <w:tr>
        <w:trPr>
          <w:trHeight w:val="39"/>
        </w:trPr>
        <w:tc>
          <w:tcPr>
            <w:tcW w:w="9140" w:type="dxa"/>
            <w:vAlign w:val="bottom"/>
            <w:gridSpan w:val="4"/>
          </w:tcPr>
          <w:p>
            <w:pPr>
              <w:spacing w:after="0" w:line="40" w:lineRule="exact"/>
              <w:rPr>
                <w:sz w:val="20"/>
                <w:szCs w:val="20"/>
                <w:color w:val="auto"/>
              </w:rPr>
            </w:pPr>
            <w:r>
              <w:rPr>
                <w:rFonts w:ascii="Arial" w:cs="Arial" w:eastAsia="Arial" w:hAnsi="Arial"/>
                <w:sz w:val="4"/>
                <w:szCs w:val="4"/>
                <w:color w:val="FFFFFF"/>
              </w:rPr>
              <w:t>Revenue $245.3m Market Size: $100B+ Growth Rate: Mid/High Single Digits Gross Margin 37.6%2 Operating Margin 21.8% Adj. EBITDA Margin 28.0%3 Growth Drivers</w:t>
            </w:r>
          </w:p>
        </w:tc>
        <w:tc>
          <w:tcPr>
            <w:tcW w:w="0" w:type="dxa"/>
            <w:vAlign w:val="bottom"/>
          </w:tcPr>
          <w:p>
            <w:pPr>
              <w:spacing w:after="0" w:line="20" w:lineRule="exact"/>
              <w:rPr>
                <w:sz w:val="1"/>
                <w:szCs w:val="1"/>
                <w:color w:val="auto"/>
              </w:rPr>
            </w:pPr>
          </w:p>
        </w:tc>
      </w:tr>
      <w:tr>
        <w:trPr>
          <w:trHeight w:val="39"/>
        </w:trPr>
        <w:tc>
          <w:tcPr>
            <w:tcW w:w="9140" w:type="dxa"/>
            <w:vAlign w:val="bottom"/>
            <w:gridSpan w:val="4"/>
          </w:tcPr>
          <w:p>
            <w:pPr>
              <w:spacing w:after="0" w:line="40" w:lineRule="exact"/>
              <w:rPr>
                <w:sz w:val="20"/>
                <w:szCs w:val="20"/>
                <w:color w:val="auto"/>
              </w:rPr>
            </w:pPr>
            <w:r>
              <w:rPr>
                <w:rFonts w:ascii="Arial" w:cs="Arial" w:eastAsia="Arial" w:hAnsi="Arial"/>
                <w:sz w:val="4"/>
                <w:szCs w:val="4"/>
                <w:color w:val="FFFFFF"/>
              </w:rPr>
              <w:t>Ability to leverage multiple individual technologies to provide higher, value added solutions.</w:t>
            </w:r>
          </w:p>
        </w:tc>
        <w:tc>
          <w:tcPr>
            <w:tcW w:w="0" w:type="dxa"/>
            <w:vAlign w:val="bottom"/>
          </w:tcPr>
          <w:p>
            <w:pPr>
              <w:spacing w:after="0" w:line="20" w:lineRule="exact"/>
              <w:rPr>
                <w:sz w:val="1"/>
                <w:szCs w:val="1"/>
                <w:color w:val="auto"/>
              </w:rPr>
            </w:pPr>
          </w:p>
        </w:tc>
      </w:tr>
      <w:tr>
        <w:trPr>
          <w:trHeight w:val="39"/>
        </w:trPr>
        <w:tc>
          <w:tcPr>
            <w:tcW w:w="1280" w:type="dxa"/>
            <w:vAlign w:val="bottom"/>
            <w:gridSpan w:val="3"/>
          </w:tcPr>
          <w:p>
            <w:pPr>
              <w:spacing w:after="0" w:line="40" w:lineRule="exact"/>
              <w:rPr>
                <w:sz w:val="20"/>
                <w:szCs w:val="20"/>
                <w:color w:val="auto"/>
              </w:rPr>
            </w:pPr>
            <w:r>
              <w:rPr>
                <w:rFonts w:ascii="Arial" w:cs="Arial" w:eastAsia="Arial" w:hAnsi="Arial"/>
                <w:sz w:val="4"/>
                <w:szCs w:val="4"/>
                <w:color w:val="FFFFFF"/>
              </w:rPr>
              <w:t>Revenue Breakdown</w:t>
            </w:r>
          </w:p>
        </w:tc>
        <w:tc>
          <w:tcPr>
            <w:tcW w:w="7860" w:type="dxa"/>
            <w:vAlign w:val="bottom"/>
            <w:vMerge w:val="restart"/>
          </w:tcPr>
          <w:p>
            <w:pPr>
              <w:ind w:left="160"/>
              <w:spacing w:after="0" w:line="79" w:lineRule="exact"/>
              <w:rPr>
                <w:sz w:val="20"/>
                <w:szCs w:val="20"/>
                <w:color w:val="auto"/>
              </w:rPr>
            </w:pPr>
            <w:r>
              <w:rPr>
                <w:rFonts w:ascii="Arial" w:cs="Arial" w:eastAsia="Arial" w:hAnsi="Arial"/>
                <w:sz w:val="9"/>
                <w:szCs w:val="9"/>
                <w:color w:val="FFFFFF"/>
              </w:rPr>
              <w:t>manufacturing within end markets End Markets Geographic Mix</w:t>
            </w:r>
          </w:p>
        </w:tc>
        <w:tc>
          <w:tcPr>
            <w:tcW w:w="0" w:type="dxa"/>
            <w:vAlign w:val="bottom"/>
          </w:tcPr>
          <w:p>
            <w:pPr>
              <w:spacing w:after="0" w:line="20" w:lineRule="exact"/>
              <w:rPr>
                <w:sz w:val="1"/>
                <w:szCs w:val="1"/>
                <w:color w:val="auto"/>
              </w:rPr>
            </w:pPr>
          </w:p>
        </w:tc>
      </w:tr>
      <w:tr>
        <w:trPr>
          <w:trHeight w:val="39"/>
        </w:trPr>
        <w:tc>
          <w:tcPr>
            <w:tcW w:w="1280" w:type="dxa"/>
            <w:vAlign w:val="bottom"/>
            <w:gridSpan w:val="3"/>
          </w:tcPr>
          <w:p>
            <w:pPr>
              <w:spacing w:after="0" w:line="40" w:lineRule="exact"/>
              <w:rPr>
                <w:sz w:val="20"/>
                <w:szCs w:val="20"/>
                <w:color w:val="auto"/>
              </w:rPr>
            </w:pPr>
            <w:r>
              <w:rPr>
                <w:rFonts w:ascii="Arial" w:cs="Arial" w:eastAsia="Arial" w:hAnsi="Arial"/>
                <w:sz w:val="4"/>
                <w:szCs w:val="4"/>
                <w:color w:val="FFFFFF"/>
              </w:rPr>
              <w:t>Outsourcing of</w:t>
            </w:r>
          </w:p>
        </w:tc>
        <w:tc>
          <w:tcPr>
            <w:tcW w:w="7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line="40" w:lineRule="exact"/>
              <w:rPr>
                <w:sz w:val="20"/>
                <w:szCs w:val="20"/>
                <w:color w:val="auto"/>
              </w:rPr>
            </w:pPr>
            <w:r>
              <w:rPr>
                <w:rFonts w:ascii="Arial" w:cs="Arial" w:eastAsia="Arial" w:hAnsi="Arial"/>
                <w:sz w:val="4"/>
                <w:szCs w:val="4"/>
                <w:color w:val="FFFFFF"/>
              </w:rPr>
              <w:t>4</w:t>
            </w:r>
          </w:p>
        </w:tc>
        <w:tc>
          <w:tcPr>
            <w:tcW w:w="9060" w:type="dxa"/>
            <w:vAlign w:val="bottom"/>
            <w:gridSpan w:val="3"/>
          </w:tcPr>
          <w:p>
            <w:pPr>
              <w:ind w:left="20"/>
              <w:spacing w:after="0" w:line="40" w:lineRule="exact"/>
              <w:rPr>
                <w:sz w:val="20"/>
                <w:szCs w:val="20"/>
                <w:color w:val="auto"/>
              </w:rPr>
            </w:pPr>
            <w:r>
              <w:rPr>
                <w:rFonts w:ascii="Arial" w:cs="Arial" w:eastAsia="Arial" w:hAnsi="Arial"/>
                <w:sz w:val="4"/>
                <w:szCs w:val="4"/>
                <w:color w:val="FFFFFF"/>
              </w:rPr>
              <w:t>5% • Focused componentcomponents that continue to require tighter tolerances</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line="40" w:lineRule="exact"/>
              <w:rPr>
                <w:sz w:val="20"/>
                <w:szCs w:val="20"/>
                <w:color w:val="auto"/>
              </w:rPr>
            </w:pPr>
            <w:r>
              <w:rPr>
                <w:rFonts w:ascii="Arial" w:cs="Arial" w:eastAsia="Arial" w:hAnsi="Arial"/>
                <w:sz w:val="4"/>
                <w:szCs w:val="4"/>
                <w:color w:val="FFFFFF"/>
              </w:rPr>
              <w:t>5</w:t>
            </w:r>
          </w:p>
        </w:tc>
        <w:tc>
          <w:tcPr>
            <w:tcW w:w="220" w:type="dxa"/>
            <w:vAlign w:val="bottom"/>
          </w:tcPr>
          <w:p>
            <w:pPr>
              <w:ind w:left="20"/>
              <w:spacing w:after="0" w:line="40" w:lineRule="exact"/>
              <w:rPr>
                <w:sz w:val="20"/>
                <w:szCs w:val="20"/>
                <w:color w:val="auto"/>
              </w:rPr>
            </w:pPr>
            <w:r>
              <w:rPr>
                <w:rFonts w:ascii="Arial" w:cs="Arial" w:eastAsia="Arial" w:hAnsi="Arial"/>
                <w:sz w:val="4"/>
                <w:szCs w:val="4"/>
                <w:color w:val="FFFFFF"/>
              </w:rPr>
              <w:t>6%</w:t>
            </w:r>
          </w:p>
        </w:tc>
        <w:tc>
          <w:tcPr>
            <w:tcW w:w="980" w:type="dxa"/>
            <w:vAlign w:val="bottom"/>
          </w:tcPr>
          <w:p>
            <w:pPr>
              <w:ind w:left="20"/>
              <w:spacing w:after="0" w:line="40" w:lineRule="exact"/>
              <w:rPr>
                <w:sz w:val="20"/>
                <w:szCs w:val="20"/>
                <w:color w:val="auto"/>
              </w:rPr>
            </w:pPr>
            <w:r>
              <w:rPr>
                <w:rFonts w:ascii="Arial" w:cs="Arial" w:eastAsia="Arial" w:hAnsi="Arial"/>
                <w:sz w:val="4"/>
                <w:szCs w:val="4"/>
                <w:color w:val="FFFFFF"/>
              </w:rPr>
              <w:t>2.0%</w:t>
            </w:r>
          </w:p>
        </w:tc>
        <w:tc>
          <w:tcPr>
            <w:tcW w:w="7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80" w:type="dxa"/>
            <w:vAlign w:val="bottom"/>
          </w:tcPr>
          <w:p>
            <w:pPr>
              <w:spacing w:after="0" w:line="78" w:lineRule="exact"/>
              <w:rPr>
                <w:sz w:val="20"/>
                <w:szCs w:val="20"/>
                <w:color w:val="auto"/>
              </w:rPr>
            </w:pPr>
            <w:r>
              <w:rPr>
                <w:rFonts w:ascii="Arial" w:cs="Arial" w:eastAsia="Arial" w:hAnsi="Arial"/>
                <w:sz w:val="8"/>
                <w:szCs w:val="8"/>
                <w:color w:val="FFFFFF"/>
              </w:rPr>
              <w:t>8</w:t>
            </w:r>
          </w:p>
        </w:tc>
        <w:tc>
          <w:tcPr>
            <w:tcW w:w="220" w:type="dxa"/>
            <w:vAlign w:val="bottom"/>
          </w:tcPr>
          <w:p>
            <w:pPr>
              <w:spacing w:after="0" w:line="20" w:lineRule="exact"/>
              <w:rPr>
                <w:sz w:val="1"/>
                <w:szCs w:val="1"/>
                <w:color w:val="auto"/>
              </w:rPr>
            </w:pPr>
          </w:p>
        </w:tc>
        <w:tc>
          <w:tcPr>
            <w:tcW w:w="8840" w:type="dxa"/>
            <w:vAlign w:val="bottom"/>
            <w:gridSpan w:val="2"/>
          </w:tcPr>
          <w:p>
            <w:pPr>
              <w:ind w:left="20"/>
              <w:spacing w:after="0" w:line="78" w:lineRule="exact"/>
              <w:rPr>
                <w:sz w:val="20"/>
                <w:szCs w:val="20"/>
                <w:color w:val="auto"/>
              </w:rPr>
            </w:pPr>
            <w:r>
              <w:rPr>
                <w:rFonts w:ascii="Arial" w:cs="Arial" w:eastAsia="Arial" w:hAnsi="Arial"/>
                <w:sz w:val="8"/>
                <w:szCs w:val="8"/>
                <w:color w:val="FFFFFF"/>
              </w:rPr>
              <w:t>• Aging population and infrastructure will drive expansion in two largest businesses</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3"/>
          <w:szCs w:val="13"/>
          <w:color w:val="FFFFFF"/>
        </w:rPr>
        <w:t>6.0%</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FFFFFF"/>
        </w:rPr>
        <w:t>North America 14.8% 42.4%</w:t>
      </w:r>
    </w:p>
    <w:p>
      <w:pPr>
        <w:spacing w:after="0" w:line="182" w:lineRule="auto"/>
        <w:rPr>
          <w:sz w:val="20"/>
          <w:szCs w:val="20"/>
          <w:color w:val="auto"/>
        </w:rPr>
      </w:pPr>
      <w:r>
        <w:rPr>
          <w:rFonts w:ascii="Arial" w:cs="Arial" w:eastAsia="Arial" w:hAnsi="Arial"/>
          <w:sz w:val="9"/>
          <w:szCs w:val="9"/>
          <w:color w:val="FFFFFF"/>
        </w:rPr>
        <w:t>EuropeAsiaBlue Chip Customer Base</w:t>
      </w:r>
    </w:p>
    <w:p>
      <w:pPr>
        <w:spacing w:after="0" w:line="205" w:lineRule="auto"/>
        <w:rPr>
          <w:sz w:val="20"/>
          <w:szCs w:val="20"/>
          <w:color w:val="auto"/>
        </w:rPr>
      </w:pPr>
      <w:r>
        <w:rPr>
          <w:rFonts w:ascii="Arial" w:cs="Arial" w:eastAsia="Arial" w:hAnsi="Arial"/>
          <w:sz w:val="4"/>
          <w:szCs w:val="4"/>
          <w:color w:val="FFFFFF"/>
        </w:rPr>
        <w:t>edicalROW 32.7%Transportation84.0%</w:t>
      </w:r>
    </w:p>
    <w:p>
      <w:pPr>
        <w:ind w:right="3079"/>
        <w:spacing w:after="0" w:line="234" w:lineRule="auto"/>
        <w:rPr>
          <w:sz w:val="20"/>
          <w:szCs w:val="20"/>
          <w:color w:val="auto"/>
        </w:rPr>
      </w:pPr>
      <w:r>
        <w:rPr>
          <w:rFonts w:ascii="Arial" w:cs="Arial" w:eastAsia="Arial" w:hAnsi="Arial"/>
          <w:sz w:val="7"/>
          <w:szCs w:val="7"/>
          <w:color w:val="FFFFFF"/>
        </w:rPr>
        <w:t>lectrical Aerospace / Defense 1 – LTM ending June 30, 2015. Includes all acquisitions made by P.E.P pro forma for the 12 month period 2—Gross Margin = Gross Profit (excluding depreciation) ÷ Net Sales</w:t>
      </w:r>
    </w:p>
    <w:p>
      <w:pPr>
        <w:spacing w:after="0"/>
        <w:rPr>
          <w:sz w:val="20"/>
          <w:szCs w:val="20"/>
          <w:color w:val="auto"/>
        </w:rPr>
      </w:pPr>
      <w:r>
        <w:rPr>
          <w:rFonts w:ascii="Arial" w:cs="Arial" w:eastAsia="Arial" w:hAnsi="Arial"/>
          <w:sz w:val="11"/>
          <w:szCs w:val="11"/>
          <w:color w:val="FFFFFF"/>
        </w:rPr>
        <w:t>Subject to purchase price accounting finalization &amp; any related financial statement adjustments eneral Industrial 3 – Excludes expenses not expected to recur post acquisition</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11220" w:type="dxa"/>
            <w:vAlign w:val="bottom"/>
          </w:tcPr>
          <w:p>
            <w:pPr>
              <w:ind w:left="380"/>
              <w:spacing w:after="0"/>
              <w:rPr>
                <w:sz w:val="20"/>
                <w:szCs w:val="20"/>
                <w:color w:val="auto"/>
              </w:rPr>
            </w:pPr>
            <w:r>
              <w:rPr>
                <w:rFonts w:ascii="Arial" w:cs="Arial" w:eastAsia="Arial" w:hAnsi="Arial"/>
                <w:sz w:val="13"/>
                <w:szCs w:val="13"/>
                <w:color w:val="FFFFFF"/>
              </w:rPr>
              <w:t>Snapshot</w:t>
            </w:r>
          </w:p>
        </w:tc>
      </w:tr>
      <w:tr>
        <w:trPr>
          <w:trHeight w:val="39"/>
        </w:trPr>
        <w:tc>
          <w:tcPr>
            <w:tcW w:w="11300" w:type="dxa"/>
            <w:vAlign w:val="bottom"/>
            <w:gridSpan w:val="2"/>
          </w:tcPr>
          <w:p>
            <w:pPr>
              <w:spacing w:after="0" w:line="40" w:lineRule="exact"/>
              <w:rPr>
                <w:sz w:val="20"/>
                <w:szCs w:val="20"/>
                <w:color w:val="auto"/>
              </w:rPr>
            </w:pPr>
            <w:r>
              <w:rPr>
                <w:rFonts w:ascii="Arial" w:cs="Arial" w:eastAsia="Arial" w:hAnsi="Arial"/>
                <w:sz w:val="4"/>
                <w:szCs w:val="4"/>
                <w:color w:val="FFFFFF"/>
              </w:rPr>
              <w:t>Medical-Grade Facilities</w:t>
            </w:r>
          </w:p>
        </w:tc>
      </w:tr>
      <w:tr>
        <w:trPr>
          <w:trHeight w:val="39"/>
        </w:trPr>
        <w:tc>
          <w:tcPr>
            <w:tcW w:w="11300" w:type="dxa"/>
            <w:vAlign w:val="bottom"/>
            <w:gridSpan w:val="2"/>
          </w:tcPr>
          <w:p>
            <w:pPr>
              <w:spacing w:after="0" w:line="40" w:lineRule="exact"/>
              <w:rPr>
                <w:sz w:val="20"/>
                <w:szCs w:val="20"/>
                <w:color w:val="auto"/>
              </w:rPr>
            </w:pPr>
            <w:r>
              <w:rPr>
                <w:rFonts w:ascii="Arial" w:cs="Arial" w:eastAsia="Arial" w:hAnsi="Arial"/>
                <w:sz w:val="4"/>
                <w:szCs w:val="4"/>
                <w:color w:val="FFFFFF"/>
              </w:rPr>
              <w:t>3 FDA-registered facilities (275,240 sq. ft.) FDA 21 CFR Part 820 Bridgeport, CT</w:t>
            </w:r>
          </w:p>
        </w:tc>
      </w:tr>
      <w:tr>
        <w:trPr>
          <w:trHeight w:val="39"/>
        </w:trPr>
        <w:tc>
          <w:tcPr>
            <w:tcW w:w="11300" w:type="dxa"/>
            <w:vAlign w:val="bottom"/>
            <w:gridSpan w:val="2"/>
          </w:tcPr>
          <w:p>
            <w:pPr>
              <w:spacing w:after="0" w:line="40" w:lineRule="exact"/>
              <w:rPr>
                <w:sz w:val="20"/>
                <w:szCs w:val="20"/>
                <w:color w:val="auto"/>
              </w:rPr>
            </w:pPr>
            <w:r>
              <w:rPr>
                <w:rFonts w:ascii="Arial" w:cs="Arial" w:eastAsia="Arial" w:hAnsi="Arial"/>
                <w:sz w:val="4"/>
                <w:szCs w:val="4"/>
                <w:color w:val="FFFFFF"/>
              </w:rPr>
              <w:t>Franklin, MA</w:t>
            </w:r>
          </w:p>
        </w:tc>
      </w:tr>
      <w:tr>
        <w:trPr>
          <w:trHeight w:val="39"/>
        </w:trPr>
        <w:tc>
          <w:tcPr>
            <w:tcW w:w="11300" w:type="dxa"/>
            <w:vAlign w:val="bottom"/>
            <w:gridSpan w:val="2"/>
          </w:tcPr>
          <w:p>
            <w:pPr>
              <w:spacing w:after="0" w:line="40" w:lineRule="exact"/>
              <w:rPr>
                <w:sz w:val="20"/>
                <w:szCs w:val="20"/>
                <w:color w:val="auto"/>
              </w:rPr>
            </w:pPr>
            <w:r>
              <w:rPr>
                <w:rFonts w:ascii="Arial" w:cs="Arial" w:eastAsia="Arial" w:hAnsi="Arial"/>
                <w:sz w:val="4"/>
                <w:szCs w:val="4"/>
                <w:color w:val="FFFFFF"/>
              </w:rPr>
              <w:t>Aurora, IL and Warsaw, IN 7 sites: ISO-13485:2003</w:t>
            </w:r>
          </w:p>
        </w:tc>
      </w:tr>
      <w:tr>
        <w:trPr>
          <w:trHeight w:val="39"/>
        </w:trPr>
        <w:tc>
          <w:tcPr>
            <w:tcW w:w="11300" w:type="dxa"/>
            <w:vAlign w:val="bottom"/>
            <w:gridSpan w:val="2"/>
          </w:tcPr>
          <w:p>
            <w:pPr>
              <w:spacing w:after="0" w:line="40" w:lineRule="exact"/>
              <w:rPr>
                <w:sz w:val="20"/>
                <w:szCs w:val="20"/>
                <w:color w:val="auto"/>
              </w:rPr>
            </w:pPr>
            <w:r>
              <w:rPr>
                <w:rFonts w:ascii="Arial" w:cs="Arial" w:eastAsia="Arial" w:hAnsi="Arial"/>
                <w:sz w:val="4"/>
                <w:szCs w:val="4"/>
                <w:color w:val="FFFFFF"/>
              </w:rPr>
              <w:t>Unmatched Device Capabilities</w:t>
            </w:r>
          </w:p>
        </w:tc>
      </w:tr>
      <w:tr>
        <w:trPr>
          <w:trHeight w:val="39"/>
        </w:trPr>
        <w:tc>
          <w:tcPr>
            <w:tcW w:w="11300" w:type="dxa"/>
            <w:vAlign w:val="bottom"/>
            <w:gridSpan w:val="2"/>
          </w:tcPr>
          <w:p>
            <w:pPr>
              <w:spacing w:after="0" w:line="40" w:lineRule="exact"/>
              <w:rPr>
                <w:sz w:val="20"/>
                <w:szCs w:val="20"/>
                <w:color w:val="auto"/>
              </w:rPr>
            </w:pPr>
            <w:r>
              <w:rPr>
                <w:rFonts w:ascii="Arial" w:cs="Arial" w:eastAsia="Arial" w:hAnsi="Arial"/>
                <w:sz w:val="4"/>
                <w:szCs w:val="4"/>
                <w:color w:val="FFFFFF"/>
              </w:rPr>
              <w:t>Class 8 clean rooms</w:t>
            </w:r>
          </w:p>
        </w:tc>
      </w:tr>
      <w:tr>
        <w:trPr>
          <w:trHeight w:val="39"/>
        </w:trPr>
        <w:tc>
          <w:tcPr>
            <w:tcW w:w="11300" w:type="dxa"/>
            <w:vAlign w:val="bottom"/>
            <w:gridSpan w:val="2"/>
          </w:tcPr>
          <w:p>
            <w:pPr>
              <w:spacing w:after="0" w:line="40" w:lineRule="exact"/>
              <w:rPr>
                <w:sz w:val="20"/>
                <w:szCs w:val="20"/>
                <w:color w:val="auto"/>
              </w:rPr>
            </w:pPr>
            <w:r>
              <w:rPr>
                <w:rFonts w:ascii="Arial" w:cs="Arial" w:eastAsia="Arial" w:hAnsi="Arial"/>
                <w:sz w:val="4"/>
                <w:szCs w:val="4"/>
                <w:color w:val="FFFFFF"/>
              </w:rPr>
              <w:t>Reusable surgical instruments assembly Disposable surgical device manufacturing technology Precision metal machining and orthopedic device production Design center located adjacent to major orthopedic medical</w:t>
            </w:r>
          </w:p>
        </w:tc>
      </w:tr>
      <w:tr>
        <w:trPr>
          <w:trHeight w:val="39"/>
        </w:trPr>
        <w:tc>
          <w:tcPr>
            <w:tcW w:w="11300" w:type="dxa"/>
            <w:vAlign w:val="bottom"/>
            <w:gridSpan w:val="2"/>
          </w:tcPr>
          <w:p>
            <w:pPr>
              <w:spacing w:after="0" w:line="40" w:lineRule="exact"/>
              <w:rPr>
                <w:sz w:val="20"/>
                <w:szCs w:val="20"/>
                <w:color w:val="auto"/>
              </w:rPr>
            </w:pPr>
            <w:r>
              <w:rPr>
                <w:rFonts w:ascii="Arial" w:cs="Arial" w:eastAsia="Arial" w:hAnsi="Arial"/>
                <w:sz w:val="4"/>
                <w:szCs w:val="4"/>
                <w:color w:val="FFFFFF"/>
              </w:rPr>
              <w:t>device manufacturers BE-ST OEM brand available as scalable device platform</w:t>
            </w:r>
          </w:p>
        </w:tc>
      </w:tr>
      <w:tr>
        <w:trPr>
          <w:trHeight w:val="39"/>
        </w:trPr>
        <w:tc>
          <w:tcPr>
            <w:tcW w:w="11300" w:type="dxa"/>
            <w:vAlign w:val="bottom"/>
            <w:gridSpan w:val="2"/>
          </w:tcPr>
          <w:p>
            <w:pPr>
              <w:spacing w:after="0" w:line="40" w:lineRule="exact"/>
              <w:rPr>
                <w:sz w:val="20"/>
                <w:szCs w:val="20"/>
                <w:color w:val="auto"/>
              </w:rPr>
            </w:pPr>
            <w:r>
              <w:rPr>
                <w:rFonts w:ascii="Arial" w:cs="Arial" w:eastAsia="Arial" w:hAnsi="Arial"/>
                <w:sz w:val="4"/>
                <w:szCs w:val="4"/>
                <w:color w:val="FFFFFF"/>
              </w:rPr>
              <w:t>Robust Product Portfolio</w:t>
            </w:r>
          </w:p>
        </w:tc>
      </w:tr>
      <w:tr>
        <w:trPr>
          <w:trHeight w:val="39"/>
        </w:trPr>
        <w:tc>
          <w:tcPr>
            <w:tcW w:w="11300" w:type="dxa"/>
            <w:vAlign w:val="bottom"/>
            <w:gridSpan w:val="2"/>
          </w:tcPr>
          <w:p>
            <w:pPr>
              <w:spacing w:after="0" w:line="40" w:lineRule="exact"/>
              <w:rPr>
                <w:sz w:val="20"/>
                <w:szCs w:val="20"/>
                <w:color w:val="auto"/>
              </w:rPr>
            </w:pPr>
            <w:r>
              <w:rPr>
                <w:rFonts w:ascii="Arial" w:cs="Arial" w:eastAsia="Arial" w:hAnsi="Arial"/>
                <w:sz w:val="4"/>
                <w:szCs w:val="4"/>
                <w:color w:val="FFFFFF"/>
              </w:rPr>
              <w:t>Surgical Disposables</w:t>
            </w:r>
          </w:p>
        </w:tc>
      </w:tr>
      <w:tr>
        <w:trPr>
          <w:trHeight w:val="39"/>
        </w:trPr>
        <w:tc>
          <w:tcPr>
            <w:tcW w:w="11300" w:type="dxa"/>
            <w:vAlign w:val="bottom"/>
            <w:gridSpan w:val="2"/>
          </w:tcPr>
          <w:p>
            <w:pPr>
              <w:spacing w:after="0" w:line="40" w:lineRule="exact"/>
              <w:rPr>
                <w:sz w:val="20"/>
                <w:szCs w:val="20"/>
                <w:color w:val="auto"/>
              </w:rPr>
            </w:pPr>
            <w:r>
              <w:rPr>
                <w:rFonts w:ascii="Arial" w:cs="Arial" w:eastAsia="Arial" w:hAnsi="Arial"/>
                <w:sz w:val="4"/>
                <w:szCs w:val="4"/>
                <w:color w:val="FFFFFF"/>
              </w:rPr>
              <w:t>Other FDA- Compliant Devices</w:t>
            </w:r>
          </w:p>
        </w:tc>
      </w:tr>
      <w:tr>
        <w:trPr>
          <w:trHeight w:val="39"/>
        </w:trPr>
        <w:tc>
          <w:tcPr>
            <w:tcW w:w="11300" w:type="dxa"/>
            <w:vAlign w:val="bottom"/>
            <w:gridSpan w:val="2"/>
          </w:tcPr>
          <w:p>
            <w:pPr>
              <w:spacing w:after="0" w:line="40" w:lineRule="exact"/>
              <w:rPr>
                <w:sz w:val="20"/>
                <w:szCs w:val="20"/>
                <w:color w:val="auto"/>
              </w:rPr>
            </w:pPr>
            <w:r>
              <w:rPr>
                <w:rFonts w:ascii="Arial" w:cs="Arial" w:eastAsia="Arial" w:hAnsi="Arial"/>
                <w:sz w:val="4"/>
                <w:szCs w:val="4"/>
                <w:color w:val="FFFFFF"/>
              </w:rPr>
              <w:t>Biopsy Jaws</w:t>
            </w:r>
          </w:p>
        </w:tc>
      </w:tr>
      <w:tr>
        <w:trPr>
          <w:trHeight w:val="39"/>
        </w:trPr>
        <w:tc>
          <w:tcPr>
            <w:tcW w:w="11300" w:type="dxa"/>
            <w:vAlign w:val="bottom"/>
            <w:gridSpan w:val="2"/>
          </w:tcPr>
          <w:p>
            <w:pPr>
              <w:spacing w:after="0" w:line="40" w:lineRule="exact"/>
              <w:rPr>
                <w:sz w:val="20"/>
                <w:szCs w:val="20"/>
                <w:color w:val="auto"/>
              </w:rPr>
            </w:pPr>
            <w:r>
              <w:rPr>
                <w:rFonts w:ascii="Arial" w:cs="Arial" w:eastAsia="Arial" w:hAnsi="Arial"/>
                <w:sz w:val="4"/>
                <w:szCs w:val="4"/>
                <w:color w:val="FFFFFF"/>
              </w:rPr>
              <w:t>Diagnostic Equipment</w:t>
            </w:r>
          </w:p>
        </w:tc>
      </w:tr>
      <w:tr>
        <w:trPr>
          <w:trHeight w:val="39"/>
        </w:trPr>
        <w:tc>
          <w:tcPr>
            <w:tcW w:w="80" w:type="dxa"/>
            <w:vAlign w:val="bottom"/>
          </w:tcPr>
          <w:p>
            <w:pPr>
              <w:spacing w:after="0"/>
              <w:rPr>
                <w:sz w:val="3"/>
                <w:szCs w:val="3"/>
                <w:color w:val="auto"/>
              </w:rPr>
            </w:pPr>
          </w:p>
        </w:tc>
        <w:tc>
          <w:tcPr>
            <w:tcW w:w="11220" w:type="dxa"/>
            <w:vAlign w:val="bottom"/>
          </w:tcPr>
          <w:p>
            <w:pPr>
              <w:spacing w:after="0" w:line="40" w:lineRule="exact"/>
              <w:rPr>
                <w:sz w:val="20"/>
                <w:szCs w:val="20"/>
                <w:color w:val="auto"/>
              </w:rPr>
            </w:pPr>
            <w:r>
              <w:rPr>
                <w:rFonts w:ascii="Arial" w:cs="Arial" w:eastAsia="Arial" w:hAnsi="Arial"/>
                <w:sz w:val="4"/>
                <w:szCs w:val="4"/>
                <w:color w:val="FFFFFF"/>
              </w:rPr>
              <w:t>urgical Devices</w:t>
            </w:r>
          </w:p>
        </w:tc>
      </w:tr>
      <w:tr>
        <w:trPr>
          <w:trHeight w:val="39"/>
        </w:trPr>
        <w:tc>
          <w:tcPr>
            <w:tcW w:w="11300" w:type="dxa"/>
            <w:vAlign w:val="bottom"/>
            <w:gridSpan w:val="2"/>
          </w:tcPr>
          <w:p>
            <w:pPr>
              <w:spacing w:after="0" w:line="40" w:lineRule="exact"/>
              <w:rPr>
                <w:sz w:val="20"/>
                <w:szCs w:val="20"/>
                <w:color w:val="auto"/>
              </w:rPr>
            </w:pPr>
            <w:r>
              <w:rPr>
                <w:rFonts w:ascii="Arial" w:cs="Arial" w:eastAsia="Arial" w:hAnsi="Arial"/>
                <w:sz w:val="4"/>
                <w:szCs w:val="4"/>
                <w:color w:val="FFFFFF"/>
              </w:rPr>
              <w:t>Staple-Loaded Cartridges</w:t>
            </w:r>
          </w:p>
        </w:tc>
      </w:tr>
      <w:tr>
        <w:trPr>
          <w:trHeight w:val="165"/>
        </w:trPr>
        <w:tc>
          <w:tcPr>
            <w:tcW w:w="80" w:type="dxa"/>
            <w:vAlign w:val="bottom"/>
          </w:tcPr>
          <w:p>
            <w:pPr>
              <w:spacing w:after="0"/>
              <w:rPr>
                <w:sz w:val="20"/>
                <w:szCs w:val="20"/>
                <w:color w:val="auto"/>
              </w:rPr>
            </w:pPr>
            <w:r>
              <w:rPr>
                <w:rFonts w:ascii="Arial" w:cs="Arial" w:eastAsia="Arial" w:hAnsi="Arial"/>
                <w:sz w:val="13"/>
                <w:szCs w:val="13"/>
                <w:color w:val="FFFFFF"/>
                <w:w w:val="82"/>
              </w:rPr>
              <w:t>6</w:t>
            </w:r>
          </w:p>
        </w:tc>
        <w:tc>
          <w:tcPr>
            <w:tcW w:w="11220" w:type="dxa"/>
            <w:vAlign w:val="bottom"/>
          </w:tcPr>
          <w:p>
            <w:pPr>
              <w:spacing w:after="0"/>
              <w:rPr>
                <w:sz w:val="14"/>
                <w:szCs w:val="14"/>
                <w:color w:val="auto"/>
              </w:rPr>
            </w:pPr>
          </w:p>
        </w:tc>
      </w:tr>
    </w:tbl>
    <w:p>
      <w:pPr>
        <w:sectPr>
          <w:pgSz w:w="11900" w:h="16838" w:orient="portrait"/>
          <w:cols w:equalWidth="0" w:num="1">
            <w:col w:w="11300"/>
          </w:cols>
          <w:pgMar w:left="240" w:top="1440" w:right="3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Electrical Snapshot</w:t>
      </w:r>
    </w:p>
    <w:p>
      <w:pPr>
        <w:spacing w:after="0" w:line="182" w:lineRule="auto"/>
        <w:rPr>
          <w:sz w:val="20"/>
          <w:szCs w:val="20"/>
          <w:color w:val="auto"/>
        </w:rPr>
      </w:pPr>
      <w:r>
        <w:rPr>
          <w:rFonts w:ascii="Arial" w:cs="Arial" w:eastAsia="Arial" w:hAnsi="Arial"/>
          <w:sz w:val="9"/>
          <w:szCs w:val="9"/>
          <w:color w:val="FFFFFF"/>
        </w:rPr>
        <w:t>ElectricalMarketLeadingcontrolsPositionproducts are used in electro-mechanical and industrial electronics markets</w:t>
      </w:r>
    </w:p>
    <w:p>
      <w:pPr>
        <w:ind w:left="4600"/>
        <w:spacing w:after="0" w:line="1" w:lineRule="auto"/>
        <w:rPr>
          <w:sz w:val="20"/>
          <w:szCs w:val="20"/>
          <w:color w:val="auto"/>
        </w:rPr>
      </w:pPr>
      <w:r>
        <w:rPr>
          <w:rFonts w:ascii="Arial" w:cs="Arial" w:eastAsia="Arial" w:hAnsi="Arial"/>
          <w:sz w:val="1"/>
          <w:szCs w:val="1"/>
          <w:color w:val="FFFFFF"/>
        </w:rPr>
        <w:t>MaterialLeading providsciece expertiofresidentwithal, stampingcommercialandandmoldingindustrialprocesseselectricalessentialcontactsfor electrical products</w:t>
      </w:r>
    </w:p>
    <w:p>
      <w:pPr>
        <w:ind w:left="460"/>
        <w:spacing w:after="0" w:line="182" w:lineRule="auto"/>
        <w:rPr>
          <w:sz w:val="20"/>
          <w:szCs w:val="20"/>
          <w:color w:val="auto"/>
        </w:rPr>
      </w:pPr>
      <w:r>
        <w:rPr>
          <w:rFonts w:ascii="Arial" w:cs="Arial" w:eastAsia="Arial" w:hAnsi="Arial"/>
          <w:sz w:val="9"/>
          <w:szCs w:val="9"/>
          <w:color w:val="FFFFFF"/>
        </w:rPr>
        <w:t>against precious</w:t>
      </w:r>
    </w:p>
    <w:p>
      <w:pPr>
        <w:spacing w:after="0" w:line="205" w:lineRule="auto"/>
        <w:rPr>
          <w:sz w:val="20"/>
          <w:szCs w:val="20"/>
          <w:color w:val="auto"/>
        </w:rPr>
      </w:pPr>
      <w:r>
        <w:rPr>
          <w:rFonts w:ascii="Arial" w:cs="Arial" w:eastAsia="Arial" w:hAnsi="Arial"/>
          <w:sz w:val="4"/>
          <w:szCs w:val="4"/>
          <w:color w:val="FFFFFF"/>
        </w:rPr>
        <w:t>Established,Defense powerful relationshipsmetalcost withvolatilitykeyelectricalthrough consignmentcontrolcustomerspurchases and pricing hedges</w:t>
      </w:r>
    </w:p>
    <w:p>
      <w:pPr>
        <w:ind w:right="3959"/>
        <w:spacing w:after="0" w:line="182" w:lineRule="auto"/>
        <w:rPr>
          <w:sz w:val="20"/>
          <w:szCs w:val="20"/>
          <w:color w:val="auto"/>
        </w:rPr>
      </w:pPr>
      <w:r>
        <w:rPr>
          <w:rFonts w:ascii="Arial" w:cs="Arial" w:eastAsia="Arial" w:hAnsi="Arial"/>
          <w:sz w:val="7"/>
          <w:szCs w:val="7"/>
          <w:color w:val="FFFFFF"/>
        </w:rPr>
        <w:t xml:space="preserve">Strong, active dialogue with customers who seek expertise when developing electrical controls, assemblies and devices </w:t>
      </w:r>
      <w:r>
        <w:rPr>
          <w:rFonts w:ascii="Arial" w:cs="Arial" w:eastAsia="Arial" w:hAnsi="Arial"/>
          <w:sz w:val="9"/>
          <w:szCs w:val="9"/>
          <w:color w:val="FFFFFF"/>
          <w:vertAlign w:val="superscript"/>
        </w:rPr>
        <w:t>New</w:t>
      </w:r>
      <w:r>
        <w:rPr>
          <w:rFonts w:ascii="Arial" w:cs="Arial" w:eastAsia="Arial" w:hAnsi="Arial"/>
          <w:sz w:val="7"/>
          <w:szCs w:val="7"/>
          <w:color w:val="FFFFFF"/>
        </w:rPr>
        <w:t>Ky Demand Drivers*</w:t>
      </w:r>
    </w:p>
    <w:p>
      <w:pPr>
        <w:ind w:left="280"/>
        <w:spacing w:after="0" w:line="182" w:lineRule="auto"/>
        <w:rPr>
          <w:sz w:val="20"/>
          <w:szCs w:val="20"/>
          <w:color w:val="auto"/>
        </w:rPr>
      </w:pPr>
      <w:r>
        <w:rPr>
          <w:rFonts w:ascii="Arial" w:cs="Arial" w:eastAsia="Arial" w:hAnsi="Arial"/>
          <w:sz w:val="9"/>
          <w:szCs w:val="9"/>
          <w:color w:val="FFFFFF"/>
        </w:rPr>
        <w:t>Residential Construction Growth:</w:t>
      </w:r>
    </w:p>
    <w:p>
      <w:pPr>
        <w:spacing w:after="0" w:line="182" w:lineRule="auto"/>
        <w:rPr>
          <w:sz w:val="20"/>
          <w:szCs w:val="20"/>
          <w:color w:val="auto"/>
        </w:rPr>
      </w:pPr>
      <w:r>
        <w:rPr>
          <w:rFonts w:ascii="Arial" w:cs="Arial" w:eastAsia="Arial" w:hAnsi="Arial"/>
          <w:sz w:val="9"/>
          <w:szCs w:val="9"/>
          <w:color w:val="FFFFFF"/>
          <w:vertAlign w:val="superscript"/>
        </w:rPr>
        <w:t>Non</w:t>
      </w:r>
      <w:r>
        <w:rPr>
          <w:rFonts w:ascii="Arial" w:cs="Arial" w:eastAsia="Arial" w:hAnsi="Arial"/>
          <w:sz w:val="7"/>
          <w:szCs w:val="7"/>
          <w:color w:val="FFFFFF"/>
        </w:rPr>
        <w:t>Improving</w:t>
      </w:r>
      <w:r>
        <w:rPr>
          <w:rFonts w:ascii="Arial" w:cs="Arial" w:eastAsia="Arial" w:hAnsi="Arial"/>
          <w:sz w:val="9"/>
          <w:szCs w:val="9"/>
          <w:color w:val="FFFFFF"/>
          <w:vertAlign w:val="superscript"/>
        </w:rPr>
        <w:t>-</w:t>
      </w:r>
      <w:r>
        <w:rPr>
          <w:rFonts w:ascii="Arial" w:cs="Arial" w:eastAsia="Arial" w:hAnsi="Arial"/>
          <w:sz w:val="7"/>
          <w:szCs w:val="7"/>
          <w:color w:val="FFFFFF"/>
        </w:rPr>
        <w:t>Residentialeconomy,ConstructionhomepriceGrowth:affordability and significant pent-up demand U.S. housing starts expected to reach 1.5 million starts in 2019 at a CAGR of 8.5%</w:t>
      </w:r>
    </w:p>
    <w:p>
      <w:pPr>
        <w:spacing w:after="0" w:line="206" w:lineRule="auto"/>
        <w:rPr>
          <w:sz w:val="20"/>
          <w:szCs w:val="20"/>
          <w:color w:val="auto"/>
        </w:rPr>
      </w:pPr>
      <w:r>
        <w:rPr>
          <w:rFonts w:ascii="Arial" w:cs="Arial" w:eastAsia="Arial" w:hAnsi="Arial"/>
          <w:sz w:val="4"/>
          <w:szCs w:val="4"/>
          <w:color w:val="FFFFFF"/>
        </w:rPr>
        <w:t>IncreasedresidentialThermalcapitalManagementexpendituresOutsourcing:togrowat a CAGR of 5.3% to $583 billion in 2019</w:t>
      </w:r>
    </w:p>
    <w:p>
      <w:pPr>
        <w:ind w:right="239"/>
        <w:spacing w:after="0" w:line="182" w:lineRule="auto"/>
        <w:rPr>
          <w:sz w:val="20"/>
          <w:szCs w:val="20"/>
          <w:color w:val="auto"/>
        </w:rPr>
      </w:pPr>
      <w:r>
        <w:rPr>
          <w:rFonts w:ascii="Arial" w:cs="Arial" w:eastAsia="Arial" w:hAnsi="Arial"/>
          <w:sz w:val="9"/>
          <w:szCs w:val="9"/>
          <w:color w:val="FFFFFF"/>
        </w:rPr>
        <w:t>Electronic manufacturers increasingly relying on custom-engineered thermal solutions to remove heat Global thermal management expected to grow at a 6.8% CAGR to $14.7 billion in 2019 Comprehensive Product Portfolio</w:t>
      </w:r>
    </w:p>
    <w:p>
      <w:pPr>
        <w:spacing w:after="0" w:line="182" w:lineRule="auto"/>
        <w:rPr>
          <w:sz w:val="20"/>
          <w:szCs w:val="20"/>
          <w:color w:val="auto"/>
        </w:rPr>
      </w:pPr>
      <w:r>
        <w:rPr>
          <w:rFonts w:ascii="Arial" w:cs="Arial" w:eastAsia="Arial" w:hAnsi="Arial"/>
          <w:sz w:val="9"/>
          <w:szCs w:val="9"/>
          <w:color w:val="FFFFFF"/>
        </w:rPr>
        <w:t>Residential Electrical Connectivity</w:t>
      </w:r>
    </w:p>
    <w:p>
      <w:pPr>
        <w:spacing w:after="0" w:line="205" w:lineRule="auto"/>
        <w:rPr>
          <w:sz w:val="20"/>
          <w:szCs w:val="20"/>
          <w:color w:val="auto"/>
        </w:rPr>
      </w:pPr>
      <w:r>
        <w:rPr>
          <w:rFonts w:ascii="Arial" w:cs="Arial" w:eastAsia="Arial" w:hAnsi="Arial"/>
          <w:sz w:val="4"/>
          <w:szCs w:val="4"/>
          <w:color w:val="FFFFFF"/>
        </w:rPr>
        <w:t>OtherCommercialIndustrial/IndustrialControlsElectricalandSwitchesFacility Connectivity</w:t>
      </w:r>
    </w:p>
    <w:p>
      <w:pPr>
        <w:spacing w:after="0" w:line="205" w:lineRule="auto"/>
        <w:rPr>
          <w:sz w:val="20"/>
          <w:szCs w:val="20"/>
          <w:color w:val="auto"/>
        </w:rPr>
      </w:pPr>
      <w:r>
        <w:rPr>
          <w:rFonts w:ascii="Arial" w:cs="Arial" w:eastAsia="Arial" w:hAnsi="Arial"/>
          <w:sz w:val="4"/>
          <w:szCs w:val="4"/>
          <w:color w:val="FFFFFF"/>
        </w:rPr>
        <w:t>7</w:t>
      </w:r>
    </w:p>
    <w:p>
      <w:pPr>
        <w:spacing w:after="0"/>
        <w:rPr>
          <w:sz w:val="20"/>
          <w:szCs w:val="20"/>
          <w:color w:val="auto"/>
        </w:rPr>
      </w:pPr>
      <w:r>
        <w:rPr>
          <w:rFonts w:ascii="Arial" w:cs="Arial" w:eastAsia="Arial" w:hAnsi="Arial"/>
          <w:sz w:val="13"/>
          <w:szCs w:val="13"/>
          <w:color w:val="FFFFFF"/>
        </w:rPr>
        <w:t>*P.E.P. Estimates</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Transportation Snapshot</w:t>
      </w:r>
    </w:p>
    <w:p>
      <w:pPr>
        <w:ind w:right="280"/>
        <w:spacing w:after="0" w:line="204" w:lineRule="auto"/>
        <w:rPr>
          <w:sz w:val="20"/>
          <w:szCs w:val="20"/>
          <w:color w:val="auto"/>
        </w:rPr>
      </w:pPr>
      <w:r>
        <w:rPr>
          <w:rFonts w:ascii="Arial" w:cs="Arial" w:eastAsia="Arial" w:hAnsi="Arial"/>
          <w:sz w:val="4"/>
          <w:szCs w:val="4"/>
          <w:color w:val="FFFFFF"/>
        </w:rPr>
        <w:t>ProvidesLeading Componentsprecisioncomponents,Provider assemblies and contacts utilized in key commercial and industrial vehicle safety and sensor components Specializesrequiringmanufacturing high-volume, under-the-hood components by leveraging advanced, automated robotic to ensure 100% conformance to customer specifications Technology growth in safety sensors complex optics, radio frequency and magnetics</w:t>
      </w:r>
    </w:p>
    <w:p>
      <w:pPr>
        <w:spacing w:after="0"/>
        <w:rPr>
          <w:sz w:val="20"/>
          <w:szCs w:val="20"/>
          <w:color w:val="auto"/>
        </w:rPr>
      </w:pPr>
      <w:r>
        <w:rPr>
          <w:rFonts w:ascii="Arial" w:cs="Arial" w:eastAsia="Arial" w:hAnsi="Arial"/>
          <w:sz w:val="9"/>
          <w:szCs w:val="9"/>
          <w:color w:val="FFFFFF"/>
        </w:rPr>
        <w:t>Transportation OEMs actively seek PEP’systemsunique technology and manufacturing capabilities to address vehicle component and assemblies challenges Industry-leader in pressure relief disks used in various applications Precision bearing retainer and sprag technology</w:t>
      </w:r>
    </w:p>
    <w:p>
      <w:pPr>
        <w:spacing w:after="0" w:line="183" w:lineRule="auto"/>
        <w:rPr>
          <w:sz w:val="20"/>
          <w:szCs w:val="20"/>
          <w:color w:val="auto"/>
        </w:rPr>
      </w:pPr>
      <w:r>
        <w:rPr>
          <w:rFonts w:ascii="Arial" w:cs="Arial" w:eastAsia="Arial" w:hAnsi="Arial"/>
          <w:sz w:val="15"/>
          <w:szCs w:val="15"/>
          <w:color w:val="FFFFFF"/>
          <w:vertAlign w:val="subscript"/>
        </w:rPr>
        <w:t>Benefitting</w:t>
      </w:r>
      <w:r>
        <w:rPr>
          <w:rFonts w:ascii="Arial" w:cs="Arial" w:eastAsia="Arial" w:hAnsi="Arial"/>
          <w:sz w:val="9"/>
          <w:szCs w:val="9"/>
          <w:color w:val="FFFFFF"/>
        </w:rPr>
        <w:t>IncrasedLight Vehicle Production:</w:t>
      </w:r>
    </w:p>
    <w:p>
      <w:pPr>
        <w:spacing w:after="0" w:line="183" w:lineRule="auto"/>
        <w:tabs>
          <w:tab w:leader="none" w:pos="560" w:val="left"/>
        </w:tabs>
        <w:rPr>
          <w:sz w:val="20"/>
          <w:szCs w:val="20"/>
          <w:color w:val="auto"/>
        </w:rPr>
      </w:pPr>
      <w:r>
        <w:rPr>
          <w:rFonts w:ascii="Arial" w:cs="Arial" w:eastAsia="Arial" w:hAnsi="Arial"/>
          <w:sz w:val="9"/>
          <w:szCs w:val="9"/>
          <w:color w:val="FFFFFF"/>
        </w:rPr>
        <w:t>Growth</w:t>
      </w:r>
      <w:r>
        <w:rPr>
          <w:sz w:val="20"/>
          <w:szCs w:val="20"/>
          <w:color w:val="auto"/>
        </w:rPr>
        <w:tab/>
      </w:r>
      <w:r>
        <w:rPr>
          <w:rFonts w:ascii="Arial" w:cs="Arial" w:eastAsia="Arial" w:hAnsi="Arial"/>
          <w:sz w:val="9"/>
          <w:szCs w:val="9"/>
          <w:color w:val="FFFFFF"/>
        </w:rPr>
        <w:t>Vehiclefroma SafetycontinuedSensorsglobal/Components:economicrecovery Global light vehicle production expected to grow at a CAGR of 3.2%</w:t>
      </w:r>
    </w:p>
    <w:p>
      <w:pPr>
        <w:spacing w:after="0" w:line="206" w:lineRule="auto"/>
        <w:rPr>
          <w:sz w:val="20"/>
          <w:szCs w:val="20"/>
          <w:color w:val="auto"/>
        </w:rPr>
      </w:pPr>
      <w:r>
        <w:rPr>
          <w:rFonts w:ascii="Arial" w:cs="Arial" w:eastAsia="Arial" w:hAnsi="Arial"/>
          <w:sz w:val="4"/>
          <w:szCs w:val="4"/>
          <w:color w:val="FFFFFF"/>
        </w:rPr>
        <w:t>CommercialAverageonboard/IndustrialsensorsVehiclepervehicleGrowth:expected to grow from ~80 to nearly 200 by 2020</w:t>
      </w:r>
    </w:p>
    <w:p>
      <w:pPr>
        <w:ind w:right="200"/>
        <w:spacing w:after="0" w:line="182" w:lineRule="auto"/>
        <w:rPr>
          <w:sz w:val="20"/>
          <w:szCs w:val="20"/>
          <w:color w:val="auto"/>
        </w:rPr>
      </w:pPr>
      <w:r>
        <w:rPr>
          <w:rFonts w:ascii="Arial" w:cs="Arial" w:eastAsia="Arial" w:hAnsi="Arial"/>
          <w:sz w:val="9"/>
          <w:szCs w:val="9"/>
          <w:color w:val="FFFFFF"/>
        </w:rPr>
        <w:t>Agricultural machinery industry hitting $175 billion by 2016, and construction machinery to reach $190 billion by 2017 Increased production of construction and industrial vehicles primarily driven by government funding and agriculture trends</w:t>
      </w:r>
    </w:p>
    <w:p>
      <w:pPr>
        <w:spacing w:after="0" w:line="205" w:lineRule="auto"/>
        <w:rPr>
          <w:sz w:val="20"/>
          <w:szCs w:val="20"/>
          <w:color w:val="auto"/>
        </w:rPr>
      </w:pPr>
      <w:r>
        <w:rPr>
          <w:rFonts w:ascii="Arial" w:cs="Arial" w:eastAsia="Arial" w:hAnsi="Arial"/>
          <w:sz w:val="4"/>
          <w:szCs w:val="4"/>
          <w:color w:val="FFFFFF"/>
        </w:rPr>
        <w:t>Comprehensive Product Portfolio</w:t>
      </w:r>
    </w:p>
    <w:p>
      <w:pPr>
        <w:spacing w:after="0" w:line="182" w:lineRule="auto"/>
        <w:rPr>
          <w:sz w:val="20"/>
          <w:szCs w:val="20"/>
          <w:color w:val="auto"/>
        </w:rPr>
      </w:pPr>
      <w:r>
        <w:rPr>
          <w:rFonts w:ascii="Arial" w:cs="Arial" w:eastAsia="Arial" w:hAnsi="Arial"/>
          <w:sz w:val="9"/>
          <w:szCs w:val="9"/>
          <w:color w:val="FFFFFF"/>
          <w:vertAlign w:val="subscript"/>
        </w:rPr>
        <w:t>Vehicle</w:t>
      </w:r>
      <w:r>
        <w:rPr>
          <w:rFonts w:ascii="Arial" w:cs="Arial" w:eastAsia="Arial" w:hAnsi="Arial"/>
          <w:sz w:val="7"/>
          <w:szCs w:val="7"/>
          <w:color w:val="FFFFFF"/>
        </w:rPr>
        <w:t xml:space="preserve"> Elec</w:t>
      </w:r>
      <w:r>
        <w:rPr>
          <w:rFonts w:ascii="Arial" w:cs="Arial" w:eastAsia="Arial" w:hAnsi="Arial"/>
          <w:sz w:val="9"/>
          <w:szCs w:val="9"/>
          <w:color w:val="FFFFFF"/>
          <w:vertAlign w:val="subscript"/>
        </w:rPr>
        <w:t>Safety</w:t>
      </w:r>
      <w:r>
        <w:rPr>
          <w:rFonts w:ascii="Arial" w:cs="Arial" w:eastAsia="Arial" w:hAnsi="Arial"/>
          <w:sz w:val="7"/>
          <w:szCs w:val="7"/>
          <w:color w:val="FFFFFF"/>
        </w:rPr>
        <w:t>ronics and Sensor Components</w:t>
      </w:r>
    </w:p>
    <w:p>
      <w:pPr>
        <w:spacing w:after="0" w:line="182" w:lineRule="auto"/>
        <w:rPr>
          <w:sz w:val="20"/>
          <w:szCs w:val="20"/>
          <w:color w:val="auto"/>
        </w:rPr>
      </w:pPr>
      <w:r>
        <w:rPr>
          <w:rFonts w:ascii="Arial" w:cs="Arial" w:eastAsia="Arial" w:hAnsi="Arial"/>
          <w:sz w:val="7"/>
          <w:szCs w:val="7"/>
          <w:color w:val="FFFFFF"/>
        </w:rPr>
        <w:t>Components and</w:t>
      </w:r>
      <w:r>
        <w:rPr>
          <w:rFonts w:ascii="Arial" w:cs="Arial" w:eastAsia="Arial" w:hAnsi="Arial"/>
          <w:sz w:val="9"/>
          <w:szCs w:val="9"/>
          <w:color w:val="FFFFFF"/>
          <w:vertAlign w:val="subscript"/>
        </w:rPr>
        <w:t>Commercial</w:t>
      </w:r>
      <w:r>
        <w:rPr>
          <w:rFonts w:ascii="Arial" w:cs="Arial" w:eastAsia="Arial" w:hAnsi="Arial"/>
          <w:sz w:val="7"/>
          <w:szCs w:val="7"/>
          <w:color w:val="FFFFFF"/>
        </w:rPr>
        <w:t>Assmblies</w:t>
      </w:r>
    </w:p>
    <w:p>
      <w:pPr>
        <w:spacing w:after="0" w:line="219" w:lineRule="auto"/>
        <w:tabs>
          <w:tab w:leader="none" w:pos="1420" w:val="left"/>
        </w:tabs>
        <w:rPr>
          <w:sz w:val="20"/>
          <w:szCs w:val="20"/>
          <w:color w:val="auto"/>
        </w:rPr>
      </w:pPr>
      <w:r>
        <w:rPr>
          <w:rFonts w:ascii="Arial" w:cs="Arial" w:eastAsia="Arial" w:hAnsi="Arial"/>
          <w:sz w:val="13"/>
          <w:szCs w:val="13"/>
          <w:color w:val="FFFFFF"/>
        </w:rPr>
        <w:t>*P.E.P.IndustrialEstimatesand 8</w:t>
      </w:r>
      <w:r>
        <w:rPr>
          <w:sz w:val="20"/>
          <w:szCs w:val="20"/>
          <w:color w:val="auto"/>
        </w:rPr>
        <w:tab/>
      </w:r>
      <w:r>
        <w:rPr>
          <w:rFonts w:ascii="Arial" w:cs="Arial" w:eastAsia="Arial" w:hAnsi="Arial"/>
          <w:sz w:val="11"/>
          <w:szCs w:val="11"/>
          <w:color w:val="FFFFFF"/>
        </w:rPr>
        <w:t>Vehicle Components</w:t>
      </w:r>
    </w:p>
    <w:p>
      <w:pPr>
        <w:sectPr>
          <w:pgSz w:w="11900" w:h="16838" w:orient="portrait"/>
          <w:cols w:equalWidth="0" w:num="1">
            <w:col w:w="11380"/>
          </w:cols>
          <w:pgMar w:left="240" w:top="1440" w:right="27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0"/>
        <w:spacing w:after="0"/>
        <w:rPr>
          <w:sz w:val="20"/>
          <w:szCs w:val="20"/>
          <w:color w:val="auto"/>
        </w:rPr>
      </w:pPr>
      <w:r>
        <w:rPr>
          <w:rFonts w:ascii="Arial" w:cs="Arial" w:eastAsia="Arial" w:hAnsi="Arial"/>
          <w:sz w:val="13"/>
          <w:szCs w:val="13"/>
          <w:color w:val="FFFFFF"/>
        </w:rPr>
        <w:t>and Other Snapshot</w:t>
      </w:r>
    </w:p>
    <w:p>
      <w:pPr>
        <w:spacing w:after="0" w:line="182" w:lineRule="auto"/>
        <w:rPr>
          <w:sz w:val="20"/>
          <w:szCs w:val="20"/>
          <w:color w:val="auto"/>
        </w:rPr>
      </w:pPr>
      <w:r>
        <w:rPr>
          <w:rFonts w:ascii="Arial" w:cs="Arial" w:eastAsia="Arial" w:hAnsi="Arial"/>
          <w:sz w:val="7"/>
          <w:szCs w:val="7"/>
          <w:color w:val="FFFFFF"/>
        </w:rPr>
        <w:t>Aerospace &amp; Defense:</w:t>
      </w:r>
      <w:r>
        <w:rPr>
          <w:rFonts w:ascii="Arial" w:cs="Arial" w:eastAsia="Arial" w:hAnsi="Arial"/>
          <w:sz w:val="9"/>
          <w:szCs w:val="9"/>
          <w:color w:val="FFFFFF"/>
          <w:vertAlign w:val="superscript"/>
        </w:rPr>
        <w:t>Capabilities</w:t>
      </w:r>
    </w:p>
    <w:p>
      <w:pPr>
        <w:ind w:left="100"/>
        <w:spacing w:after="0" w:line="205" w:lineRule="auto"/>
        <w:rPr>
          <w:sz w:val="20"/>
          <w:szCs w:val="20"/>
          <w:color w:val="auto"/>
        </w:rPr>
      </w:pPr>
      <w:r>
        <w:rPr>
          <w:rFonts w:ascii="Arial" w:cs="Arial" w:eastAsia="Arial" w:hAnsi="Arial"/>
          <w:sz w:val="4"/>
          <w:szCs w:val="4"/>
          <w:color w:val="FFFFFF"/>
          <w:vertAlign w:val="subscript"/>
        </w:rPr>
        <w:t>ptical</w:t>
      </w:r>
      <w:r>
        <w:rPr>
          <w:rFonts w:ascii="Arial" w:cs="Arial" w:eastAsia="Arial" w:hAnsi="Arial"/>
          <w:sz w:val="2"/>
          <w:szCs w:val="2"/>
          <w:color w:val="FFFFFF"/>
        </w:rPr>
        <w:t>ffersbroad manufacturing capabilities and technical expertise in the A&amp;D sector</w:t>
      </w:r>
      <w:r>
        <w:rPr>
          <w:rFonts w:ascii="Arial" w:cs="Arial" w:eastAsia="Arial" w:hAnsi="Arial"/>
          <w:sz w:val="4"/>
          <w:szCs w:val="4"/>
          <w:color w:val="FFFFFF"/>
          <w:vertAlign w:val="subscript"/>
        </w:rPr>
        <w:t>Magnesium</w:t>
      </w:r>
      <w:r>
        <w:rPr>
          <w:rFonts w:ascii="Arial" w:cs="Arial" w:eastAsia="Arial" w:hAnsi="Arial"/>
          <w:sz w:val="2"/>
          <w:szCs w:val="2"/>
          <w:color w:val="FFFFFF"/>
        </w:rPr>
        <w:t>withvariety of engineered materials including:</w:t>
      </w:r>
    </w:p>
    <w:p>
      <w:pPr>
        <w:ind w:left="340" w:right="519" w:hanging="330"/>
        <w:spacing w:after="0" w:line="223" w:lineRule="auto"/>
        <w:tabs>
          <w:tab w:leader="none" w:pos="320" w:val="left"/>
        </w:tabs>
        <w:rPr>
          <w:sz w:val="20"/>
          <w:szCs w:val="20"/>
          <w:color w:val="auto"/>
        </w:rPr>
      </w:pPr>
      <w:r>
        <w:rPr>
          <w:rFonts w:ascii="Arial" w:cs="Arial" w:eastAsia="Arial" w:hAnsi="Arial"/>
          <w:sz w:val="26"/>
          <w:szCs w:val="26"/>
          <w:color w:val="FFFFFF"/>
          <w:vertAlign w:val="superscript"/>
        </w:rPr>
        <w:t>Other</w:t>
      </w:r>
      <w:r>
        <w:rPr>
          <w:sz w:val="20"/>
          <w:szCs w:val="20"/>
          <w:color w:val="auto"/>
        </w:rPr>
        <w:tab/>
      </w:r>
      <w:r>
        <w:rPr>
          <w:rFonts w:ascii="Arial" w:cs="Arial" w:eastAsia="Arial" w:hAnsi="Arial"/>
          <w:sz w:val="11"/>
          <w:szCs w:val="11"/>
          <w:color w:val="FFFFFF"/>
        </w:rPr>
        <w:t>grade plastics Thermally conductive plastics Titanium Nickel Inconel Gold electroplating Growing foreign threats leading to increase in global defense expenditures Precision End Markets</w:t>
      </w:r>
    </w:p>
    <w:p>
      <w:pPr>
        <w:spacing w:after="0" w:line="182" w:lineRule="auto"/>
        <w:rPr>
          <w:sz w:val="20"/>
          <w:szCs w:val="20"/>
          <w:color w:val="auto"/>
        </w:rPr>
      </w:pPr>
      <w:r>
        <w:rPr>
          <w:rFonts w:ascii="Arial" w:cs="Arial" w:eastAsia="Arial" w:hAnsi="Arial"/>
          <w:sz w:val="9"/>
          <w:szCs w:val="9"/>
          <w:color w:val="FFFFFF"/>
          <w:vertAlign w:val="subscript"/>
        </w:rPr>
        <w:t>Consumer</w:t>
      </w:r>
      <w:r>
        <w:rPr>
          <w:rFonts w:ascii="Arial" w:cs="Arial" w:eastAsia="Arial" w:hAnsi="Arial"/>
          <w:sz w:val="7"/>
          <w:szCs w:val="7"/>
          <w:color w:val="FFFFFF"/>
        </w:rPr>
        <w:t>Industrialtinuedand</w:t>
      </w:r>
      <w:r>
        <w:rPr>
          <w:rFonts w:ascii="Arial" w:cs="Arial" w:eastAsia="Arial" w:hAnsi="Arial"/>
          <w:sz w:val="9"/>
          <w:szCs w:val="9"/>
          <w:color w:val="FFFFFF"/>
          <w:vertAlign w:val="superscript"/>
        </w:rPr>
        <w:t>product</w:t>
      </w:r>
      <w:r>
        <w:rPr>
          <w:rFonts w:ascii="Arial" w:cs="Arial" w:eastAsia="Arial" w:hAnsi="Arial"/>
          <w:sz w:val="7"/>
          <w:szCs w:val="7"/>
          <w:color w:val="FFFFFF"/>
        </w:rPr>
        <w:t>Consumer:</w:t>
      </w:r>
      <w:r>
        <w:rPr>
          <w:rFonts w:ascii="Arial" w:cs="Arial" w:eastAsia="Arial" w:hAnsi="Arial"/>
          <w:sz w:val="9"/>
          <w:szCs w:val="9"/>
          <w:color w:val="FFFFFF"/>
          <w:vertAlign w:val="superscript"/>
        </w:rPr>
        <w:t>components</w:t>
      </w:r>
    </w:p>
    <w:p>
      <w:pPr>
        <w:ind w:left="340"/>
        <w:spacing w:after="0" w:line="183" w:lineRule="auto"/>
        <w:rPr>
          <w:sz w:val="20"/>
          <w:szCs w:val="20"/>
          <w:color w:val="auto"/>
        </w:rPr>
      </w:pPr>
      <w:r>
        <w:rPr>
          <w:rFonts w:ascii="Arial" w:cs="Arial" w:eastAsia="Arial" w:hAnsi="Arial"/>
          <w:sz w:val="9"/>
          <w:szCs w:val="9"/>
          <w:color w:val="FFFFFF"/>
        </w:rPr>
        <w:t>Gas:demanddemand forfor domesticevolving highmanufactured-techconsumerproductsproducts</w:t>
      </w:r>
    </w:p>
    <w:p>
      <w:pPr>
        <w:spacing w:after="0" w:line="205" w:lineRule="auto"/>
        <w:rPr>
          <w:sz w:val="20"/>
          <w:szCs w:val="20"/>
          <w:color w:val="auto"/>
        </w:rPr>
      </w:pPr>
      <w:r>
        <w:rPr>
          <w:rFonts w:ascii="Arial" w:cs="Arial" w:eastAsia="Arial" w:hAnsi="Arial"/>
          <w:sz w:val="4"/>
          <w:szCs w:val="4"/>
          <w:color w:val="FFFFFF"/>
          <w:vertAlign w:val="subscript"/>
        </w:rPr>
        <w:t>Oil &amp; gas products</w:t>
      </w:r>
      <w:r>
        <w:rPr>
          <w:rFonts w:ascii="Arial" w:cs="Arial" w:eastAsia="Arial" w:hAnsi="Arial"/>
          <w:sz w:val="2"/>
          <w:szCs w:val="2"/>
          <w:color w:val="FFFFFF"/>
        </w:rPr>
        <w:t>ecision filter wire</w:t>
      </w:r>
    </w:p>
    <w:p>
      <w:pPr>
        <w:ind w:left="1040"/>
        <w:spacing w:after="0" w:line="182" w:lineRule="auto"/>
        <w:rPr>
          <w:sz w:val="20"/>
          <w:szCs w:val="20"/>
          <w:color w:val="auto"/>
        </w:rPr>
      </w:pPr>
      <w:r>
        <w:rPr>
          <w:rFonts w:ascii="Arial" w:cs="Arial" w:eastAsia="Arial" w:hAnsi="Arial"/>
          <w:sz w:val="9"/>
          <w:szCs w:val="9"/>
          <w:color w:val="FFFFFF"/>
        </w:rPr>
        <w:t>benefit from continued expansion of shale production in the U.S.</w:t>
      </w:r>
    </w:p>
    <w:p>
      <w:pPr>
        <w:spacing w:after="0" w:line="205" w:lineRule="auto"/>
        <w:rPr>
          <w:sz w:val="20"/>
          <w:szCs w:val="20"/>
          <w:color w:val="auto"/>
        </w:rPr>
      </w:pPr>
      <w:r>
        <w:rPr>
          <w:rFonts w:ascii="Arial" w:cs="Arial" w:eastAsia="Arial" w:hAnsi="Arial"/>
          <w:sz w:val="4"/>
          <w:szCs w:val="4"/>
          <w:color w:val="FFFFFF"/>
        </w:rPr>
        <w:t>ComprehensiveIncreasingglobalProductdemandPortfolioforenergy, particularly from developing economies</w:t>
      </w:r>
    </w:p>
    <w:p>
      <w:pPr>
        <w:spacing w:after="0" w:line="205" w:lineRule="auto"/>
        <w:rPr>
          <w:sz w:val="20"/>
          <w:szCs w:val="20"/>
          <w:color w:val="auto"/>
        </w:rPr>
      </w:pPr>
      <w:r>
        <w:rPr>
          <w:rFonts w:ascii="Arial" w:cs="Arial" w:eastAsia="Arial" w:hAnsi="Arial"/>
          <w:sz w:val="4"/>
          <w:szCs w:val="4"/>
          <w:color w:val="FFFFFF"/>
        </w:rPr>
        <w:t>Titanium and stainless steel structural components</w:t>
      </w:r>
    </w:p>
    <w:p>
      <w:pPr>
        <w:spacing w:after="0" w:line="182" w:lineRule="auto"/>
        <w:rPr>
          <w:sz w:val="20"/>
          <w:szCs w:val="20"/>
          <w:color w:val="auto"/>
        </w:rPr>
      </w:pPr>
      <w:r>
        <w:rPr>
          <w:rFonts w:ascii="Arial" w:cs="Arial" w:eastAsia="Arial" w:hAnsi="Arial"/>
          <w:sz w:val="9"/>
          <w:szCs w:val="9"/>
          <w:color w:val="FFFFFF"/>
        </w:rPr>
        <w:t>Gold-plated aluminum machined housing for communications device</w:t>
      </w:r>
    </w:p>
    <w:p>
      <w:pPr>
        <w:spacing w:after="0" w:line="182" w:lineRule="auto"/>
        <w:rPr>
          <w:sz w:val="20"/>
          <w:szCs w:val="20"/>
          <w:color w:val="auto"/>
        </w:rPr>
      </w:pPr>
      <w:r>
        <w:rPr>
          <w:rFonts w:ascii="Arial" w:cs="Arial" w:eastAsia="Arial" w:hAnsi="Arial"/>
          <w:sz w:val="9"/>
          <w:szCs w:val="9"/>
          <w:color w:val="FFFFFF"/>
        </w:rPr>
        <w:t>ConsumerPrecisionstamped,componentsgold-plated component used in array radar system</w:t>
      </w:r>
    </w:p>
    <w:p>
      <w:pPr>
        <w:spacing w:after="0"/>
        <w:rPr>
          <w:sz w:val="20"/>
          <w:szCs w:val="20"/>
          <w:color w:val="auto"/>
        </w:rPr>
      </w:pPr>
      <w:r>
        <w:rPr>
          <w:rFonts w:ascii="Arial" w:cs="Arial" w:eastAsia="Arial" w:hAnsi="Arial"/>
          <w:sz w:val="13"/>
          <w:szCs w:val="13"/>
          <w:color w:val="FFFFFF"/>
        </w:rPr>
        <w:t>9Oil &amp; gas screen wires</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FFFFFF"/>
        </w:rPr>
        <w:t>Combined Company</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Combined Company Overview</w:t>
      </w:r>
    </w:p>
    <w:p>
      <w:pPr>
        <w:spacing w:after="0" w:line="204" w:lineRule="auto"/>
        <w:rPr>
          <w:sz w:val="20"/>
          <w:szCs w:val="20"/>
          <w:color w:val="auto"/>
        </w:rPr>
      </w:pPr>
      <w:r>
        <w:rPr>
          <w:rFonts w:ascii="Arial" w:cs="Arial" w:eastAsia="Arial" w:hAnsi="Arial"/>
          <w:sz w:val="4"/>
          <w:szCs w:val="4"/>
          <w:color w:val="FFFFFF"/>
        </w:rPr>
        <w:t>2015AdiversifiedProFormaglobalFinancialmanufacturerProfile1of precision engineered components and assemblies</w:t>
      </w:r>
    </w:p>
    <w:p>
      <w:pPr>
        <w:spacing w:after="0" w:line="205" w:lineRule="auto"/>
        <w:rPr>
          <w:sz w:val="20"/>
          <w:szCs w:val="20"/>
          <w:color w:val="auto"/>
        </w:rPr>
      </w:pPr>
      <w:r>
        <w:rPr>
          <w:rFonts w:ascii="Arial" w:cs="Arial" w:eastAsia="Arial" w:hAnsi="Arial"/>
          <w:sz w:val="4"/>
          <w:szCs w:val="4"/>
          <w:color w:val="FFFFFF"/>
        </w:rPr>
        <w:t>Revenue $910m</w:t>
      </w:r>
    </w:p>
    <w:p>
      <w:pPr>
        <w:spacing w:after="0" w:line="205" w:lineRule="auto"/>
        <w:rPr>
          <w:sz w:val="20"/>
          <w:szCs w:val="20"/>
          <w:color w:val="auto"/>
        </w:rPr>
      </w:pPr>
      <w:r>
        <w:rPr>
          <w:rFonts w:ascii="Arial" w:cs="Arial" w:eastAsia="Arial" w:hAnsi="Arial"/>
          <w:sz w:val="4"/>
          <w:szCs w:val="4"/>
          <w:color w:val="FFFFFF"/>
        </w:rPr>
        <w:t>Gross Margin 26.6%2</w:t>
      </w:r>
    </w:p>
    <w:p>
      <w:pPr>
        <w:spacing w:after="0" w:line="182" w:lineRule="auto"/>
        <w:rPr>
          <w:sz w:val="20"/>
          <w:szCs w:val="20"/>
          <w:color w:val="auto"/>
        </w:rPr>
      </w:pPr>
      <w:r>
        <w:rPr>
          <w:rFonts w:ascii="Arial" w:cs="Arial" w:eastAsia="Arial" w:hAnsi="Arial"/>
          <w:sz w:val="9"/>
          <w:szCs w:val="9"/>
          <w:color w:val="FFFFFF"/>
        </w:rPr>
        <w:t>Operating Margin 12.4%</w:t>
      </w:r>
    </w:p>
    <w:p>
      <w:pPr>
        <w:spacing w:after="0" w:line="206" w:lineRule="auto"/>
        <w:rPr>
          <w:sz w:val="20"/>
          <w:szCs w:val="20"/>
          <w:color w:val="auto"/>
        </w:rPr>
      </w:pPr>
      <w:r>
        <w:rPr>
          <w:rFonts w:ascii="Arial" w:cs="Arial" w:eastAsia="Arial" w:hAnsi="Arial"/>
          <w:sz w:val="4"/>
          <w:szCs w:val="4"/>
          <w:color w:val="FFFFFF"/>
        </w:rPr>
        <w:t>RevenueAdj.EBITDABreakdownMargin 18.6%3</w:t>
      </w:r>
    </w:p>
    <w:p>
      <w:pPr>
        <w:spacing w:after="0" w:line="182" w:lineRule="auto"/>
        <w:rPr>
          <w:sz w:val="20"/>
          <w:szCs w:val="20"/>
          <w:color w:val="auto"/>
        </w:rPr>
      </w:pPr>
      <w:r>
        <w:rPr>
          <w:rFonts w:ascii="Arial" w:cs="Arial" w:eastAsia="Arial" w:hAnsi="Arial"/>
          <w:sz w:val="9"/>
          <w:szCs w:val="9"/>
          <w:color w:val="FFFFFF"/>
        </w:rPr>
        <w:t>End Markets Geographic Mix</w:t>
      </w:r>
    </w:p>
    <w:p>
      <w:pPr>
        <w:spacing w:after="0" w:line="205" w:lineRule="auto"/>
        <w:rPr>
          <w:sz w:val="20"/>
          <w:szCs w:val="20"/>
          <w:color w:val="auto"/>
        </w:rPr>
      </w:pPr>
      <w:r>
        <w:rPr>
          <w:rFonts w:ascii="Arial" w:cs="Arial" w:eastAsia="Arial" w:hAnsi="Arial"/>
          <w:sz w:val="2"/>
          <w:szCs w:val="2"/>
          <w:color w:val="FFFFFF"/>
        </w:rPr>
        <w:t>86</w:t>
      </w:r>
      <w:r>
        <w:rPr>
          <w:rFonts w:ascii="Arial" w:cs="Arial" w:eastAsia="Arial" w:hAnsi="Arial"/>
          <w:sz w:val="4"/>
          <w:szCs w:val="4"/>
          <w:color w:val="FFFFFF"/>
          <w:vertAlign w:val="subscript"/>
        </w:rPr>
        <w:t>.8%</w:t>
      </w:r>
      <w:r>
        <w:rPr>
          <w:rFonts w:ascii="Arial" w:cs="Arial" w:eastAsia="Arial" w:hAnsi="Arial"/>
          <w:sz w:val="2"/>
          <w:szCs w:val="2"/>
          <w:color w:val="FFFFFF"/>
        </w:rPr>
        <w:t>4% 5.8%</w:t>
      </w:r>
    </w:p>
    <w:p>
      <w:pPr>
        <w:spacing w:after="0" w:line="205" w:lineRule="auto"/>
        <w:rPr>
          <w:sz w:val="20"/>
          <w:szCs w:val="20"/>
          <w:color w:val="auto"/>
        </w:rPr>
      </w:pPr>
      <w:r>
        <w:rPr>
          <w:rFonts w:ascii="Arial" w:cs="Arial" w:eastAsia="Arial" w:hAnsi="Arial"/>
          <w:sz w:val="4"/>
          <w:szCs w:val="4"/>
          <w:color w:val="FFFFFF"/>
        </w:rPr>
        <w:t>10.4%</w:t>
      </w:r>
    </w:p>
    <w:p>
      <w:pPr>
        <w:spacing w:after="0" w:line="205" w:lineRule="auto"/>
        <w:rPr>
          <w:sz w:val="20"/>
          <w:szCs w:val="20"/>
          <w:color w:val="auto"/>
        </w:rPr>
      </w:pPr>
      <w:r>
        <w:rPr>
          <w:rFonts w:ascii="Arial" w:cs="Arial" w:eastAsia="Arial" w:hAnsi="Arial"/>
          <w:sz w:val="4"/>
          <w:szCs w:val="4"/>
          <w:color w:val="FFFFFF"/>
        </w:rPr>
        <w:t>North America</w:t>
      </w:r>
    </w:p>
    <w:p>
      <w:pPr>
        <w:spacing w:after="0" w:line="205" w:lineRule="auto"/>
        <w:rPr>
          <w:sz w:val="20"/>
          <w:szCs w:val="20"/>
          <w:color w:val="auto"/>
        </w:rPr>
      </w:pPr>
      <w:r>
        <w:rPr>
          <w:rFonts w:ascii="Arial" w:cs="Arial" w:eastAsia="Arial" w:hAnsi="Arial"/>
          <w:sz w:val="4"/>
          <w:szCs w:val="4"/>
          <w:color w:val="FFFFFF"/>
        </w:rPr>
        <w:t>11.8% Europe 53.8%</w:t>
      </w:r>
    </w:p>
    <w:p>
      <w:pPr>
        <w:spacing w:after="0" w:line="205" w:lineRule="auto"/>
        <w:rPr>
          <w:sz w:val="20"/>
          <w:szCs w:val="20"/>
          <w:color w:val="auto"/>
        </w:rPr>
      </w:pPr>
      <w:r>
        <w:rPr>
          <w:rFonts w:ascii="Arial" w:cs="Arial" w:eastAsia="Arial" w:hAnsi="Arial"/>
          <w:sz w:val="2"/>
          <w:szCs w:val="2"/>
          <w:color w:val="FFFFFF"/>
        </w:rPr>
        <w:t>25</w:t>
      </w:r>
      <w:r>
        <w:rPr>
          <w:rFonts w:ascii="Arial" w:cs="Arial" w:eastAsia="Arial" w:hAnsi="Arial"/>
          <w:sz w:val="4"/>
          <w:szCs w:val="4"/>
          <w:color w:val="FFFFFF"/>
          <w:vertAlign w:val="subscript"/>
        </w:rPr>
        <w:t>.2%</w:t>
      </w:r>
      <w:r>
        <w:rPr>
          <w:rFonts w:ascii="Arial" w:cs="Arial" w:eastAsia="Arial" w:hAnsi="Arial"/>
          <w:sz w:val="2"/>
          <w:szCs w:val="2"/>
          <w:color w:val="FFFFFF"/>
        </w:rPr>
        <w:t>4% Asia 58.4%</w:t>
      </w:r>
    </w:p>
    <w:p>
      <w:pPr>
        <w:spacing w:after="0" w:line="205" w:lineRule="auto"/>
        <w:tabs>
          <w:tab w:leader="none" w:pos="360" w:val="left"/>
        </w:tabs>
        <w:rPr>
          <w:sz w:val="20"/>
          <w:szCs w:val="20"/>
          <w:color w:val="auto"/>
        </w:rPr>
      </w:pPr>
      <w:r>
        <w:rPr>
          <w:rFonts w:ascii="Arial" w:cs="Arial" w:eastAsia="Arial" w:hAnsi="Arial"/>
          <w:sz w:val="4"/>
          <w:szCs w:val="4"/>
          <w:color w:val="FFFFFF"/>
        </w:rPr>
        <w:t>19</w:t>
      </w:r>
      <w:r>
        <w:rPr>
          <w:sz w:val="20"/>
          <w:szCs w:val="20"/>
          <w:color w:val="auto"/>
        </w:rPr>
        <w:tab/>
      </w:r>
      <w:r>
        <w:rPr>
          <w:rFonts w:ascii="Arial" w:cs="Arial" w:eastAsia="Arial" w:hAnsi="Arial"/>
          <w:sz w:val="4"/>
          <w:szCs w:val="4"/>
          <w:color w:val="FFFFFF"/>
        </w:rPr>
        <w:t>South America</w:t>
      </w:r>
    </w:p>
    <w:p>
      <w:pPr>
        <w:spacing w:after="0" w:line="182" w:lineRule="auto"/>
        <w:rPr>
          <w:sz w:val="20"/>
          <w:szCs w:val="20"/>
          <w:color w:val="auto"/>
        </w:rPr>
      </w:pPr>
      <w:r>
        <w:rPr>
          <w:rFonts w:ascii="Arial" w:cs="Arial" w:eastAsia="Arial" w:hAnsi="Arial"/>
          <w:sz w:val="9"/>
          <w:szCs w:val="9"/>
          <w:color w:val="FFFFFF"/>
        </w:rPr>
        <w:t>ight Auto ight Auto–CAFE erospace / General Industrial</w:t>
      </w:r>
    </w:p>
    <w:p>
      <w:pPr>
        <w:spacing w:after="0" w:line="206" w:lineRule="auto"/>
        <w:rPr>
          <w:sz w:val="20"/>
          <w:szCs w:val="20"/>
          <w:color w:val="auto"/>
        </w:rPr>
      </w:pPr>
      <w:r>
        <w:rPr>
          <w:rFonts w:ascii="Arial" w:cs="Arial" w:eastAsia="Arial" w:hAnsi="Arial"/>
          <w:sz w:val="4"/>
          <w:szCs w:val="4"/>
          <w:color w:val="FFFFFF"/>
        </w:rPr>
        <w:t>GrowthedicallectricalDriversommercial Transportation ther</w:t>
      </w:r>
    </w:p>
    <w:p>
      <w:pPr>
        <w:spacing w:after="0" w:line="182" w:lineRule="auto"/>
        <w:rPr>
          <w:sz w:val="20"/>
          <w:szCs w:val="20"/>
          <w:color w:val="auto"/>
        </w:rPr>
      </w:pPr>
      <w:r>
        <w:rPr>
          <w:rFonts w:ascii="Arial" w:cs="Arial" w:eastAsia="Arial" w:hAnsi="Arial"/>
          <w:sz w:val="9"/>
          <w:szCs w:val="9"/>
          <w:color w:val="FFFFFF"/>
        </w:rPr>
        <w:t>New Capital Cycle: the manufacturing world is coming off of a low period in capital investment. As customers consider make vs. buy decisions, NN is positioned to become the feeder company of choice in our markets.</w:t>
      </w:r>
    </w:p>
    <w:p>
      <w:pPr>
        <w:spacing w:after="0" w:line="205" w:lineRule="auto"/>
        <w:rPr>
          <w:sz w:val="20"/>
          <w:szCs w:val="20"/>
          <w:color w:val="auto"/>
        </w:rPr>
      </w:pPr>
      <w:r>
        <w:rPr>
          <w:rFonts w:ascii="Arial" w:cs="Arial" w:eastAsia="Arial" w:hAnsi="Arial"/>
          <w:sz w:val="4"/>
          <w:szCs w:val="4"/>
          <w:color w:val="FFFFFF"/>
        </w:rPr>
        <w:t>Rigorous global fuel economy requirements.</w:t>
      </w:r>
    </w:p>
    <w:p>
      <w:pPr>
        <w:spacing w:after="0" w:line="182" w:lineRule="auto"/>
        <w:rPr>
          <w:sz w:val="20"/>
          <w:szCs w:val="20"/>
          <w:color w:val="auto"/>
        </w:rPr>
      </w:pPr>
      <w:r>
        <w:rPr>
          <w:rFonts w:ascii="Arial" w:cs="Arial" w:eastAsia="Arial" w:hAnsi="Arial"/>
          <w:sz w:val="7"/>
          <w:szCs w:val="7"/>
          <w:color w:val="FFFFFF"/>
        </w:rPr>
        <w:t>Tier 1 and Tier 2 OEM’</w:t>
      </w:r>
      <w:r>
        <w:rPr>
          <w:rFonts w:ascii="Arial" w:cs="Arial" w:eastAsia="Arial" w:hAnsi="Arial"/>
          <w:sz w:val="9"/>
          <w:szCs w:val="9"/>
          <w:color w:val="FFFFFF"/>
          <w:vertAlign w:val="subscript"/>
        </w:rPr>
        <w:t>infrastructure</w:t>
      </w:r>
      <w:r>
        <w:rPr>
          <w:rFonts w:ascii="Arial" w:cs="Arial" w:eastAsia="Arial" w:hAnsi="Arial"/>
          <w:sz w:val="7"/>
          <w:szCs w:val="7"/>
          <w:color w:val="FFFFFF"/>
        </w:rPr>
        <w:t>arerationalizing with fewer, scalable global suppliers.</w:t>
      </w:r>
    </w:p>
    <w:p>
      <w:pPr>
        <w:spacing w:after="0" w:line="205" w:lineRule="auto"/>
        <w:tabs>
          <w:tab w:leader="none" w:pos="1900" w:val="left"/>
        </w:tabs>
        <w:rPr>
          <w:sz w:val="20"/>
          <w:szCs w:val="20"/>
          <w:color w:val="auto"/>
        </w:rPr>
      </w:pPr>
      <w:r>
        <w:rPr>
          <w:rFonts w:ascii="Arial" w:cs="Arial" w:eastAsia="Arial" w:hAnsi="Arial"/>
          <w:sz w:val="4"/>
          <w:szCs w:val="4"/>
          <w:color w:val="FFFFFF"/>
        </w:rPr>
        <w:t>BlueAgingChippopulationCustomerandBase</w:t>
      </w:r>
      <w:r>
        <w:rPr>
          <w:sz w:val="20"/>
          <w:szCs w:val="20"/>
          <w:color w:val="auto"/>
        </w:rPr>
        <w:tab/>
      </w:r>
      <w:r>
        <w:rPr>
          <w:rFonts w:ascii="Arial" w:cs="Arial" w:eastAsia="Arial" w:hAnsi="Arial"/>
          <w:sz w:val="4"/>
          <w:szCs w:val="4"/>
          <w:color w:val="FFFFFF"/>
        </w:rPr>
        <w:t>will drive growth in medical &amp; electrical end Markets</w:t>
      </w:r>
    </w:p>
    <w:p>
      <w:pPr>
        <w:ind w:right="5180"/>
        <w:spacing w:after="0"/>
        <w:rPr>
          <w:sz w:val="20"/>
          <w:szCs w:val="20"/>
          <w:color w:val="auto"/>
        </w:rPr>
      </w:pPr>
      <w:r>
        <w:rPr>
          <w:rFonts w:ascii="Arial" w:cs="Arial" w:eastAsia="Arial" w:hAnsi="Arial"/>
          <w:sz w:val="5"/>
          <w:szCs w:val="5"/>
          <w:color w:val="FFFFFF"/>
        </w:rPr>
        <w:t>1 – Include NN 2015 full year estimates &amp; LTM ending June 30, 2015 P.E.P pro forma for the 12 month period 2—Gross Margin = Gross Profit (excluding depreciation) ÷ Net Sales adjustments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FFFFFF"/>
        </w:rPr>
        <w:t>3 – Excludes expenses not expected to recur post acquisition &amp; expected synergies</w:t>
      </w:r>
    </w:p>
    <w:p>
      <w:pPr>
        <w:sectPr>
          <w:pgSz w:w="11900" w:h="16838" w:orient="portrait"/>
          <w:cols w:equalWidth="0" w:num="1">
            <w:col w:w="11000"/>
          </w:cols>
          <w:pgMar w:left="240" w:top="1440" w:right="6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Summary</w:t>
      </w:r>
    </w:p>
    <w:p>
      <w:pPr>
        <w:spacing w:after="0" w:line="204" w:lineRule="auto"/>
        <w:rPr>
          <w:sz w:val="20"/>
          <w:szCs w:val="20"/>
          <w:color w:val="auto"/>
        </w:rPr>
      </w:pPr>
      <w:r>
        <w:rPr>
          <w:rFonts w:ascii="Arial" w:cs="Arial" w:eastAsia="Arial" w:hAnsi="Arial"/>
          <w:sz w:val="4"/>
          <w:szCs w:val="4"/>
          <w:color w:val="FFFFFF"/>
        </w:rPr>
        <w:t>MarginOutstandingaccretivecompanywith withsignificantattractiveroomendformarketexpansionportfolio that balances our business</w:t>
      </w:r>
    </w:p>
    <w:p>
      <w:pPr>
        <w:spacing w:after="0" w:line="205" w:lineRule="auto"/>
        <w:rPr>
          <w:sz w:val="20"/>
          <w:szCs w:val="20"/>
          <w:color w:val="auto"/>
        </w:rPr>
      </w:pPr>
      <w:r>
        <w:rPr>
          <w:rFonts w:ascii="Arial" w:cs="Arial" w:eastAsia="Arial" w:hAnsi="Arial"/>
          <w:sz w:val="4"/>
          <w:szCs w:val="4"/>
          <w:color w:val="FFFFFF"/>
        </w:rPr>
        <w:t>Immediately accretive to EPS</w:t>
      </w:r>
    </w:p>
    <w:p>
      <w:pPr>
        <w:spacing w:after="0"/>
        <w:rPr>
          <w:sz w:val="20"/>
          <w:szCs w:val="20"/>
          <w:color w:val="auto"/>
        </w:rPr>
      </w:pPr>
      <w:r>
        <w:rPr>
          <w:rFonts w:ascii="Arial" w:cs="Arial" w:eastAsia="Arial" w:hAnsi="Arial"/>
          <w:sz w:val="12"/>
          <w:szCs w:val="12"/>
          <w:color w:val="FFFFFF"/>
        </w:rPr>
        <w:t>Strong free cash flow generation with significantly lower capital spending profile</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FFFFFF"/>
        </w:rPr>
        <w:t>Non-GAAP to GAAP Reconciliations</w:t>
      </w:r>
    </w:p>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FFFFFF"/>
        </w:rPr>
        <w:t>Non-GAAP to GAAP Reconciliations</w:t>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8"/>
          <w:szCs w:val="8"/>
          <w:color w:val="FFFFFF"/>
        </w:rPr>
        <w:t>AugustPrecision17,Engineered2015 Products Acquisition</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2019-12-06T10:32:41Z</dcterms:created>
  <dcterms:modified xsi:type="dcterms:W3CDTF">2019-12-06T10:32:41Z</dcterms:modified>
</cp:coreProperties>
</file>