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260" w:firstLine="441"/>
        <w:spacing w:after="0" w:line="257" w:lineRule="auto"/>
        <w:rPr>
          <w:sz w:val="20"/>
          <w:szCs w:val="20"/>
          <w:color w:val="auto"/>
        </w:rPr>
      </w:pPr>
      <w:r>
        <w:rPr>
          <w:rFonts w:ascii="Arial" w:cs="Arial" w:eastAsia="Arial" w:hAnsi="Arial"/>
          <w:sz w:val="18"/>
          <w:szCs w:val="18"/>
          <w:color w:val="auto"/>
        </w:rPr>
        <w:t>On December 26, 2018, NN, Inc., a Delaware corporation (the “Company”), certain Company subsidiaries named therein, SunTrust Bank, as administrative agent (“SunTrust”), and certain lenders named therein entered into that certain Amendment No. 5 to the Amended and Restated Credit Agreement (the “Amendment”), which amended the Company’s existing amended and restated credit agreement, dated as of September 30, 2016, by and among the Company, SunTrust, as administrative agent, and certain lenders from time to time party thereto (as amended, the “Amended and Restated Credit Agreement”).</w:t>
      </w:r>
    </w:p>
    <w:p>
      <w:pPr>
        <w:spacing w:after="0" w:line="188"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The Amendment (i) increases the amount available under the Company’s senior secured revolver from $100 million to $125 million, and (ii) lowers the Consolidated Net Leverage Ratio for quarterly periods ending on or after December 31, 2018.</w:t>
      </w:r>
    </w:p>
    <w:p>
      <w:pPr>
        <w:spacing w:after="0" w:line="170"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Amendment, which is included as Exhibit 10.1 hereto and incorporated herein by reference.</w:t>
      </w:r>
    </w:p>
    <w:p>
      <w:pPr>
        <w:spacing w:after="0" w:line="315" w:lineRule="exact"/>
        <w:rPr>
          <w:sz w:val="20"/>
          <w:szCs w:val="20"/>
          <w:color w:val="auto"/>
        </w:rPr>
      </w:pPr>
    </w:p>
    <w:p>
      <w:pPr>
        <w:ind w:left="1320" w:right="44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20" w:type="dxa"/>
            <w:vAlign w:val="bottom"/>
          </w:tcPr>
          <w:p>
            <w:pPr>
              <w:spacing w:after="0"/>
              <w:rPr>
                <w:sz w:val="14"/>
                <w:szCs w:val="14"/>
                <w:color w:val="auto"/>
              </w:rPr>
            </w:pPr>
          </w:p>
        </w:tc>
        <w:tc>
          <w:tcPr>
            <w:tcW w:w="9980" w:type="dxa"/>
            <w:vAlign w:val="bottom"/>
            <w:gridSpan w:val="4"/>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20" w:type="dxa"/>
            <w:vAlign w:val="bottom"/>
          </w:tcPr>
          <w:p>
            <w:pPr>
              <w:spacing w:after="0"/>
              <w:rPr>
                <w:sz w:val="14"/>
                <w:szCs w:val="14"/>
                <w:color w:val="auto"/>
              </w:rPr>
            </w:pPr>
          </w:p>
        </w:tc>
        <w:tc>
          <w:tcPr>
            <w:tcW w:w="9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w w:val="85"/>
              </w:rPr>
              <w:t>10.1</w:t>
            </w:r>
          </w:p>
        </w:tc>
        <w:tc>
          <w:tcPr>
            <w:tcW w:w="520" w:type="dxa"/>
            <w:vAlign w:val="bottom"/>
          </w:tcPr>
          <w:p>
            <w:pPr>
              <w:spacing w:after="0"/>
              <w:rPr>
                <w:sz w:val="24"/>
                <w:szCs w:val="24"/>
                <w:color w:val="auto"/>
              </w:rPr>
            </w:pPr>
          </w:p>
        </w:tc>
        <w:tc>
          <w:tcPr>
            <w:tcW w:w="99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Amendment No. 5 to Amended and Restated Credit Agreement, dated as of December 26, 2018, by and among NN, Inc., certain NN,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8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subsidiaries named therein, SunTrust Bank, as administrative agent, and certain lenders named therein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26, 2018</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5 TO AMENDED AND RESTATED CREDIT AGREEMENT</w:t>
      </w:r>
    </w:p>
    <w:p>
      <w:pPr>
        <w:spacing w:after="0" w:line="225" w:lineRule="exact"/>
        <w:rPr>
          <w:sz w:val="20"/>
          <w:szCs w:val="20"/>
          <w:color w:val="auto"/>
        </w:rPr>
      </w:pPr>
    </w:p>
    <w:p>
      <w:pPr>
        <w:ind w:right="100" w:firstLine="881"/>
        <w:spacing w:after="0" w:line="264" w:lineRule="auto"/>
        <w:rPr>
          <w:sz w:val="20"/>
          <w:szCs w:val="20"/>
          <w:color w:val="auto"/>
        </w:rPr>
      </w:pPr>
      <w:r>
        <w:rPr>
          <w:rFonts w:ascii="Arial" w:cs="Arial" w:eastAsia="Arial" w:hAnsi="Arial"/>
          <w:sz w:val="18"/>
          <w:szCs w:val="18"/>
          <w:color w:val="auto"/>
        </w:rPr>
        <w:t>This AMENDMENT NO. 5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December 26, 2018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the Lenders signatory hereto that are party to the Credit Agreement referred to below and SunTrust Bank,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881"/>
        <w:spacing w:after="0" w:line="290" w:lineRule="auto"/>
        <w:rPr>
          <w:sz w:val="20"/>
          <w:szCs w:val="20"/>
          <w:color w:val="auto"/>
        </w:rPr>
      </w:pPr>
      <w:r>
        <w:rPr>
          <w:rFonts w:ascii="Arial" w:cs="Arial" w:eastAsia="Arial" w:hAnsi="Arial"/>
          <w:sz w:val="16"/>
          <w:szCs w:val="16"/>
          <w:color w:val="auto"/>
        </w:rPr>
        <w:t>WHEREAS, reference is hereby made to the Amended and Restated Credit Agreement, dated as of September 30, 2016 (as amended by the Incremental Amendment to Amended and Restated Credit Agreement, dated as of October 31, 2016, Amendment No. 1 to Amended and Restated Credit Agreement, dated as of April 3, 2017, Amendment No. 2 to Amended and Restated Credit Agreement, dated as of August 15, 2017, Amendment No. 3 to Amended and Restated Credit Agreement, dated as of November 24, 2017 and Amendment No. 4 to Amended and Restated Credit Agreement, dated as of May 7, 2018, and as the same may be further amended, restated, amended and restated, supplemented, extended, refinanced or otherwise modified prior to the date hereof,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Borrower, the Lenders party thereto, the Administrative Agent and the other parties from time to time party thereto. Capitalized terms used in this Amendment but not defined herein shall have the meaning assigned to such terms in the Credit Agreement, as amended by this Amendment (as so amended,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w:t>
      </w:r>
    </w:p>
    <w:p>
      <w:pPr>
        <w:spacing w:after="0" w:line="166"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WHEREAS, the Borrower has requested that the Credit Agreement be amended to, among other things, modify the financial covenant set forth therein, pursuant to the terms of the Credit Agreement; and</w:t>
      </w:r>
    </w:p>
    <w:p>
      <w:pPr>
        <w:spacing w:after="0" w:line="170"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of the Credit Agreement, (a) the consent of each Revolving Credit Lender is required for the effectiveness of certain of the amendments to the Credit Agreement set forth in Section 2 herein and (b) the consent of the Required Revolving Lenders is required for the effectiveness of amendments to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of the Credit Agreement set forth in Section 2 herein, and each Revolving Credit Lender party hereto, constituting all of the Revolving Credit Lenders under the Credit Agreement on the date hereof, has agreed to the amendments to the Credit Agreement set forth in Section 2 herein as evidenced by its signature to this Amendment.</w:t>
      </w:r>
    </w:p>
    <w:p>
      <w:pPr>
        <w:sectPr>
          <w:pgSz w:w="11900" w:h="16838" w:orient="portrait"/>
          <w:cols w:equalWidth="0" w:num="1">
            <w:col w:w="11020"/>
          </w:cols>
          <w:pgMar w:left="440" w:top="125"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In consideration of the premises and mutual covenants herein and for other valuable consideration, the Borrower, the Administrative Agent and the Revolving Credit Lenders party hereto agree as follows:</w:t>
      </w:r>
    </w:p>
    <w:p>
      <w:pPr>
        <w:spacing w:after="0" w:line="170"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w:t>
      </w:r>
    </w:p>
    <w:p>
      <w:pPr>
        <w:spacing w:after="0" w:line="17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33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17"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The following definitions are hereby added to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in appropriate alphabetical order:</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Fifth Amendment</w:t>
      </w:r>
      <w:r>
        <w:rPr>
          <w:rFonts w:ascii="Arial" w:cs="Arial" w:eastAsia="Arial" w:hAnsi="Arial"/>
          <w:sz w:val="17"/>
          <w:szCs w:val="17"/>
          <w:color w:val="auto"/>
        </w:rPr>
        <w:t>” means the Fifth Amendment to Amended and Restated Credit Agreement dated as of December 26, 2018.</w:t>
      </w:r>
    </w:p>
    <w:p>
      <w:pPr>
        <w:spacing w:after="0" w:line="129" w:lineRule="exact"/>
        <w:rPr>
          <w:sz w:val="20"/>
          <w:szCs w:val="20"/>
          <w:color w:val="auto"/>
        </w:rPr>
      </w:pPr>
    </w:p>
    <w:p>
      <w:pPr>
        <w:ind w:left="880" w:right="40" w:firstLine="40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 Arranger</w:t>
      </w:r>
      <w:r>
        <w:rPr>
          <w:rFonts w:ascii="Arial" w:cs="Arial" w:eastAsia="Arial" w:hAnsi="Arial"/>
          <w:sz w:val="18"/>
          <w:szCs w:val="18"/>
          <w:color w:val="auto"/>
        </w:rPr>
        <w:t>” means SunTrust Robinson Humphrey, Inc., in its capacity as sole Lead Arranger and Bookrunner for the Fifth Amendment.</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means December 26, 2018.</w:t>
      </w:r>
    </w:p>
    <w:p>
      <w:pPr>
        <w:spacing w:after="0" w:line="117" w:lineRule="exact"/>
        <w:rPr>
          <w:sz w:val="20"/>
          <w:szCs w:val="20"/>
          <w:color w:val="auto"/>
        </w:rPr>
      </w:pPr>
    </w:p>
    <w:p>
      <w:pPr>
        <w:ind w:left="440" w:right="80" w:firstLine="851"/>
        <w:spacing w:after="0" w:line="277" w:lineRule="auto"/>
        <w:tabs>
          <w:tab w:leader="none" w:pos="167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definition of “Revolving Credit Commitments”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by replacing the final sentence thereof in its entirety with the following:</w:t>
      </w:r>
    </w:p>
    <w:p>
      <w:pPr>
        <w:spacing w:after="0" w:line="62" w:lineRule="exact"/>
        <w:rPr>
          <w:sz w:val="20"/>
          <w:szCs w:val="20"/>
          <w:color w:val="auto"/>
        </w:rPr>
      </w:pPr>
    </w:p>
    <w:p>
      <w:pPr>
        <w:ind w:left="880" w:right="80"/>
        <w:spacing w:after="0" w:line="259" w:lineRule="auto"/>
        <w:rPr>
          <w:sz w:val="20"/>
          <w:szCs w:val="20"/>
          <w:color w:val="auto"/>
        </w:rPr>
      </w:pPr>
      <w:r>
        <w:rPr>
          <w:rFonts w:ascii="Arial" w:cs="Arial" w:eastAsia="Arial" w:hAnsi="Arial"/>
          <w:sz w:val="18"/>
          <w:szCs w:val="18"/>
          <w:color w:val="auto"/>
        </w:rPr>
        <w:t xml:space="preserve">“From the Fifth Amendment Effective Date until the Revolving Credit Restoration Date, the Revolving Credit Commitment of each Lender shall be deemed decreased for the purposes of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(but not, for the avoidance of doubt, </w:t>
      </w:r>
      <w:r>
        <w:rPr>
          <w:rFonts w:ascii="Arial" w:cs="Arial" w:eastAsia="Arial" w:hAnsi="Arial"/>
          <w:sz w:val="18"/>
          <w:szCs w:val="18"/>
          <w:u w:val="single" w:color="auto"/>
          <w:color w:val="auto"/>
        </w:rPr>
        <w:t>Section 2.09</w:t>
      </w:r>
      <w:r>
        <w:rPr>
          <w:rFonts w:ascii="Arial" w:cs="Arial" w:eastAsia="Arial" w:hAnsi="Arial"/>
          <w:sz w:val="18"/>
          <w:szCs w:val="18"/>
          <w:color w:val="auto"/>
        </w:rPr>
        <w:t>) by such Lender’s ratable share of the amount by which the aggregate Revolving Credit Commitments (determined without reference to this sentence) exceed $125,000,000.”</w:t>
      </w:r>
    </w:p>
    <w:p>
      <w:pPr>
        <w:spacing w:after="0" w:line="295"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Negative Covenants</w:t>
      </w:r>
      <w:r>
        <w:rPr>
          <w:rFonts w:ascii="Arial" w:cs="Arial" w:eastAsia="Arial" w:hAnsi="Arial"/>
          <w:sz w:val="15"/>
          <w:szCs w:val="15"/>
          <w:color w:val="auto"/>
        </w:rPr>
        <w:t>.</w:t>
      </w:r>
    </w:p>
    <w:p>
      <w:pPr>
        <w:spacing w:after="0" w:line="117"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 xml:space="preserve">Section 7.14 </w:t>
      </w:r>
      <w:r>
        <w:rPr>
          <w:rFonts w:ascii="Arial" w:cs="Arial" w:eastAsia="Arial" w:hAnsi="Arial"/>
          <w:sz w:val="16"/>
          <w:szCs w:val="16"/>
          <w:color w:val="auto"/>
        </w:rPr>
        <w:t>of the Credit Agreement is hereby restated in its entirety as follows:</w:t>
      </w:r>
    </w:p>
    <w:p>
      <w:pPr>
        <w:spacing w:after="0" w:line="117" w:lineRule="exact"/>
        <w:rPr>
          <w:sz w:val="20"/>
          <w:szCs w:val="20"/>
          <w:color w:val="auto"/>
        </w:rPr>
      </w:pPr>
    </w:p>
    <w:p>
      <w:pPr>
        <w:ind w:left="880" w:firstLine="405"/>
        <w:spacing w:after="0" w:line="270" w:lineRule="auto"/>
        <w:rPr>
          <w:sz w:val="20"/>
          <w:szCs w:val="20"/>
          <w:color w:val="auto"/>
        </w:rPr>
      </w:pPr>
      <w:r>
        <w:rPr>
          <w:rFonts w:ascii="Arial" w:cs="Arial" w:eastAsia="Arial" w:hAnsi="Arial"/>
          <w:sz w:val="17"/>
          <w:szCs w:val="17"/>
          <w:color w:val="auto"/>
        </w:rPr>
        <w:t xml:space="preserve">“7.14 </w:t>
      </w:r>
      <w:r>
        <w:rPr>
          <w:rFonts w:ascii="Arial" w:cs="Arial" w:eastAsia="Arial" w:hAnsi="Arial"/>
          <w:sz w:val="17"/>
          <w:szCs w:val="17"/>
          <w:u w:val="single" w:color="auto"/>
          <w:color w:val="auto"/>
        </w:rPr>
        <w:t>Financial Covenant.</w:t>
      </w:r>
      <w:r>
        <w:rPr>
          <w:rFonts w:ascii="Arial" w:cs="Arial" w:eastAsia="Arial" w:hAnsi="Arial"/>
          <w:sz w:val="17"/>
          <w:szCs w:val="17"/>
          <w:color w:val="auto"/>
        </w:rPr>
        <w:t xml:space="preserve"> For the benefit of the Revolving Credit Lenders, the Swing Line Lender and the L/C Issuers only (and the Administrative Agent on their behalf), permit the Consolidated Net Leverage Ratio of the Borrower and its Subsidiaries as of the last day of any fiscal quarter of the Borrower to exceed the Consolidated Net Leverage Ratio set forth in the applicable fiscal quarter below if the aggregate Revolving Credit Exposure (excluding any Revolving Credit Exposure in respect of any existing Letter of Credit with respect to precious metals or any Letter of Credit (a) which has been cash collateralized in an amount equal to 103% or more of the maximum stated amount of such Letter of Credit and (b) which remains undrawn;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Revolving Credit Exposure in respect of any such Letters of Credit that have not been cash collateralized as set forth in the foregoing clause (a) shall only be excluded to the extent the aggregate Revolving Credit Exposure of all such Letters of Credit excluded pursuant to this clause (b) does not exceed $5,000,000) outstanding as of the last day of such fiscal quarter exceeds $0.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1780" w:type="dxa"/>
        <w:tblCellMar>
          <w:top w:w="0" w:type="dxa"/>
          <w:left w:w="0" w:type="dxa"/>
          <w:bottom w:w="0" w:type="dxa"/>
          <w:right w:w="0" w:type="dxa"/>
        </w:tblCellMar>
      </w:tblPr>
      <w:tr>
        <w:trPr>
          <w:trHeight w:val="19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Quarter</w:t>
            </w:r>
          </w:p>
        </w:tc>
        <w:tc>
          <w:tcPr>
            <w:tcW w:w="300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Consolidated Net Leverage Ratio</w:t>
            </w: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September 30, 2018</w:t>
            </w:r>
          </w:p>
        </w:tc>
        <w:tc>
          <w:tcPr>
            <w:tcW w:w="3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6.00 to 1.00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 to 1.00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 and thereafter</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 to 1.00</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80"/>
        <w:spacing w:after="0"/>
        <w:tabs>
          <w:tab w:leader="none" w:pos="17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Conditions to Effectiveness</w:t>
      </w:r>
      <w:r>
        <w:rPr>
          <w:rFonts w:ascii="Arial" w:cs="Arial" w:eastAsia="Arial" w:hAnsi="Arial"/>
          <w:sz w:val="16"/>
          <w:szCs w:val="16"/>
          <w:color w:val="auto"/>
        </w:rPr>
        <w:t>.</w:t>
      </w:r>
    </w:p>
    <w:p>
      <w:pPr>
        <w:spacing w:after="0" w:line="117"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3.1 This Amendment shall become effective on the date (such date, the “</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that the following conditions shall have been satisfied:</w:t>
      </w:r>
    </w:p>
    <w:p>
      <w:pPr>
        <w:spacing w:after="0" w:line="62" w:lineRule="exact"/>
        <w:rPr>
          <w:sz w:val="20"/>
          <w:szCs w:val="20"/>
          <w:color w:val="auto"/>
        </w:rPr>
      </w:pPr>
    </w:p>
    <w:p>
      <w:pPr>
        <w:ind w:left="440" w:firstLine="851"/>
        <w:spacing w:after="0" w:line="308" w:lineRule="auto"/>
        <w:tabs>
          <w:tab w:leader="none" w:pos="166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Administrative Agent (or its counsel) shall have received counterparts of this Amendment that, when taken together, bear the signatures of (A) each Revolving Credit Lender, (B) the Administrative Agent, (C) the Borrower and (D) the Guarantors;</w:t>
      </w:r>
    </w:p>
    <w:p>
      <w:pPr>
        <w:spacing w:after="0" w:line="38" w:lineRule="exact"/>
        <w:rPr>
          <w:rFonts w:ascii="Arial" w:cs="Arial" w:eastAsia="Arial" w:hAnsi="Arial"/>
          <w:sz w:val="17"/>
          <w:szCs w:val="17"/>
          <w:color w:val="auto"/>
        </w:rPr>
      </w:pPr>
    </w:p>
    <w:p>
      <w:pPr>
        <w:ind w:left="440" w:right="620" w:firstLine="851"/>
        <w:spacing w:after="0" w:line="286" w:lineRule="auto"/>
        <w:tabs>
          <w:tab w:leader="none" w:pos="167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Administrative Agent shall have received from the Borrower all reasonable and documented out-of-pocket expenses (including the reasonable fees and expenses of counsel for the Administrative Agent and the Arrangers) incurred in connection with this Amendment to the extent invoiced one business day prior to the Fifth Amendment Effective Date;</w:t>
      </w:r>
    </w:p>
    <w:p>
      <w:pPr>
        <w:spacing w:after="0" w:line="57" w:lineRule="exact"/>
        <w:rPr>
          <w:rFonts w:ascii="Arial" w:cs="Arial" w:eastAsia="Arial" w:hAnsi="Arial"/>
          <w:sz w:val="17"/>
          <w:szCs w:val="17"/>
          <w:color w:val="auto"/>
        </w:rPr>
      </w:pPr>
    </w:p>
    <w:p>
      <w:pPr>
        <w:ind w:left="440" w:firstLine="851"/>
        <w:spacing w:after="0" w:line="254" w:lineRule="auto"/>
        <w:tabs>
          <w:tab w:leader="none" w:pos="166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Administrative Agent shall have received: (A) a certified copy of the Certificate or Articles of Incorporation or equivalent formation document of each Loan Party and any and all material amendments and restatements thereof, certified as of a recent date, in the case of the Certificate or Articles of Incorporation or equivalent formation document of the Borrower and each other Loan Party requested by the Administrative Agent, by the relevant Secretary of State of organization or formation (and to the extent such certified copies are not requested by the Administrative Agent, certified by the secretary of the relevant Loan Party); and (B) a copy of a good standing certificate, certificate of existence or other evidence of existence or formation in the jurisdiction of organization from the Secretary of State of the state of organization, dated as of a recent date, from each Loan Party listing all charter documents affecting such Loan Party and certifying as to the good standing of such Loan Party;</w:t>
      </w:r>
    </w:p>
    <w:p>
      <w:pPr>
        <w:spacing w:after="0" w:line="84" w:lineRule="exact"/>
        <w:rPr>
          <w:rFonts w:ascii="Arial" w:cs="Arial" w:eastAsia="Arial" w:hAnsi="Arial"/>
          <w:sz w:val="18"/>
          <w:szCs w:val="18"/>
          <w:color w:val="auto"/>
        </w:rPr>
      </w:pPr>
    </w:p>
    <w:p>
      <w:pPr>
        <w:ind w:left="440" w:right="140" w:firstLine="851"/>
        <w:spacing w:after="0" w:line="277" w:lineRule="auto"/>
        <w:tabs>
          <w:tab w:leader="none" w:pos="167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Borrower, dated as of the Fifth Amendment Effective Date, certifying that the conditions set forth in clauses (f) and (g) of this Section 3.1 have been satisfied;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65" w:right="519" w:bottom="1440" w:gutter="0" w:footer="0" w:header="0"/>
        </w:sectPr>
      </w:pPr>
    </w:p>
    <w:bookmarkStart w:id="6" w:name="page7"/>
    <w:bookmarkEnd w:id="6"/>
    <w:p>
      <w:pPr>
        <w:ind w:left="440" w:right="180" w:firstLine="851"/>
        <w:spacing w:after="0" w:line="264" w:lineRule="auto"/>
        <w:tabs>
          <w:tab w:leader="none" w:pos="166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such opinions of counsel from counsel to the Loan Parties, each of which shall be addressed to the Administrative Agent and the Lenders and dated the Fifth Amendment Effective Date and in form and substance reasonably satisfactory to the Administrative Agent; and</w:t>
      </w:r>
    </w:p>
    <w:p>
      <w:pPr>
        <w:spacing w:after="0" w:line="73" w:lineRule="exact"/>
        <w:rPr>
          <w:rFonts w:ascii="Arial" w:cs="Arial" w:eastAsia="Arial" w:hAnsi="Arial"/>
          <w:sz w:val="18"/>
          <w:szCs w:val="18"/>
          <w:color w:val="auto"/>
        </w:rPr>
      </w:pPr>
    </w:p>
    <w:p>
      <w:pPr>
        <w:ind w:left="440" w:right="140" w:firstLine="851"/>
        <w:spacing w:after="0" w:line="293" w:lineRule="auto"/>
        <w:tabs>
          <w:tab w:leader="none" w:pos="1646"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Credit Agreement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Fifth Amendment Effective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 and</w:t>
      </w:r>
    </w:p>
    <w:p>
      <w:pPr>
        <w:spacing w:after="0" w:line="56" w:lineRule="exact"/>
        <w:rPr>
          <w:rFonts w:ascii="Arial" w:cs="Arial" w:eastAsia="Arial" w:hAnsi="Arial"/>
          <w:sz w:val="16"/>
          <w:szCs w:val="16"/>
          <w:color w:val="auto"/>
        </w:rPr>
      </w:pPr>
    </w:p>
    <w:p>
      <w:pPr>
        <w:ind w:left="1680" w:hanging="389"/>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both before and immediately after giving effect to this Amendment, there shall exist no Default or Event of Default.</w:t>
      </w:r>
    </w:p>
    <w:p>
      <w:pPr>
        <w:spacing w:after="0" w:line="22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Acknowledgments and Affirmations of the Loan Parties</w:t>
      </w:r>
      <w:r>
        <w:rPr>
          <w:rFonts w:ascii="Arial" w:cs="Arial" w:eastAsia="Arial" w:hAnsi="Arial"/>
          <w:sz w:val="17"/>
          <w:szCs w:val="17"/>
          <w:color w:val="auto"/>
        </w:rPr>
        <w:t xml:space="preserve">. Each Loan Party hereby expressly acknowledges the terms of this Amendment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 (ii) its guarantee of the Obligations under the Guaranty and (iii) its grant of Liens on the Collateral to secure the Obligations pursuant to the Collateral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and after the effectiveness of this Amendment, each reference in the Guaranty and in each of the other Loan Documents to “the Credit Agreement,” “thereunder”, “thereof” or words of like import shall mean and be a reference to the Amended Credit Agreement. Without limiting the generality of the foregoing, the Collateral Documents to which such Loan Party is a party and all of the Collateral described therein do, and shall continue to secure, payment of all of the Obligations.</w:t>
      </w:r>
    </w:p>
    <w:p>
      <w:pPr>
        <w:spacing w:after="0" w:line="28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17"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and each Guarantor, by signing below, hereby represents and warrants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and the Lenders that:</w:t>
      </w:r>
    </w:p>
    <w:p>
      <w:pPr>
        <w:spacing w:after="0" w:line="103" w:lineRule="exact"/>
        <w:rPr>
          <w:sz w:val="20"/>
          <w:szCs w:val="20"/>
          <w:color w:val="auto"/>
        </w:rPr>
      </w:pPr>
    </w:p>
    <w:p>
      <w:pPr>
        <w:ind w:left="1640" w:hanging="349"/>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880" w:right="180" w:firstLine="411"/>
        <w:spacing w:after="0" w:line="277" w:lineRule="auto"/>
        <w:tabs>
          <w:tab w:leader="none" w:pos="168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jc w:val="both"/>
        <w:ind w:left="880" w:right="140" w:firstLine="411"/>
        <w:spacing w:after="0" w:line="279" w:lineRule="auto"/>
        <w:tabs>
          <w:tab w:leader="none" w:pos="173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of the Credit Agreement) upon any assets or property of any Loan Party under the provisions of, (a) such Loan Party’s Organization Documents, (b) any material agreement to which any Loan Party is a party, (c) any order, injunction,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ind w:left="880"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73" w:lineRule="exact"/>
        <w:rPr>
          <w:sz w:val="20"/>
          <w:szCs w:val="20"/>
          <w:color w:val="auto"/>
        </w:rPr>
      </w:pPr>
    </w:p>
    <w:p>
      <w:pPr>
        <w:jc w:val="both"/>
        <w:ind w:left="880" w:firstLine="411"/>
        <w:spacing w:after="0" w:line="264" w:lineRule="auto"/>
        <w:tabs>
          <w:tab w:leader="none" w:pos="172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w:t>
      </w:r>
    </w:p>
    <w:p>
      <w:pPr>
        <w:spacing w:after="0" w:line="73" w:lineRule="exact"/>
        <w:rPr>
          <w:rFonts w:ascii="Arial" w:cs="Arial" w:eastAsia="Arial" w:hAnsi="Arial"/>
          <w:sz w:val="18"/>
          <w:szCs w:val="18"/>
          <w:color w:val="auto"/>
        </w:rPr>
      </w:pPr>
    </w:p>
    <w:p>
      <w:pPr>
        <w:ind w:left="880" w:right="580" w:firstLine="411"/>
        <w:spacing w:after="0" w:line="277" w:lineRule="auto"/>
        <w:tabs>
          <w:tab w:leader="none" w:pos="1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Amendment or by the performance or observance of any provision hereof; and</w:t>
      </w:r>
    </w:p>
    <w:p>
      <w:pPr>
        <w:spacing w:after="0" w:line="62" w:lineRule="exact"/>
        <w:rPr>
          <w:rFonts w:ascii="Arial" w:cs="Arial" w:eastAsia="Arial" w:hAnsi="Arial"/>
          <w:sz w:val="18"/>
          <w:szCs w:val="18"/>
          <w:color w:val="auto"/>
        </w:rPr>
      </w:pPr>
    </w:p>
    <w:p>
      <w:pPr>
        <w:ind w:left="880" w:right="60" w:firstLine="411"/>
        <w:spacing w:after="0" w:line="276" w:lineRule="auto"/>
        <w:tabs>
          <w:tab w:leader="none" w:pos="172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each of the representations and warranties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is true and correct in all material respects (or, with respect to representations and warranties modified by a materiality or Material Adverse Effect standard, in all respects) as of the date hereof, except to the extent that any thereof expressly relate to an earlier date, in which case such representations and warranties shall have been true and correct in all material respects (or, with respect to representations and warranties modified by a materiality or Material Adverse Effect standard, in all respects) as of the date when made.</w:t>
      </w:r>
    </w:p>
    <w:p>
      <w:pPr>
        <w:spacing w:after="0" w:line="173"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 Agreement Unaffected</w:t>
      </w:r>
      <w:r>
        <w:rPr>
          <w:rFonts w:ascii="Arial" w:cs="Arial" w:eastAsia="Arial" w:hAnsi="Arial"/>
          <w:sz w:val="18"/>
          <w:szCs w:val="18"/>
          <w:color w:val="auto"/>
        </w:rPr>
        <w:t>. Each reference to the Credit Agreement or in any other Loan Document shall hereafter be construed as a reference to the Credit Agreement as amended hereby. Except as herein otherwise specifically provided, all provisions of the Credit Agreement shall remain in full force and effect and be unaffected hereby. This Amendment is a Loan Document.</w:t>
      </w:r>
    </w:p>
    <w:p>
      <w:pPr>
        <w:spacing w:after="0" w:line="181"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Guarantor Acknowledgment</w:t>
      </w:r>
      <w:r>
        <w:rPr>
          <w:rFonts w:ascii="Arial" w:cs="Arial" w:eastAsia="Arial" w:hAnsi="Arial"/>
          <w:sz w:val="16"/>
          <w:szCs w:val="16"/>
          <w:color w:val="auto"/>
        </w:rPr>
        <w:t>. Each Guarantor, by signing this Amendment:</w:t>
      </w:r>
    </w:p>
    <w:p>
      <w:pPr>
        <w:spacing w:after="0" w:line="117" w:lineRule="exact"/>
        <w:rPr>
          <w:sz w:val="20"/>
          <w:szCs w:val="20"/>
          <w:color w:val="auto"/>
        </w:rPr>
      </w:pPr>
    </w:p>
    <w:p>
      <w:pPr>
        <w:ind w:left="1640" w:hanging="349"/>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17" w:lineRule="exact"/>
        <w:rPr>
          <w:rFonts w:ascii="Arial" w:cs="Arial" w:eastAsia="Arial" w:hAnsi="Arial"/>
          <w:sz w:val="18"/>
          <w:szCs w:val="18"/>
          <w:color w:val="auto"/>
        </w:rPr>
      </w:pPr>
    </w:p>
    <w:p>
      <w:pPr>
        <w:ind w:left="880" w:firstLine="411"/>
        <w:spacing w:after="0" w:line="264" w:lineRule="auto"/>
        <w:tabs>
          <w:tab w:leader="none" w:pos="168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73" w:lineRule="exact"/>
        <w:rPr>
          <w:rFonts w:ascii="Arial" w:cs="Arial" w:eastAsia="Arial" w:hAnsi="Arial"/>
          <w:sz w:val="18"/>
          <w:szCs w:val="18"/>
          <w:color w:val="auto"/>
        </w:rPr>
      </w:pPr>
    </w:p>
    <w:p>
      <w:pPr>
        <w:ind w:left="880" w:right="160" w:firstLine="411"/>
        <w:spacing w:after="0" w:line="259" w:lineRule="auto"/>
        <w:tabs>
          <w:tab w:leader="none" w:pos="17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and warrants to the Administrative Agent and the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78" w:lineRule="exact"/>
        <w:rPr>
          <w:rFonts w:ascii="Arial" w:cs="Arial" w:eastAsia="Arial" w:hAnsi="Arial"/>
          <w:sz w:val="18"/>
          <w:szCs w:val="18"/>
          <w:color w:val="auto"/>
        </w:rPr>
      </w:pPr>
    </w:p>
    <w:p>
      <w:pPr>
        <w:ind w:left="880" w:right="100" w:firstLine="411"/>
        <w:spacing w:after="0" w:line="277" w:lineRule="auto"/>
        <w:tabs>
          <w:tab w:leader="none" w:pos="159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acknowledges and agrees that (A) notwithstanding the conditions to effectiveness set forth in this Amendment, such Guarantor is not required by the terms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880"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47" w:lineRule="exact"/>
        <w:rPr>
          <w:sz w:val="20"/>
          <w:szCs w:val="20"/>
          <w:color w:val="auto"/>
        </w:rPr>
      </w:pPr>
    </w:p>
    <w:p>
      <w:pPr>
        <w:jc w:val="both"/>
        <w:ind w:right="200" w:firstLine="881"/>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Waiver</w:t>
      </w:r>
      <w:r>
        <w:rPr>
          <w:rFonts w:ascii="Arial" w:cs="Arial" w:eastAsia="Arial" w:hAnsi="Arial"/>
          <w:sz w:val="18"/>
          <w:szCs w:val="18"/>
          <w:color w:val="auto"/>
        </w:rPr>
        <w:t>. The Borrower and each Guarantor, by signing below, hereby waives and releases the Administrative Agent and each of the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187" w:lineRule="exact"/>
        <w:rPr>
          <w:sz w:val="20"/>
          <w:szCs w:val="20"/>
          <w:color w:val="auto"/>
        </w:rPr>
      </w:pPr>
    </w:p>
    <w:p>
      <w:pPr>
        <w:jc w:val="both"/>
        <w:ind w:right="240" w:firstLine="881"/>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81"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(including in a “.pdf” format) shall be effective as delivery of a manually executed counterpart of this Amendment.</w:t>
      </w:r>
    </w:p>
    <w:p>
      <w:pPr>
        <w:spacing w:after="0" w:line="187"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 Submission to Jurisdiction; Venue; Waiver of Jury Trial</w:t>
      </w:r>
      <w:r>
        <w:rPr>
          <w:rFonts w:ascii="Arial" w:cs="Arial" w:eastAsia="Arial" w:hAnsi="Arial"/>
          <w:sz w:val="18"/>
          <w:szCs w:val="18"/>
          <w:color w:val="auto"/>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SECTIONS 10.14 AND 10.15 OF THE CREDIT AGREEMENT ARE HEREBY INCORPORATED BY REFERENCE INTO THIS AMENDMENT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HERETO.</w:t>
      </w:r>
    </w:p>
    <w:p>
      <w:pPr>
        <w:spacing w:after="0" w:line="193"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Lead Arrangers</w:t>
      </w:r>
      <w:r>
        <w:rPr>
          <w:rFonts w:ascii="Arial" w:cs="Arial" w:eastAsia="Arial" w:hAnsi="Arial"/>
          <w:sz w:val="18"/>
          <w:szCs w:val="18"/>
          <w:color w:val="auto"/>
        </w:rPr>
        <w:t>. Each party hereto agrees that no Arranger (including the Fifth Amendment Arranger) shall have any duties or obligations under any Loan Documents to any Lender or any Loan Party arising from such designation as an Arranger or Fifth Amendment Arranger, as applicable.</w:t>
      </w:r>
    </w:p>
    <w:p>
      <w:pPr>
        <w:spacing w:after="0" w:line="181"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9" w:name="page10"/>
    <w:bookmarkEnd w:id="9"/>
    <w:p>
      <w:pPr>
        <w:jc w:val="both"/>
        <w:ind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5.10 </w:t>
      </w:r>
      <w:r>
        <w:rPr>
          <w:rFonts w:ascii="Arial" w:cs="Arial" w:eastAsia="Arial" w:hAnsi="Arial"/>
          <w:sz w:val="18"/>
          <w:szCs w:val="18"/>
          <w:u w:val="single" w:color="auto"/>
          <w:color w:val="auto"/>
        </w:rPr>
        <w:t>No Novation</w:t>
      </w:r>
      <w:r>
        <w:rPr>
          <w:rFonts w:ascii="Arial" w:cs="Arial" w:eastAsia="Arial" w:hAnsi="Arial"/>
          <w:sz w:val="18"/>
          <w:szCs w:val="18"/>
          <w:color w:val="auto"/>
        </w:rPr>
        <w: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Fifth Amendment Effective Date.</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440" w:top="274" w:right="6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as the Borrower</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90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jc w:val="both"/>
        <w:ind w:left="6060"/>
        <w:spacing w:after="0"/>
        <w:tabs>
          <w:tab w:leader="none" w:pos="6620" w:val="left"/>
        </w:tabs>
        <w:rPr>
          <w:sz w:val="20"/>
          <w:szCs w:val="20"/>
          <w:color w:val="auto"/>
        </w:rPr>
      </w:pPr>
      <w:r>
        <w:rPr>
          <w:rFonts w:ascii="Arial" w:cs="Arial" w:eastAsia="Arial" w:hAnsi="Arial"/>
          <w:sz w:val="18"/>
          <w:szCs w:val="18"/>
          <w:color w:val="auto"/>
        </w:rPr>
        <w:t>Title:</w:t>
        <w:tab/>
        <w:t>Senior Vice President, Chief Financial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 Treasurer</w:t>
      </w:r>
    </w:p>
    <w:p>
      <w:pPr>
        <w:spacing w:after="0" w:line="143" w:lineRule="exact"/>
        <w:rPr>
          <w:sz w:val="20"/>
          <w:szCs w:val="20"/>
          <w:color w:val="auto"/>
        </w:rPr>
      </w:pPr>
    </w:p>
    <w:p>
      <w:pPr>
        <w:jc w:val="center"/>
        <w:ind w:right="70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8"/>
          <w:szCs w:val="18"/>
          <w:i w:val="1"/>
          <w:iCs w:val="1"/>
          <w:color w:val="auto"/>
        </w:rPr>
        <w:t>Amendment No. 5 to Amended and Restated Credit Agreement</w:t>
      </w:r>
    </w:p>
    <w:p>
      <w:pPr>
        <w:sectPr>
          <w:pgSz w:w="11900" w:h="16838" w:orient="portrait"/>
          <w:cols w:equalWidth="0" w:num="1">
            <w:col w:w="9960"/>
          </w:cols>
          <w:pgMar w:left="1320" w:top="274" w:right="619" w:bottom="1440" w:gutter="0" w:footer="0" w:header="0"/>
        </w:sectPr>
      </w:pPr>
    </w:p>
    <w:bookmarkStart w:id="11" w:name="page12"/>
    <w:bookmarkEnd w:id="1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WHIRLAWAY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PNC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USA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ACQUISITION COMPANY, INC.</w:t>
      </w:r>
    </w:p>
    <w:p>
      <w:pPr>
        <w:spacing w:after="0" w:line="9" w:lineRule="exact"/>
        <w:rPr>
          <w:sz w:val="20"/>
          <w:szCs w:val="20"/>
          <w:color w:val="auto"/>
        </w:rPr>
      </w:pPr>
    </w:p>
    <w:p>
      <w:pPr>
        <w:ind w:left="5620" w:right="620" w:firstLine="1"/>
        <w:spacing w:after="0" w:line="250" w:lineRule="auto"/>
        <w:tabs>
          <w:tab w:leader="none" w:pos="592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PRECISION PLASTICS, INC. CAPROCK MANUFACTURING, INC. CAPROCK ENCLOSURES, LLC BRAININ-ADVANCE INDUSTRIES LLC WAUCONDA TOOL &amp; ENGINEERING LLC LACEY MANUFACTURING COMPANY, LLC GENERAL METAL FINISHING LLC POLYMETALLURGICAL LLC</w:t>
      </w:r>
    </w:p>
    <w:p>
      <w:pPr>
        <w:spacing w:after="0" w:line="3" w:lineRule="exact"/>
        <w:rPr>
          <w:rFonts w:ascii="Arial" w:cs="Arial" w:eastAsia="Arial" w:hAnsi="Arial"/>
          <w:sz w:val="18"/>
          <w:szCs w:val="18"/>
          <w:b w:val="1"/>
          <w:bCs w:val="1"/>
          <w:color w:val="auto"/>
        </w:rPr>
      </w:pP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MATRIX I LLC</w:t>
      </w:r>
    </w:p>
    <w:p>
      <w:pPr>
        <w:spacing w:after="0" w:line="9" w:lineRule="exact"/>
        <w:rPr>
          <w:rFonts w:ascii="Arial" w:cs="Arial" w:eastAsia="Arial" w:hAnsi="Arial"/>
          <w:sz w:val="18"/>
          <w:szCs w:val="18"/>
          <w:b w:val="1"/>
          <w:bCs w:val="1"/>
          <w:color w:val="auto"/>
        </w:rPr>
      </w:pPr>
    </w:p>
    <w:p>
      <w:pPr>
        <w:ind w:left="5620" w:right="8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BOSTON ENDO-SURGICAL TECHNOLOGIES LLC CONNECTICUT PLASTICS LLC</w:t>
      </w:r>
    </w:p>
    <w:p>
      <w:pPr>
        <w:ind w:left="5620" w:right="78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ADVANCED PRECISION PRODUCTS, INC. HOWESTEMCO,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PREMCO, INC.</w:t>
      </w:r>
    </w:p>
    <w:p>
      <w:pPr>
        <w:spacing w:after="0" w:line="9" w:lineRule="exact"/>
        <w:rPr>
          <w:rFonts w:ascii="Arial" w:cs="Arial" w:eastAsia="Arial" w:hAnsi="Arial"/>
          <w:sz w:val="18"/>
          <w:szCs w:val="18"/>
          <w:b w:val="1"/>
          <w:bCs w:val="1"/>
          <w:color w:val="auto"/>
        </w:rPr>
      </w:pPr>
    </w:p>
    <w:p>
      <w:pPr>
        <w:ind w:left="5620" w:right="192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PROFILES INCORPORATED HOLMED,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TRIGON INTERNATIONAL LLC</w:t>
      </w:r>
    </w:p>
    <w:p>
      <w:pPr>
        <w:spacing w:after="0" w:line="22" w:lineRule="exact"/>
        <w:rPr>
          <w:rFonts w:ascii="Arial" w:cs="Arial" w:eastAsia="Arial" w:hAnsi="Arial"/>
          <w:sz w:val="18"/>
          <w:szCs w:val="18"/>
          <w:b w:val="1"/>
          <w:bCs w:val="1"/>
          <w:color w:val="auto"/>
        </w:rPr>
      </w:pPr>
    </w:p>
    <w:p>
      <w:pPr>
        <w:ind w:left="5620" w:right="2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DESIGN &amp; DEVELOPMENT,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 VANDALIA, LLC</w:t>
      </w:r>
    </w:p>
    <w:p>
      <w:pPr>
        <w:spacing w:after="0" w:line="9" w:lineRule="exact"/>
        <w:rPr>
          <w:rFonts w:ascii="Arial" w:cs="Arial" w:eastAsia="Arial" w:hAnsi="Arial"/>
          <w:sz w:val="18"/>
          <w:szCs w:val="18"/>
          <w:b w:val="1"/>
          <w:bCs w:val="1"/>
          <w:color w:val="auto"/>
        </w:rPr>
      </w:pPr>
    </w:p>
    <w:p>
      <w:pPr>
        <w:ind w:left="5620" w:right="14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PMG INTERMEDIATE HOLDING CORPORATION PMG ACQUISITION CORPORATION PARAGON MEDICAL, INC.</w:t>
      </w:r>
    </w:p>
    <w:p>
      <w:pPr>
        <w:spacing w:after="0" w:line="1" w:lineRule="exact"/>
        <w:rPr>
          <w:rFonts w:ascii="Arial" w:cs="Arial" w:eastAsia="Arial" w:hAnsi="Arial"/>
          <w:sz w:val="18"/>
          <w:szCs w:val="18"/>
          <w:b w:val="1"/>
          <w:bCs w:val="1"/>
          <w:color w:val="auto"/>
        </w:rPr>
      </w:pPr>
    </w:p>
    <w:p>
      <w:pPr>
        <w:ind w:left="5620"/>
        <w:spacing w:after="0" w:line="276" w:lineRule="auto"/>
        <w:rPr>
          <w:rFonts w:ascii="Arial" w:cs="Arial" w:eastAsia="Arial" w:hAnsi="Arial"/>
          <w:sz w:val="18"/>
          <w:szCs w:val="18"/>
          <w:b w:val="1"/>
          <w:bCs w:val="1"/>
          <w:color w:val="auto"/>
        </w:rPr>
      </w:pPr>
      <w:r>
        <w:rPr>
          <w:rFonts w:ascii="Arial" w:cs="Arial" w:eastAsia="Arial" w:hAnsi="Arial"/>
          <w:sz w:val="18"/>
          <w:szCs w:val="18"/>
          <w:b w:val="1"/>
          <w:bCs w:val="1"/>
          <w:color w:val="auto"/>
        </w:rPr>
        <w:t>PLATINUM SURGICAL INSTRUMENTS, INC. SOUTHERN CALIFORNIA TECHNICAL ARTS, INC.</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jc w:val="center"/>
        <w:ind w:right="9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960"/>
          </w:cols>
          <w:pgMar w:left="1440" w:top="274" w:right="499" w:bottom="1440" w:gutter="0" w:footer="0" w:header="0"/>
        </w:sectPr>
      </w:pPr>
    </w:p>
    <w:bookmarkStart w:id="12" w:name="page13"/>
    <w:bookmarkEnd w:id="1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AUTOCAM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AUTOCAM-PAX, INC.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Vice President and Assistant Secretary</w:t>
      </w:r>
    </w:p>
    <w:p>
      <w:pPr>
        <w:spacing w:after="0" w:line="143" w:lineRule="exact"/>
        <w:rPr>
          <w:sz w:val="20"/>
          <w:szCs w:val="20"/>
          <w:color w:val="auto"/>
        </w:rPr>
      </w:pPr>
    </w:p>
    <w:p>
      <w:pPr>
        <w:jc w:val="center"/>
        <w:ind w:right="6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720"/>
          </w:cols>
          <w:pgMar w:left="1440" w:top="274" w:right="739" w:bottom="1440" w:gutter="0" w:footer="0" w:header="0"/>
        </w:sectPr>
      </w:pPr>
    </w:p>
    <w:bookmarkStart w:id="13" w:name="page14"/>
    <w:bookmarkEnd w:id="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PRECISION ENGINEERED PRODUCTS HOLDINGS,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PRECISION ENGINEERED PRODUCTS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ind w:left="5940"/>
        <w:spacing w:after="0"/>
        <w:tabs>
          <w:tab w:leader="none" w:pos="6540" w:val="left"/>
        </w:tabs>
        <w:rPr>
          <w:sz w:val="20"/>
          <w:szCs w:val="20"/>
          <w:color w:val="auto"/>
        </w:rPr>
      </w:pPr>
      <w:r>
        <w:rPr>
          <w:rFonts w:ascii="Arial" w:cs="Arial" w:eastAsia="Arial" w:hAnsi="Arial"/>
          <w:sz w:val="18"/>
          <w:szCs w:val="18"/>
          <w:color w:val="auto"/>
        </w:rPr>
        <w:t>Title:</w:t>
        <w:tab/>
        <w:t>President</w:t>
      </w:r>
    </w:p>
    <w:p>
      <w:pPr>
        <w:spacing w:after="0" w:line="143" w:lineRule="exact"/>
        <w:rPr>
          <w:sz w:val="20"/>
          <w:szCs w:val="20"/>
          <w:color w:val="auto"/>
        </w:rPr>
      </w:pPr>
    </w:p>
    <w:p>
      <w:pPr>
        <w:jc w:val="center"/>
        <w:ind w:right="9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4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980"/>
          </w:cols>
          <w:pgMar w:left="1440" w:top="274" w:right="479" w:bottom="1440" w:gutter="0" w:footer="0" w:header="0"/>
        </w:sectPr>
      </w:pPr>
    </w:p>
    <w:bookmarkStart w:id="14" w:name="page15"/>
    <w:bookmarkEnd w:id="1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PARAGON MEDICAL INTERNATIONAL, INC.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PARAGON ACQUISITION CORP.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Thomas C. Burwell, Jr.</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Senior Vice President and Treasurer</w:t>
      </w:r>
    </w:p>
    <w:p>
      <w:pPr>
        <w:spacing w:after="0" w:line="143" w:lineRule="exact"/>
        <w:rPr>
          <w:sz w:val="20"/>
          <w:szCs w:val="20"/>
          <w:color w:val="auto"/>
        </w:rPr>
      </w:pPr>
    </w:p>
    <w:p>
      <w:pPr>
        <w:jc w:val="center"/>
        <w:ind w:right="6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8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720"/>
          </w:cols>
          <w:pgMar w:left="1440" w:top="274" w:right="739" w:bottom="1440" w:gutter="0" w:footer="0" w:header="0"/>
        </w:sectPr>
      </w:pPr>
    </w:p>
    <w:bookmarkStart w:id="15" w:name="page16"/>
    <w:bookmarkEnd w:id="15"/>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r>
        <w:rPr>
          <w:rFonts w:ascii="Arial" w:cs="Arial" w:eastAsia="Arial" w:hAnsi="Arial"/>
          <w:sz w:val="17"/>
          <w:szCs w:val="17"/>
          <w:color w:val="auto"/>
        </w:rPr>
        <w:t>, as Administrative Agent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Anika Kirs</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019"/>
          </w:cols>
          <w:pgMar w:left="1440" w:top="270" w:right="1440" w:bottom="1440" w:gutter="0" w:footer="0" w:header="0"/>
        </w:sectPr>
      </w:pPr>
    </w:p>
    <w:bookmarkStart w:id="16" w:name="page17"/>
    <w:bookmarkEnd w:id="1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Administrative Agent</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Anika Kirs</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680"/>
          </w:cols>
          <w:pgMar w:left="1440" w:top="274" w:right="779" w:bottom="1440" w:gutter="0" w:footer="0" w:header="0"/>
        </w:sectPr>
      </w:pPr>
    </w:p>
    <w:bookmarkStart w:id="17" w:name="page18"/>
    <w:bookmarkEnd w:id="1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Revolving Credit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Marc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Marc Sanchez</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680"/>
          </w:cols>
          <w:pgMar w:left="1440" w:top="274" w:right="779" w:bottom="1440" w:gutter="0" w:footer="0" w:header="0"/>
        </w:sectPr>
      </w:pPr>
    </w:p>
    <w:bookmarkStart w:id="18" w:name="page19"/>
    <w:bookmarkEnd w:id="18"/>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KEYBANK NATIONAL ASSOCIATION</w:t>
      </w:r>
      <w:r>
        <w:rPr>
          <w:rFonts w:ascii="Arial" w:cs="Arial" w:eastAsia="Arial" w:hAnsi="Arial"/>
          <w:sz w:val="17"/>
          <w:szCs w:val="17"/>
          <w:color w:val="auto"/>
        </w:rPr>
        <w:t>, as Revolving</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Ari Deutchman</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860"/>
          </w:cols>
          <w:pgMar w:left="1440" w:top="274" w:right="599" w:bottom="1440" w:gutter="0" w:footer="0" w:header="0"/>
        </w:sectPr>
      </w:pPr>
    </w:p>
    <w:bookmarkStart w:id="19" w:name="page20"/>
    <w:bookmarkEnd w:id="19"/>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Revolving Credit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VanFossan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Philip VanFossan</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5 to Amended and Restated Credit Agreement</w:t>
      </w:r>
    </w:p>
    <w:p>
      <w:pPr>
        <w:sectPr>
          <w:pgSz w:w="11900" w:h="16838" w:orient="portrait"/>
          <w:cols w:equalWidth="0" w:num="1">
            <w:col w:w="9680"/>
          </w:cols>
          <w:pgMar w:left="1440" w:top="274" w:right="779" w:bottom="1440" w:gutter="0" w:footer="0" w:header="0"/>
        </w:sectPr>
      </w:pPr>
    </w:p>
    <w:bookmarkStart w:id="20" w:name="page21"/>
    <w:bookmarkEnd w:id="2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HOMETRUST BANK</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Revolving Credit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Corey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Corey Webb</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5 to Amended and Restated Credit Agreement</w:t>
      </w:r>
    </w:p>
    <w:sectPr>
      <w:pgSz w:w="11900" w:h="16838" w:orient="portrait"/>
      <w:cols w:equalWidth="0" w:num="1">
        <w:col w:w="9680"/>
      </w:cols>
      <w:pgMar w:left="1440" w:top="274"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Roman"/>
      <w:start w:val="4"/>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2019-12-28T17:14:46Z</dcterms:created>
  <dcterms:modified xsi:type="dcterms:W3CDTF">2019-12-28T17:14:46Z</dcterms:modified>
</cp:coreProperties>
</file>