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April 21,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lineRule="auto" w:line="288" w:before="18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240.13e- 4(c))</w:t>
            </w:r>
          </w:p>
        </w:tc>
      </w:tr>
    </w:tbl>
    <w:p>
      <w:pPr>
        <w:pStyle w:val="TextBody"/>
        <w:bidi w:val="0"/>
        <w:spacing w:before="0" w:after="0"/>
        <w:jc w:val="left"/>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21, 2025 NN, Inc., a Delaware corporation (the “Company”), issued a press release announcing the Company’s new business wins for the quarter ended March 31, 2025 as well as increasing its five-year Adjusted EBITDA target range up to 13-14% and reaffirming its 2025 Adjusted EBITDA guidance. The full text of the press release is furnished as Exhibit 99.1 to this Current Report on Form 8-K (the "Current Report").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rules and regulations of the United States Securities and Exchange Commission, the information furnished pursuant to this Item 2.02 of this Current Report (including Exhibit 99.1) is deemed to have been furnished and shall not be deemed “filed” for the purposes of Section 18 of the Securities Exchange Act of 1934, as amended, or otherwise subject to the liabilities of that section. Such information shall not be incorporated by reference into any other filing of the Company, whether made before or after the date hereof, regardless of any general incorporation language in such filing.</w:t>
      </w:r>
    </w:p>
    <w:p>
      <w:pPr>
        <w:pStyle w:val="TextBody"/>
        <w:bidi w:val="0"/>
        <w:spacing w:before="0" w:after="0"/>
        <w:ind w:left="0" w:right="0" w:firstLine="720"/>
        <w:jc w:val="left"/>
        <w:rPr/>
      </w:pPr>
      <w:r>
        <w:rPr/>
      </w:r>
    </w:p>
    <w:p>
      <w:pPr>
        <w:pStyle w:val="TextBody"/>
        <w:bidi w:val="0"/>
        <w:spacing w:lineRule="auto" w:line="288" w:before="12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6"/>
        <w:gridCol w:w="1926"/>
        <w:gridCol w:w="274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bwpressrelease2025-04.htm">
              <w:r>
                <w:rPr>
                  <w:rStyle w:val="InternetLink"/>
                  <w:rFonts w:ascii="Times New Roman;sans-serif" w:hAnsi="Times New Roman;sans-serif"/>
                  <w:b w:val="false"/>
                  <w:color w:val="0000FF"/>
                  <w:sz w:val="20"/>
                  <w:u w:val="single"/>
                </w:rPr>
                <w:t>Press Release issued by NN, Inc., dated April 21, 2025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21, 2025</w:t>
            </w:r>
          </w:p>
        </w:tc>
      </w:tr>
    </w:tbl>
    <w:p>
      <w:pPr>
        <w:pStyle w:val="TextBody"/>
        <w:bidi w:val="0"/>
        <w:spacing w:before="0" w:after="0"/>
        <w:jc w:val="left"/>
        <w:rPr/>
      </w:pPr>
      <w:r>
        <w:rPr/>
      </w:r>
    </w:p>
    <w:tbl>
      <w:tblPr>
        <w:tblW w:w="511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210"/>
        <w:gridCol w:w="1210"/>
        <w:gridCol w:w="1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drawing>
          <wp:inline distT="0" distB="0" distL="0" distR="0">
            <wp:extent cx="1295400" cy="1295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95400" cy="1295400"/>
                    </a:xfrm>
                    <a:prstGeom prst="rect">
                      <a:avLst/>
                    </a:prstGeom>
                  </pic:spPr>
                </pic:pic>
              </a:graphicData>
            </a:graphic>
          </wp:inline>
        </w:drawing>
      </w:r>
    </w:p>
    <w:p>
      <w:pPr>
        <w:pStyle w:val="TextBody"/>
        <w:bidi w:val="0"/>
        <w:spacing w:lineRule="auto" w:line="288" w:before="11" w:after="283"/>
        <w:jc w:val="center"/>
        <w:rPr>
          <w:rFonts w:ascii="Arial;sans-serif" w:hAnsi="Arial;sans-serif"/>
          <w:b/>
          <w:i/>
          <w:color w:val="444444"/>
          <w:sz w:val="36"/>
        </w:rPr>
      </w:pPr>
      <w:r>
        <w:rPr>
          <w:rFonts w:ascii="Arial;sans-serif" w:hAnsi="Arial;sans-serif"/>
          <w:b/>
          <w:i/>
          <w:color w:val="444444"/>
          <w:sz w:val="36"/>
        </w:rPr>
        <w:t xml:space="preserve">NN Announces Another Strong Quarter of New Business Wins </w:t>
      </w:r>
    </w:p>
    <w:p>
      <w:pPr>
        <w:pStyle w:val="TextBody"/>
        <w:bidi w:val="0"/>
        <w:spacing w:before="11" w:after="283"/>
        <w:jc w:val="center"/>
        <w:rPr/>
      </w:pPr>
      <w:r>
        <w:rPr/>
      </w:r>
    </w:p>
    <w:p>
      <w:pPr>
        <w:pStyle w:val="TextBody"/>
        <w:bidi w:val="0"/>
        <w:spacing w:lineRule="auto" w:line="288" w:before="11" w:after="283"/>
        <w:jc w:val="center"/>
        <w:rPr>
          <w:rFonts w:ascii="Arial;sans-serif" w:hAnsi="Arial;sans-serif"/>
          <w:b/>
          <w:i/>
          <w:color w:val="000000"/>
          <w:sz w:val="24"/>
        </w:rPr>
      </w:pPr>
      <w:r>
        <w:rPr>
          <w:rFonts w:ascii="Arial;sans-serif" w:hAnsi="Arial;sans-serif"/>
          <w:b/>
          <w:i/>
          <w:color w:val="000000"/>
          <w:sz w:val="24"/>
        </w:rPr>
        <w:t>New Business Awards of $16.4 million in first quarter 2025; New Business Awards of over $150 million since Q1 2023; tracking ahead of its five-year plan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i/>
          <w:color w:val="000000"/>
          <w:sz w:val="24"/>
        </w:rPr>
      </w:pPr>
      <w:r>
        <w:rPr>
          <w:rFonts w:ascii="Arial;sans-serif" w:hAnsi="Arial;sans-serif"/>
          <w:b/>
          <w:i/>
          <w:color w:val="000000"/>
          <w:sz w:val="24"/>
        </w:rPr>
        <w:t>Company raises five-year Adjusted EBITDA margin target range to 13–14%, and reaffirms previous 2025 Adjusted EBITDA guidance</w:t>
      </w:r>
    </w:p>
    <w:p>
      <w:pPr>
        <w:pStyle w:val="TextBody"/>
        <w:bidi w:val="0"/>
        <w:spacing w:before="11" w:after="283"/>
        <w:jc w:val="left"/>
        <w:rPr/>
      </w:pPr>
      <w:r>
        <w:rPr/>
      </w:r>
    </w:p>
    <w:p>
      <w:pPr>
        <w:pStyle w:val="TextBody"/>
        <w:bidi w:val="0"/>
        <w:spacing w:lineRule="auto" w:line="288" w:before="0" w:after="0"/>
        <w:jc w:val="left"/>
        <w:rPr>
          <w:rFonts w:ascii="Arial;sans-serif" w:hAnsi="Arial;sans-serif"/>
          <w:b/>
          <w:color w:val="000000"/>
          <w:sz w:val="21"/>
        </w:rPr>
      </w:pPr>
      <w:r>
        <w:rPr>
          <w:rFonts w:ascii="Arial;sans-serif" w:hAnsi="Arial;sans-serif"/>
          <w:b/>
          <w:color w:val="000000"/>
          <w:sz w:val="21"/>
        </w:rPr>
        <w:t>FOR IMMEDIATE RELEASE</w:t>
      </w:r>
    </w:p>
    <w:p>
      <w:pPr>
        <w:pStyle w:val="TextBody"/>
        <w:bidi w:val="0"/>
        <w:spacing w:before="3" w:after="283"/>
        <w:jc w:val="left"/>
        <w:rPr/>
      </w:pPr>
      <w:r>
        <w:rPr/>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CHARLOTTE, N.C., April 21, 2025 – NN (NASDAQ: NNBR) today announced an update on its new business wins program and its ongoing above-plan margin results.</w:t>
      </w:r>
    </w:p>
    <w:p>
      <w:pPr>
        <w:pStyle w:val="TextBody"/>
        <w:bidi w:val="0"/>
        <w:spacing w:before="0" w:after="0"/>
        <w:jc w:val="both"/>
        <w:rPr/>
      </w:pPr>
      <w:r>
        <w:rPr/>
      </w:r>
    </w:p>
    <w:p>
      <w:pPr>
        <w:pStyle w:val="TextBody"/>
        <w:bidi w:val="0"/>
        <w:spacing w:lineRule="auto" w:line="244" w:before="0" w:after="0"/>
        <w:jc w:val="both"/>
        <w:rPr>
          <w:rFonts w:ascii="Arial;sans-serif" w:hAnsi="Arial;sans-serif"/>
          <w:b/>
          <w:color w:val="000000"/>
          <w:sz w:val="21"/>
        </w:rPr>
      </w:pPr>
      <w:r>
        <w:rPr>
          <w:rFonts w:ascii="Arial;sans-serif" w:hAnsi="Arial;sans-serif"/>
          <w:b/>
          <w:color w:val="000000"/>
          <w:sz w:val="21"/>
        </w:rPr>
        <w:t xml:space="preserve">Highlights: </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First quarter 2025 new business wins were $16.4 million; we believe NN is on pace to meet its 2025 goal of $65 million of new business awards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Approximately $98 million of new business awards will ramp into revenue stream during 2025 and beyond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New wins for the quarter were in the key focus areas of non-automotive industrial products, electrical and power products, medical, and automotive products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NN is leveraging its installed base of $340 million of assets and is selectively adding new capacity in certain growth areas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NN has secured more than $150 million in new wins since Q1 2023, tracking ahead of its five-year goal and supporting its long-term net sales targets which also assumes a stable base market for ongoing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NN’s new business pipeline continues to expand in non-automotive, medical, industrial, and automotive products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 xml:space="preserve">NN has built a $340+ million pipeline in the targeted areas of electrical, medical, and industrial; or about half of its pipeline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NN’s adjusted EBITDA rate is ahead of its five-year plan due to cost-improvement actions and new business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NN is increasing its five-year Adjusted EBITDA target range up to 13-14%, up from prior range of 12-13%</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Company is incurring immaterial direct tariff impacts due to its indigenous footprint strategy in the 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1"/>
        </w:rPr>
        <w:t>NN is reaffirming prior adjusted EBITDA guidance for 2025</w:t>
      </w:r>
    </w:p>
    <w:p>
      <w:pPr>
        <w:pStyle w:val="TextBody"/>
        <w:bidi w:val="0"/>
        <w:spacing w:before="0" w:after="0"/>
        <w:jc w:val="left"/>
        <w:rPr/>
      </w:pPr>
      <w:r>
        <w:rPr/>
      </w:r>
    </w:p>
    <w:p>
      <w:pPr>
        <w:pStyle w:val="TextBody"/>
        <w:bidi w:val="0"/>
        <w:spacing w:lineRule="auto" w:line="244" w:before="0" w:after="0"/>
        <w:jc w:val="both"/>
        <w:rPr>
          <w:rFonts w:ascii="Arial;sans-serif" w:hAnsi="Arial;sans-serif"/>
          <w:b w:val="false"/>
          <w:color w:val="000000"/>
          <w:sz w:val="21"/>
        </w:rPr>
      </w:pPr>
      <w:r>
        <w:rPr>
          <w:rFonts w:ascii="Arial;sans-serif" w:hAnsi="Arial;sans-serif"/>
          <w:b w:val="false"/>
          <w:color w:val="000000"/>
          <w:sz w:val="21"/>
        </w:rPr>
        <w:t>Harold Bevis, Chief Executive Officer of NN Inc. commented, “First quarter 2025 was a good quarter for NN as we continued to execute on our transformation strategy, highlighted by strong new business growth of $16.4 million. Our commercial pipeline is building upon the strong momentum delivered since the launch of the transformation, and we are proud to be solidifying our position as an elite and preferred supplier in our key growth portfolios. Our base business is slightly less than expected in certain areas due to uncertainties, but the company is adjusting its cost positions where needed.”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4" w:before="0" w:after="0"/>
        <w:jc w:val="both"/>
        <w:rPr>
          <w:rFonts w:ascii="Arial;sans-serif" w:hAnsi="Arial;sans-serif"/>
          <w:b w:val="false"/>
          <w:color w:val="000000"/>
          <w:sz w:val="21"/>
        </w:rPr>
      </w:pPr>
      <w:r>
        <w:rPr>
          <w:rFonts w:ascii="Arial;sans-serif" w:hAnsi="Arial;sans-serif"/>
          <w:b w:val="false"/>
          <w:color w:val="000000"/>
          <w:sz w:val="21"/>
        </w:rPr>
        <w:t>Bevis concluded, “Our team remains highly focused on accretive margin expansion and driving operational improvements across the company. Our efforts to date have resulted in profitability improvements that are tracking ahead of our initial transformation plan, and as a result, we are increasing our five-year Adjusted EBITDA margin target up to the range of 13-14%. We are well underway with improving our cost structure, onboarding accretive new business, pivoting our ongoing accumulated pipeline, and improving our margin mix through continued wins in our key growth areas of stampings, electrical, and medical markets. While we are pleased with the momentum and early success of our program, we are only getting started and will implement further growth and cost-out initiatives to strengthen profitability and expand our margins as part of our commitment to growing shareholder value.”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1"/>
        </w:rPr>
      </w:pPr>
      <w:r>
        <w:rPr>
          <w:rFonts w:ascii="Arial;sans-serif" w:hAnsi="Arial;sans-serif"/>
          <w:b/>
          <w:color w:val="000000"/>
          <w:sz w:val="21"/>
        </w:rPr>
        <w:t>ABOUT NN</w:t>
      </w:r>
    </w:p>
    <w:p>
      <w:pPr>
        <w:pStyle w:val="TextBody"/>
        <w:bidi w:val="0"/>
        <w:spacing w:before="0" w:after="0"/>
        <w:jc w:val="left"/>
        <w:rPr/>
      </w:pPr>
      <w:r>
        <w:rPr/>
      </w:r>
    </w:p>
    <w:p>
      <w:pPr>
        <w:pStyle w:val="TextBody"/>
        <w:bidi w:val="0"/>
        <w:spacing w:lineRule="auto" w:line="244" w:before="0" w:after="0"/>
        <w:jc w:val="both"/>
        <w:rPr/>
      </w:pPr>
      <w:r>
        <w:rPr>
          <w:rFonts w:ascii="Arial;sans-serif" w:hAnsi="Arial;sans-serif"/>
          <w:b w:val="false"/>
          <w:color w:val="000000"/>
          <w:sz w:val="21"/>
          <w:shd w:fill="FFFFFF" w:val="clear"/>
        </w:rPr>
        <w:t xml:space="preserve">NN is a global industrial company that combines advanced engineering and production capabilities to deliver solutions for high-precision components and assemblies for a variety of markets on a global basis. Headquartered in Charlotte, North Carolina, NN has facilities in North America, Asia, Europe, and South America. For more information, visit </w:t>
      </w:r>
      <w:r>
        <w:rPr>
          <w:rFonts w:ascii="Arial;sans-serif" w:hAnsi="Arial;sans-serif"/>
          <w:b w:val="false"/>
          <w:color w:val="0000FF"/>
          <w:sz w:val="21"/>
          <w:shd w:fill="FFFFFF" w:val="clear"/>
        </w:rPr>
        <w:t>www.nninc.com</w:t>
      </w:r>
      <w:r>
        <w:rPr>
          <w:rFonts w:ascii="Arial;sans-serif" w:hAnsi="Arial;sans-serif"/>
          <w:b w:val="false"/>
          <w:color w:val="000000"/>
          <w:sz w:val="21"/>
          <w:shd w:fill="FFFFFF" w:val="clear"/>
        </w:rPr>
        <w:t xml:space="preserve">. </w:t>
      </w:r>
    </w:p>
    <w:p>
      <w:pPr>
        <w:pStyle w:val="TextBody"/>
        <w:bidi w:val="0"/>
        <w:spacing w:before="0" w:after="0"/>
        <w:jc w:val="left"/>
        <w:rPr/>
      </w:pPr>
      <w:r>
        <w:rPr/>
      </w:r>
    </w:p>
    <w:p>
      <w:pPr>
        <w:pStyle w:val="TextBody"/>
        <w:bidi w:val="0"/>
        <w:spacing w:lineRule="auto" w:line="244" w:before="0" w:after="0"/>
        <w:jc w:val="both"/>
        <w:rPr>
          <w:rFonts w:ascii="Arial;sans-serif" w:hAnsi="Arial;sans-serif"/>
          <w:b/>
          <w:color w:val="000000"/>
          <w:sz w:val="21"/>
          <w:shd w:fill="FFFFFF" w:val="clear"/>
        </w:rPr>
      </w:pPr>
      <w:r>
        <w:rPr>
          <w:rFonts w:ascii="Arial;sans-serif" w:hAnsi="Arial;sans-serif"/>
          <w:b/>
          <w:color w:val="000000"/>
          <w:sz w:val="21"/>
          <w:shd w:fill="FFFFFF" w:val="clear"/>
        </w:rPr>
        <w:t>FORWARD-LOOKING STATEMENTS</w:t>
      </w:r>
    </w:p>
    <w:p>
      <w:pPr>
        <w:pStyle w:val="TextBody"/>
        <w:bidi w:val="0"/>
        <w:spacing w:before="0" w:after="0"/>
        <w:jc w:val="left"/>
        <w:rPr/>
      </w:pPr>
      <w:r>
        <w:rPr/>
      </w:r>
    </w:p>
    <w:p>
      <w:pPr>
        <w:pStyle w:val="TextBody"/>
        <w:bidi w:val="0"/>
        <w:spacing w:lineRule="auto" w:line="244" w:before="0" w:after="0"/>
        <w:jc w:val="both"/>
        <w:rPr/>
      </w:pPr>
      <w:r>
        <w:rPr>
          <w:rFonts w:ascii="Arial;sans-serif" w:hAnsi="Arial;sans-serif"/>
          <w:b w:val="false"/>
          <w:color w:val="000000"/>
          <w:sz w:val="21"/>
          <w:shd w:fill="FFFFFF" w:val="clear"/>
        </w:rPr>
        <w:t>This press release contains forward-looking statements within the meaning of the Private Securities Litigation Reform Act of 1995. Except for specific historical information, many of the matters discussed in this press release may express or imply projections of revenues or expenditures, statements of plans and objectives or future operations or statements of future economic performance.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“growth,” “guidance,” “intend,” “may,” “will,” “possible,” “potential,” “predict,” “project,” “trajectory”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w:t>
      </w:r>
      <w:r>
        <w:rPr>
          <w:color w:val="000000"/>
        </w:rPr>
        <w:t xml:space="preserve"> </w:t>
      </w:r>
      <w:r>
        <w:rPr>
          <w:rFonts w:ascii="Arial;sans-serif" w:hAnsi="Arial;sans-serif"/>
          <w:b w:val="false"/>
          <w:color w:val="000000"/>
          <w:sz w:val="21"/>
          <w:shd w:fill="FFFFFF" w:val="clear"/>
        </w:rPr>
        <w:t>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Annual Report on Form 10-K for the fiscal year ended December 31, 2024.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1"/>
        </w:rPr>
        <w:t>Investor Relations:</w:t>
      </w:r>
      <w:r>
        <w:rPr>
          <w:color w:val="000000"/>
        </w:rPr>
        <w:t xml:space="preserve"> </w:t>
      </w:r>
    </w:p>
    <w:p>
      <w:pPr>
        <w:pStyle w:val="TextBody"/>
        <w:bidi w:val="0"/>
        <w:spacing w:lineRule="auto" w:line="268" w:before="0" w:after="0"/>
        <w:jc w:val="left"/>
        <w:rPr>
          <w:rFonts w:ascii="Arial;sans-serif" w:hAnsi="Arial;sans-serif"/>
          <w:b w:val="false"/>
          <w:color w:val="000000"/>
          <w:sz w:val="21"/>
        </w:rPr>
      </w:pPr>
      <w:r>
        <w:rPr>
          <w:rFonts w:ascii="Arial;sans-serif" w:hAnsi="Arial;sans-serif"/>
          <w:b w:val="false"/>
          <w:color w:val="000000"/>
          <w:sz w:val="21"/>
        </w:rPr>
        <w:t xml:space="preserve">Joseph Caminiti or Stephen Poe, Investors </w:t>
      </w:r>
    </w:p>
    <w:p>
      <w:pPr>
        <w:pStyle w:val="TextBody"/>
        <w:bidi w:val="0"/>
        <w:spacing w:lineRule="auto" w:line="268" w:before="0" w:after="0"/>
        <w:jc w:val="left"/>
        <w:rPr/>
      </w:pPr>
      <w:r>
        <w:rPr>
          <w:rFonts w:ascii="Arial;sans-serif" w:hAnsi="Arial;sans-serif"/>
          <w:b w:val="false"/>
          <w:color w:val="0000FF"/>
          <w:sz w:val="21"/>
        </w:rPr>
        <w:t>NNBR@alpha-ir.com</w:t>
      </w:r>
      <w:r>
        <w:rPr>
          <w:color w:val="000000"/>
        </w:rPr>
        <w:t xml:space="preserve"> </w:t>
      </w:r>
    </w:p>
    <w:p>
      <w:pPr>
        <w:pStyle w:val="TextBody"/>
        <w:bidi w:val="0"/>
        <w:spacing w:lineRule="auto" w:line="268"/>
        <w:jc w:val="left"/>
        <w:rPr>
          <w:rFonts w:ascii="Arial;sans-serif" w:hAnsi="Arial;sans-serif"/>
          <w:b w:val="false"/>
          <w:color w:val="000000"/>
          <w:sz w:val="21"/>
        </w:rPr>
      </w:pPr>
      <w:r>
        <w:rPr>
          <w:rFonts w:ascii="Arial;sans-serif" w:hAnsi="Arial;sans-serif"/>
          <w:b w:val="false"/>
          <w:color w:val="000000"/>
          <w:sz w:val="21"/>
        </w:rPr>
        <w:t xml:space="preserve">312-445-2870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1703</Words>
  <Characters>9584</Characters>
  <CharactersWithSpaces>11219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