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273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2001</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73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0-23486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62-1096725</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4880" w:space="720"/>
            <w:col w:w="4619"/>
          </w:cols>
          <w:pgMar w:left="240" w:top="250" w:right="1440" w:bottom="0" w:gutter="0" w:footer="0" w:header="0"/>
          <w:type w:val="continuous"/>
        </w:sectPr>
      </w:pPr>
    </w:p>
    <w:p>
      <w:pPr>
        <w:spacing w:after="0" w:line="7"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2000 Waters Edge Drive</w:t>
      </w:r>
    </w:p>
    <w:p>
      <w:pPr>
        <w:sectPr>
          <w:pgSz w:w="11900" w:h="16838" w:orient="portrait"/>
          <w:cols w:equalWidth="0" w:num="1">
            <w:col w:w="10219"/>
          </w:cols>
          <w:pgMar w:left="240" w:top="250" w:right="1440" w:bottom="0" w:gutter="0" w:footer="0" w:header="0"/>
          <w:type w:val="continuous"/>
        </w:sectPr>
      </w:pP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Building c, Suite 12</w:t>
      </w:r>
    </w:p>
    <w:p>
      <w:pPr>
        <w:ind w:left="2740"/>
        <w:spacing w:after="0" w:line="238" w:lineRule="auto"/>
        <w:rPr>
          <w:sz w:val="20"/>
          <w:szCs w:val="20"/>
          <w:color w:val="auto"/>
        </w:rPr>
      </w:pPr>
      <w:r>
        <w:rPr>
          <w:rFonts w:ascii="Courier New" w:cs="Courier New" w:eastAsia="Courier New" w:hAnsi="Courier New"/>
          <w:sz w:val="18"/>
          <w:szCs w:val="18"/>
          <w:color w:val="auto"/>
        </w:rPr>
        <w:t>Johnson City, Tennessee 37604</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of May 14, 2001 there were 15,246,909 shares of the registrant's common stock, par value $0.01 per share, outstanding.</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right"/>
        <w:ind w:right="619"/>
        <w:spacing w:after="0"/>
        <w:rPr>
          <w:sz w:val="20"/>
          <w:szCs w:val="20"/>
          <w:color w:val="auto"/>
        </w:rPr>
      </w:pPr>
      <w:r>
        <w:rPr>
          <w:rFonts w:ascii="Courier New" w:cs="Courier New" w:eastAsia="Courier New" w:hAnsi="Courier New"/>
          <w:sz w:val="18"/>
          <w:szCs w:val="18"/>
          <w:color w:val="auto"/>
        </w:rPr>
        <w:t>Page No.</w:t>
      </w:r>
    </w:p>
    <w:p>
      <w:pPr>
        <w:ind w:left="87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Consolidated Financial Statements:</w:t>
      </w: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Income and</w:t>
            </w:r>
          </w:p>
        </w:tc>
        <w:tc>
          <w:tcPr>
            <w:tcW w:w="3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Comprehensive Income for the three</w:t>
            </w:r>
          </w:p>
        </w:tc>
        <w:tc>
          <w:tcPr>
            <w:tcW w:w="32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ended</w:t>
            </w:r>
          </w:p>
        </w:tc>
        <w:tc>
          <w:tcPr>
            <w:tcW w:w="2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March 31, 2001 and 2000</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Consolidated</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Balance Sheet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at</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March 31,</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and December 31, 2000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Changes in</w:t>
            </w:r>
          </w:p>
        </w:tc>
        <w:tc>
          <w:tcPr>
            <w:tcW w:w="3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24"/>
                <w:szCs w:val="24"/>
                <w:color w:val="auto"/>
              </w:rPr>
            </w:pPr>
          </w:p>
        </w:tc>
      </w:tr>
      <w:tr>
        <w:trPr>
          <w:trHeight w:val="203"/>
        </w:trPr>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the three months</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ended</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March 31,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2000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Consolidated Statements of Cash Flows for the three months</w:t>
      </w:r>
    </w:p>
    <w:p>
      <w:pPr>
        <w:sectPr>
          <w:pgSz w:w="11900" w:h="16838" w:orient="portrait"/>
          <w:cols w:equalWidth="0" w:num="1">
            <w:col w:w="10219"/>
          </w:cols>
          <w:pgMar w:left="240" w:top="25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ended</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March 31, 2001</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and 2000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1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Notes to</w:t>
            </w:r>
          </w:p>
        </w:tc>
        <w:tc>
          <w:tcPr>
            <w:tcW w:w="5640" w:type="dxa"/>
            <w:vAlign w:val="bottom"/>
            <w:gridSpan w:val="3"/>
          </w:tcPr>
          <w:p>
            <w:pPr>
              <w:jc w:val="center"/>
              <w:ind w:right="1952"/>
              <w:spacing w:after="0"/>
              <w:rPr>
                <w:sz w:val="20"/>
                <w:szCs w:val="20"/>
                <w:color w:val="auto"/>
              </w:rPr>
            </w:pPr>
            <w:r>
              <w:rPr>
                <w:rFonts w:ascii="Courier New" w:cs="Courier New" w:eastAsia="Courier New" w:hAnsi="Courier New"/>
                <w:sz w:val="18"/>
                <w:szCs w:val="18"/>
                <w:color w:val="auto"/>
                <w:w w:val="97"/>
              </w:rPr>
              <w:t>Consolidated Financial Statements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Management's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Discussion</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and Analysis of Financial</w:t>
            </w:r>
          </w:p>
        </w:tc>
        <w:tc>
          <w:tcPr>
            <w:tcW w:w="158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Condition</w:t>
            </w:r>
          </w:p>
        </w:tc>
        <w:tc>
          <w:tcPr>
            <w:tcW w:w="5220" w:type="dxa"/>
            <w:vAlign w:val="bottom"/>
            <w:gridSpan w:val="2"/>
          </w:tcPr>
          <w:p>
            <w:pPr>
              <w:jc w:val="center"/>
              <w:ind w:right="2372"/>
              <w:spacing w:after="0" w:line="203" w:lineRule="exact"/>
              <w:rPr>
                <w:sz w:val="20"/>
                <w:szCs w:val="20"/>
                <w:color w:val="auto"/>
              </w:rPr>
            </w:pPr>
            <w:r>
              <w:rPr>
                <w:rFonts w:ascii="Courier New" w:cs="Courier New" w:eastAsia="Courier New" w:hAnsi="Courier New"/>
                <w:sz w:val="18"/>
                <w:szCs w:val="18"/>
                <w:color w:val="auto"/>
                <w:w w:val="97"/>
              </w:rPr>
              <w:t>and Results of Operations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Part II. Other Information</w:t>
            </w: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Exhibits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Reports on</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Form 8-K</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bl>
    <w:p>
      <w:pPr>
        <w:sectPr>
          <w:pgSz w:w="11900" w:h="16838" w:orient="portrait"/>
          <w:cols w:equalWidth="0" w:num="1">
            <w:col w:w="10219"/>
          </w:cols>
          <w:pgMar w:left="240" w:top="136"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Consolidated Statements of Income and Comprehensive Income</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Three Months Ended</w:t>
      </w:r>
    </w:p>
    <w:p>
      <w:pPr>
        <w:ind w:left="7800"/>
        <w:spacing w:after="0" w:line="238" w:lineRule="auto"/>
        <w:rPr>
          <w:sz w:val="20"/>
          <w:szCs w:val="20"/>
          <w:color w:val="auto"/>
        </w:rPr>
      </w:pPr>
      <w:r>
        <w:rPr>
          <w:rFonts w:ascii="Courier New" w:cs="Courier New" w:eastAsia="Courier New" w:hAnsi="Courier New"/>
          <w:sz w:val="18"/>
          <w:szCs w:val="18"/>
          <w:color w:val="auto"/>
        </w:rPr>
        <w:t>March 31,</w:t>
      </w:r>
    </w:p>
    <w:p>
      <w:pPr>
        <w:spacing w:after="0"/>
        <w:tabs>
          <w:tab w:leader="none" w:pos="1460" w:val="left"/>
          <w:tab w:leader="none" w:pos="3260" w:val="left"/>
          <w:tab w:leader="none" w:pos="7160" w:val="left"/>
          <w:tab w:leader="none" w:pos="8520" w:val="left"/>
        </w:tabs>
        <w:rPr>
          <w:sz w:val="20"/>
          <w:szCs w:val="20"/>
          <w:color w:val="auto"/>
        </w:rPr>
      </w:pPr>
      <w:r>
        <w:rPr>
          <w:rFonts w:ascii="Courier New" w:cs="Courier New" w:eastAsia="Courier New" w:hAnsi="Courier New"/>
          <w:sz w:val="18"/>
          <w:szCs w:val="18"/>
          <w:color w:val="auto"/>
        </w:rPr>
        <w:t>Thousands of</w:t>
        <w:tab/>
        <w:t>Dollars, Except</w:t>
        <w:tab/>
        <w:t>Share and Per Share Data</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6"/>
          <w:szCs w:val="16"/>
          <w:color w:val="auto"/>
        </w:rPr>
        <w:t>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$50,227</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$28,002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38,184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20,346</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12,043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7,656</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4,014</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2,318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1,845</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4,719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3,493</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1,182</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291</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 unconsolidated affiliate</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(gain)/loss on involuntary conversion</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(income)/expense</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3,766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consolidated subsidiary</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2,110</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Other comprehensive income (loss):</w:t>
            </w: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Foreign currency translation adjustments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(3,386)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Comprehensive income (loss)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$1,715</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Basic income per share</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$0.10</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$0.14</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15,246,909</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15,244,271</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Diluted income per share</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$0.10</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$0.14</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15,396,452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15,457,658</w:t>
            </w:r>
          </w:p>
        </w:tc>
      </w:tr>
      <w:tr>
        <w:trPr>
          <w:trHeight w:val="203"/>
        </w:trPr>
        <w:tc>
          <w:tcPr>
            <w:tcW w:w="5860" w:type="dxa"/>
            <w:vAlign w:val="bottom"/>
          </w:tcPr>
          <w:p>
            <w:pPr>
              <w:spacing w:after="0"/>
              <w:rPr>
                <w:sz w:val="17"/>
                <w:szCs w:val="17"/>
                <w:color w:val="auto"/>
              </w:rPr>
            </w:pP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NN, Inc.</w:t>
      </w: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5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08"/>
        </w:trPr>
        <w:tc>
          <w:tcPr>
            <w:tcW w:w="2540" w:type="dxa"/>
            <w:vAlign w:val="bottom"/>
          </w:tcPr>
          <w:p>
            <w:pPr>
              <w:spacing w:after="0"/>
              <w:rPr>
                <w:sz w:val="24"/>
                <w:szCs w:val="24"/>
                <w:color w:val="auto"/>
              </w:rPr>
            </w:pPr>
          </w:p>
        </w:tc>
        <w:tc>
          <w:tcPr>
            <w:tcW w:w="5100" w:type="dxa"/>
            <w:vAlign w:val="bottom"/>
          </w:tcPr>
          <w:p>
            <w:pPr>
              <w:ind w:left="3780"/>
              <w:spacing w:after="0"/>
              <w:rPr>
                <w:sz w:val="20"/>
                <w:szCs w:val="20"/>
                <w:color w:val="auto"/>
              </w:rPr>
            </w:pPr>
            <w:r>
              <w:rPr>
                <w:rFonts w:ascii="Courier New" w:cs="Courier New" w:eastAsia="Courier New" w:hAnsi="Courier New"/>
                <w:sz w:val="18"/>
                <w:szCs w:val="18"/>
                <w:color w:val="auto"/>
              </w:rPr>
              <w:t>March 31,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2540" w:type="dxa"/>
            <w:vAlign w:val="bottom"/>
          </w:tcPr>
          <w:p>
            <w:pPr>
              <w:spacing w:after="0"/>
              <w:rPr>
                <w:sz w:val="17"/>
                <w:szCs w:val="17"/>
                <w:color w:val="auto"/>
              </w:rPr>
            </w:pPr>
          </w:p>
        </w:tc>
        <w:tc>
          <w:tcPr>
            <w:tcW w:w="5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of  Dollars</w:t>
            </w:r>
          </w:p>
        </w:tc>
        <w:tc>
          <w:tcPr>
            <w:tcW w:w="5100" w:type="dxa"/>
            <w:vAlign w:val="bottom"/>
          </w:tcPr>
          <w:p>
            <w:pPr>
              <w:ind w:left="3780"/>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$8,273</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29,549</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24,086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23,742</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1,512</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current deferred tax asset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72,973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64,038</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89,834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91,693</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41,967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27,865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4,423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4,212</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$209,197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$187,808</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$19,429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$17,337</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wages and benefits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10,833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6,929</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1,341</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Pension</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2,133</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to Affiliates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bridge financing</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24,642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loan</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4,357</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66,370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35,859</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28,789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30,257</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5,524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5,353</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45,784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50,515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146,995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122,562</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Total stockholders' equity</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62,202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65,246</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$209,197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$187,808</w:t>
            </w:r>
          </w:p>
        </w:tc>
      </w:tr>
      <w:tr>
        <w:trPr>
          <w:trHeight w:val="203"/>
        </w:trPr>
        <w:tc>
          <w:tcPr>
            <w:tcW w:w="5740" w:type="dxa"/>
            <w:vAlign w:val="bottom"/>
          </w:tcPr>
          <w:p>
            <w:pPr>
              <w:spacing w:after="0"/>
              <w:rPr>
                <w:sz w:val="17"/>
                <w:szCs w:val="17"/>
                <w:color w:val="auto"/>
              </w:rPr>
            </w:pP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4" w:name="page5"/>
    <w:bookmarkEnd w:id="4"/>
    <w:p>
      <w:pPr>
        <w:spacing w:after="0" w:line="88"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NN, Inc.</w:t>
      </w:r>
    </w:p>
    <w:p>
      <w:pPr>
        <w:jc w:val="center"/>
        <w:ind w:right="2200"/>
        <w:spacing w:after="0" w:line="238" w:lineRule="auto"/>
        <w:rPr>
          <w:sz w:val="20"/>
          <w:szCs w:val="20"/>
          <w:color w:val="auto"/>
        </w:rPr>
      </w:pPr>
      <w:r>
        <w:rPr>
          <w:rFonts w:ascii="Courier New" w:cs="Courier New" w:eastAsia="Courier New" w:hAnsi="Courier New"/>
          <w:sz w:val="18"/>
          <w:szCs w:val="18"/>
          <w:color w:val="auto"/>
        </w:rPr>
        <w:t>Consolidated Statements of Changes in Stockholders' Equity</w:t>
      </w:r>
    </w:p>
    <w:p>
      <w:pPr>
        <w:jc w:val="center"/>
        <w:ind w:right="21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Accumulated</w:t>
            </w:r>
          </w:p>
        </w:tc>
        <w:tc>
          <w:tcPr>
            <w:tcW w:w="74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84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Common stock</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Additional</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Retained</w:t>
            </w:r>
          </w:p>
        </w:tc>
        <w:tc>
          <w:tcPr>
            <w:tcW w:w="1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other</w:t>
            </w:r>
          </w:p>
        </w:tc>
        <w:tc>
          <w:tcPr>
            <w:tcW w:w="74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Number</w:t>
            </w:r>
          </w:p>
        </w:tc>
        <w:tc>
          <w:tcPr>
            <w:tcW w:w="9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Par</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paid in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earnings</w:t>
            </w:r>
          </w:p>
        </w:tc>
        <w:tc>
          <w:tcPr>
            <w:tcW w:w="1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comprehensive</w:t>
            </w:r>
          </w:p>
        </w:tc>
        <w:tc>
          <w:tcPr>
            <w:tcW w:w="7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of Dollars</w:t>
            </w:r>
          </w:p>
        </w:tc>
        <w:tc>
          <w:tcPr>
            <w:tcW w:w="1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of shares</w:t>
            </w:r>
          </w:p>
        </w:tc>
        <w:tc>
          <w:tcPr>
            <w:tcW w:w="9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Value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capital</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(deficit)</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(loss)</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Balance, January 1, 2000</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15,244</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$ 153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$30,398</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$31,255</w:t>
            </w:r>
          </w:p>
        </w:tc>
        <w:tc>
          <w:tcPr>
            <w:tcW w:w="1360" w:type="dxa"/>
            <w:vAlign w:val="bottom"/>
          </w:tcPr>
          <w:p>
            <w:pPr>
              <w:ind w:left="220"/>
              <w:spacing w:after="0"/>
              <w:rPr>
                <w:sz w:val="20"/>
                <w:szCs w:val="20"/>
                <w:color w:val="auto"/>
              </w:rPr>
            </w:pPr>
            <w:r>
              <w:rPr>
                <w:rFonts w:ascii="Courier New" w:cs="Courier New" w:eastAsia="Courier New" w:hAnsi="Courier New"/>
                <w:sz w:val="18"/>
                <w:szCs w:val="18"/>
                <w:color w:val="auto"/>
              </w:rPr>
              <w:t>$(1,678)</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$60,128</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2,110</w:t>
            </w:r>
          </w:p>
        </w:tc>
        <w:tc>
          <w:tcPr>
            <w:tcW w:w="1360" w:type="dxa"/>
            <w:vAlign w:val="bottom"/>
          </w:tcPr>
          <w:p>
            <w:pPr>
              <w:spacing w:after="0"/>
              <w:rPr>
                <w:sz w:val="17"/>
                <w:szCs w:val="17"/>
                <w:color w:val="auto"/>
              </w:rPr>
            </w:pPr>
          </w:p>
        </w:tc>
        <w:tc>
          <w:tcPr>
            <w:tcW w:w="1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2,110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(1,220)</w:t>
            </w:r>
          </w:p>
        </w:tc>
        <w:tc>
          <w:tcPr>
            <w:tcW w:w="136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(1,220)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comprehensive loss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(395)</w:t>
            </w:r>
          </w:p>
        </w:tc>
        <w:tc>
          <w:tcPr>
            <w:tcW w:w="1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160" w:type="dxa"/>
            <w:vAlign w:val="bottom"/>
          </w:tcPr>
          <w:p>
            <w:pPr>
              <w:spacing w:after="0"/>
              <w:rPr>
                <w:sz w:val="17"/>
                <w:szCs w:val="17"/>
                <w:color w:val="auto"/>
              </w:rPr>
            </w:pP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March 31, 2000</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15,244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$30,398</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$32,145</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$(2,073)</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$60,623</w:t>
            </w:r>
          </w:p>
        </w:tc>
      </w:tr>
      <w:tr>
        <w:trPr>
          <w:trHeight w:val="203"/>
        </w:trPr>
        <w:tc>
          <w:tcPr>
            <w:tcW w:w="3160" w:type="dxa"/>
            <w:vAlign w:val="bottom"/>
          </w:tcPr>
          <w:p>
            <w:pPr>
              <w:spacing w:after="0"/>
              <w:rPr>
                <w:sz w:val="17"/>
                <w:szCs w:val="17"/>
                <w:color w:val="auto"/>
              </w:rPr>
            </w:pP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Balance, January 1, 2001</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15,247</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$ 153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$30,414</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$36,364</w:t>
            </w:r>
          </w:p>
        </w:tc>
        <w:tc>
          <w:tcPr>
            <w:tcW w:w="1360" w:type="dxa"/>
            <w:vAlign w:val="bottom"/>
          </w:tcPr>
          <w:p>
            <w:pPr>
              <w:ind w:left="220"/>
              <w:spacing w:after="0"/>
              <w:rPr>
                <w:sz w:val="20"/>
                <w:szCs w:val="20"/>
                <w:color w:val="auto"/>
              </w:rPr>
            </w:pPr>
            <w:r>
              <w:rPr>
                <w:rFonts w:ascii="Courier New" w:cs="Courier New" w:eastAsia="Courier New" w:hAnsi="Courier New"/>
                <w:sz w:val="18"/>
                <w:szCs w:val="18"/>
                <w:color w:val="auto"/>
              </w:rPr>
              <w:t>$(1,685)</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$65,246</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1,562</w:t>
            </w:r>
          </w:p>
        </w:tc>
        <w:tc>
          <w:tcPr>
            <w:tcW w:w="1360" w:type="dxa"/>
            <w:vAlign w:val="bottom"/>
          </w:tcPr>
          <w:p>
            <w:pPr>
              <w:spacing w:after="0"/>
              <w:rPr>
                <w:sz w:val="17"/>
                <w:szCs w:val="17"/>
                <w:color w:val="auto"/>
              </w:rPr>
            </w:pPr>
          </w:p>
        </w:tc>
        <w:tc>
          <w:tcPr>
            <w:tcW w:w="1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1,562</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(1,220)</w:t>
            </w:r>
          </w:p>
        </w:tc>
        <w:tc>
          <w:tcPr>
            <w:tcW w:w="136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(1,220)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comprehensive loss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(3,386)</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(3,386)</w:t>
            </w:r>
          </w:p>
        </w:tc>
      </w:tr>
      <w:tr>
        <w:trPr>
          <w:trHeight w:val="203"/>
        </w:trPr>
        <w:tc>
          <w:tcPr>
            <w:tcW w:w="3160" w:type="dxa"/>
            <w:vAlign w:val="bottom"/>
          </w:tcPr>
          <w:p>
            <w:pPr>
              <w:spacing w:after="0"/>
              <w:rPr>
                <w:sz w:val="17"/>
                <w:szCs w:val="17"/>
                <w:color w:val="auto"/>
              </w:rPr>
            </w:pP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March 31, 2001</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15,247</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$ 153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$30,414</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$36,706</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$(5,071)</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$62,202</w:t>
            </w:r>
          </w:p>
        </w:tc>
      </w:tr>
      <w:tr>
        <w:trPr>
          <w:trHeight w:val="203"/>
        </w:trPr>
        <w:tc>
          <w:tcPr>
            <w:tcW w:w="3160" w:type="dxa"/>
            <w:vAlign w:val="bottom"/>
          </w:tcPr>
          <w:p>
            <w:pPr>
              <w:spacing w:after="0"/>
              <w:rPr>
                <w:sz w:val="17"/>
                <w:szCs w:val="17"/>
                <w:color w:val="auto"/>
              </w:rPr>
            </w:pP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1440" w:right="1019" w:bottom="1440" w:gutter="0" w:footer="0" w:header="0"/>
        </w:sectPr>
      </w:pPr>
    </w:p>
    <w:bookmarkStart w:id="5" w:name="page6"/>
    <w:bookmarkEnd w:id="5"/>
    <w:p>
      <w:pPr>
        <w:spacing w:after="0" w:line="8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Three Months Ended</w:t>
      </w:r>
    </w:p>
    <w:p>
      <w:pPr>
        <w:ind w:left="7900"/>
        <w:spacing w:after="0" w:line="238" w:lineRule="auto"/>
        <w:rPr>
          <w:sz w:val="20"/>
          <w:szCs w:val="20"/>
          <w:color w:val="auto"/>
        </w:rPr>
      </w:pPr>
      <w:r>
        <w:rPr>
          <w:rFonts w:ascii="Courier New" w:cs="Courier New" w:eastAsia="Courier New" w:hAnsi="Courier New"/>
          <w:sz w:val="18"/>
          <w:szCs w:val="18"/>
          <w:color w:val="auto"/>
        </w:rPr>
        <w:t>March 31,</w:t>
      </w:r>
    </w:p>
    <w:p>
      <w:pPr>
        <w:spacing w:after="0"/>
        <w:tabs>
          <w:tab w:leader="none" w:pos="1460" w:val="left"/>
          <w:tab w:leader="none" w:pos="7360" w:val="left"/>
          <w:tab w:leader="none" w:pos="8940" w:val="left"/>
        </w:tabs>
        <w:rPr>
          <w:sz w:val="20"/>
          <w:szCs w:val="20"/>
          <w:color w:val="auto"/>
        </w:rPr>
      </w:pPr>
      <w:r>
        <w:rPr>
          <w:rFonts w:ascii="Courier New" w:cs="Courier New" w:eastAsia="Courier New" w:hAnsi="Courier New"/>
          <w:sz w:val="18"/>
          <w:szCs w:val="18"/>
          <w:color w:val="auto"/>
        </w:rPr>
        <w:t>Thousands of</w:t>
        <w:tab/>
        <w:t>Dollars</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6"/>
          <w:szCs w:val="16"/>
          <w:color w:val="auto"/>
        </w:rPr>
        <w:t>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2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2,110</w:t>
            </w:r>
          </w:p>
        </w:tc>
      </w:tr>
      <w:tr>
        <w:trPr>
          <w:trHeight w:val="203"/>
        </w:trPr>
        <w:tc>
          <w:tcPr>
            <w:tcW w:w="7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3,310</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1,845</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 on disposals of property, plant and equipment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unconsolidated affiliate</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Interest income from receivable from unconsolidated affiliate</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w:t>
            </w:r>
          </w:p>
        </w:tc>
        <w:tc>
          <w:tcPr>
            <w:tcW w:w="3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Minority interest in consolidated subsidiaries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w:t>
            </w:r>
          </w:p>
        </w:tc>
        <w:tc>
          <w:tcPr>
            <w:tcW w:w="3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(6,363)</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(3,132)</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702</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(127)</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assets</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830</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2,535</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1,675</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7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3,453</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5,280</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Delta Rubber Company, net of cash acquired</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(22,194)</w:t>
            </w:r>
          </w:p>
        </w:tc>
        <w:tc>
          <w:tcPr>
            <w:tcW w:w="3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property, plant and equipment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other investing activities, net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2,823</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Note Receivable</w:t>
            </w:r>
          </w:p>
        </w:tc>
        <w:tc>
          <w:tcPr>
            <w:tcW w:w="2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(used) by investing activities</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(19,371)</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(2,694)</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(payments) under revolving line of credit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24,642</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w:t>
            </w: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(4,731)</w:t>
            </w:r>
          </w:p>
        </w:tc>
        <w:tc>
          <w:tcPr>
            <w:tcW w:w="3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short-term loan</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(1,220)</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(1,220)</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(used) by financing activities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16,691</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20" w:type="dxa"/>
            <w:vAlign w:val="bottom"/>
          </w:tcPr>
          <w:p>
            <w:pPr>
              <w:spacing w:after="0"/>
              <w:rPr>
                <w:sz w:val="20"/>
                <w:szCs w:val="20"/>
                <w:color w:val="auto"/>
              </w:rPr>
            </w:pPr>
            <w:r>
              <w:rPr>
                <w:rFonts w:ascii="Courier New" w:cs="Courier New" w:eastAsia="Courier New" w:hAnsi="Courier New"/>
                <w:sz w:val="18"/>
                <w:szCs w:val="18"/>
                <w:color w:val="auto"/>
              </w:rPr>
              <w:t>Net Change in Cash and Cash Equivalents</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2,600</w:t>
            </w:r>
          </w:p>
        </w:tc>
        <w:tc>
          <w:tcPr>
            <w:tcW w:w="3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502</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w:t>
            </w:r>
          </w:p>
        </w:tc>
        <w:tc>
          <w:tcPr>
            <w:tcW w:w="26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(3,386)</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8,273</w:t>
            </w:r>
          </w:p>
        </w:tc>
        <w:tc>
          <w:tcPr>
            <w:tcW w:w="3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1,409</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Period-End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7,487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1,516</w:t>
            </w:r>
          </w:p>
        </w:tc>
      </w:tr>
      <w:tr>
        <w:trPr>
          <w:trHeight w:val="203"/>
        </w:trPr>
        <w:tc>
          <w:tcPr>
            <w:tcW w:w="722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40"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Interim Financial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of NN, Inc. have not been audited by independent accountants, except for the balance sheet at December 31, 2000. In the opinion of the Company's management, the financial statements reflect all adjustments necessary to present fairly the results of operations for the three-month periods ended March 31, 2001 and 2000, the Company's financial position at March 31, 2001 and December 31, 2000, and the cash flows for the three-month periods ended March 31, 2001 and 2000. These adjustments are of a normal recurring nature and are, in the opinion of management, necessary for fair presentation of the financial position and operating results for the interim periods.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results for the first quarter of 2001 are not necessarily indicative of future results.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Inventories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Inventories are stated at the lower of cost or market, with cost being determined by the first-in, first-out method.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are comprised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2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March 31,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220" w:type="dxa"/>
            <w:vAlign w:val="bottom"/>
          </w:tcPr>
          <w:p>
            <w:pPr>
              <w:spacing w:after="0"/>
              <w:rPr>
                <w:sz w:val="17"/>
                <w:szCs w:val="17"/>
                <w:color w:val="auto"/>
              </w:rPr>
            </w:pPr>
          </w:p>
        </w:tc>
        <w:tc>
          <w:tcPr>
            <w:tcW w:w="29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2001</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220" w:type="dxa"/>
            <w:vAlign w:val="bottom"/>
          </w:tcPr>
          <w:p>
            <w:pPr>
              <w:spacing w:after="0"/>
              <w:rPr>
                <w:sz w:val="17"/>
                <w:szCs w:val="17"/>
                <w:color w:val="auto"/>
              </w:rPr>
            </w:pPr>
          </w:p>
        </w:tc>
        <w:tc>
          <w:tcPr>
            <w:tcW w:w="2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52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96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296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2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5,154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4,431</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2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5,442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5,265</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2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13,572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14,106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inventory reserve</w:t>
            </w:r>
          </w:p>
        </w:tc>
        <w:tc>
          <w:tcPr>
            <w:tcW w:w="2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3220" w:type="dxa"/>
            <w:vAlign w:val="bottom"/>
          </w:tcPr>
          <w:p>
            <w:pPr>
              <w:spacing w:after="0"/>
              <w:rPr>
                <w:sz w:val="17"/>
                <w:szCs w:val="17"/>
                <w:color w:val="auto"/>
              </w:rPr>
            </w:pPr>
          </w:p>
        </w:tc>
        <w:tc>
          <w:tcPr>
            <w:tcW w:w="296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2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$24,086</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$ 23,742</w:t>
            </w:r>
          </w:p>
        </w:tc>
      </w:tr>
      <w:tr>
        <w:trPr>
          <w:trHeight w:val="203"/>
        </w:trPr>
        <w:tc>
          <w:tcPr>
            <w:tcW w:w="3220" w:type="dxa"/>
            <w:vAlign w:val="bottom"/>
          </w:tcPr>
          <w:p>
            <w:pPr>
              <w:spacing w:after="0"/>
              <w:rPr>
                <w:sz w:val="17"/>
                <w:szCs w:val="17"/>
                <w:color w:val="auto"/>
              </w:rPr>
            </w:pPr>
          </w:p>
        </w:tc>
        <w:tc>
          <w:tcPr>
            <w:tcW w:w="296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4"/>
                <w:szCs w:val="24"/>
                <w:color w:val="auto"/>
              </w:rPr>
            </w:pPr>
          </w:p>
        </w:tc>
        <w:tc>
          <w:tcPr>
            <w:tcW w:w="2960" w:type="dxa"/>
            <w:vAlign w:val="bottom"/>
          </w:tcPr>
          <w:p>
            <w:pPr>
              <w:jc w:val="right"/>
              <w:ind w:right="1872"/>
              <w:spacing w:after="0"/>
              <w:rPr>
                <w:sz w:val="20"/>
                <w:szCs w:val="20"/>
                <w:color w:val="auto"/>
              </w:rPr>
            </w:pPr>
            <w:r>
              <w:rPr>
                <w:rFonts w:ascii="Courier New" w:cs="Courier New" w:eastAsia="Courier New" w:hAnsi="Courier New"/>
                <w:sz w:val="18"/>
                <w:szCs w:val="18"/>
                <w:color w:val="auto"/>
              </w:rPr>
              <w:t>6</w:t>
            </w:r>
          </w:p>
        </w:tc>
        <w:tc>
          <w:tcPr>
            <w:tcW w:w="15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Note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Net Income Per Share</w:t>
      </w:r>
    </w:p>
    <w:p>
      <w:pPr>
        <w:spacing w:after="0" w:line="200" w:lineRule="exact"/>
        <w:rPr>
          <w:sz w:val="20"/>
          <w:szCs w:val="20"/>
          <w:color w:val="auto"/>
        </w:rPr>
      </w:pPr>
    </w:p>
    <w:p>
      <w:pPr>
        <w:sectPr>
          <w:pgSz w:w="11900" w:h="16838" w:orient="portrait"/>
          <w:cols w:equalWidth="0" w:num="2">
            <w:col w:w="740" w:space="220"/>
            <w:col w:w="9259"/>
          </w:cols>
          <w:pgMar w:left="240" w:top="925" w:right="1440" w:bottom="564" w:gutter="0" w:footer="0" w:header="0"/>
        </w:sectPr>
      </w:pPr>
    </w:p>
    <w:p>
      <w:pPr>
        <w:spacing w:after="0" w:line="22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Three Months Ended</w:t>
      </w:r>
    </w:p>
    <w:p>
      <w:pPr>
        <w:ind w:left="7700"/>
        <w:spacing w:after="0" w:line="238" w:lineRule="auto"/>
        <w:rPr>
          <w:sz w:val="20"/>
          <w:szCs w:val="20"/>
          <w:color w:val="auto"/>
        </w:rPr>
      </w:pPr>
      <w:r>
        <w:rPr>
          <w:rFonts w:ascii="Courier New" w:cs="Courier New" w:eastAsia="Courier New" w:hAnsi="Courier New"/>
          <w:sz w:val="18"/>
          <w:szCs w:val="18"/>
          <w:color w:val="auto"/>
        </w:rPr>
        <w:t>March 31,</w:t>
      </w:r>
    </w:p>
    <w:p>
      <w:pPr>
        <w:spacing w:after="0"/>
        <w:tabs>
          <w:tab w:leader="none" w:pos="1460" w:val="left"/>
          <w:tab w:leader="none" w:pos="3260" w:val="left"/>
          <w:tab w:leader="none" w:pos="7260" w:val="left"/>
          <w:tab w:leader="none" w:pos="8740" w:val="left"/>
        </w:tabs>
        <w:rPr>
          <w:sz w:val="20"/>
          <w:szCs w:val="20"/>
          <w:color w:val="auto"/>
        </w:rPr>
      </w:pPr>
      <w:r>
        <w:rPr>
          <w:rFonts w:ascii="Courier New" w:cs="Courier New" w:eastAsia="Courier New" w:hAnsi="Courier New"/>
          <w:sz w:val="18"/>
          <w:szCs w:val="18"/>
          <w:color w:val="auto"/>
        </w:rPr>
        <w:t>Thousands of</w:t>
        <w:tab/>
        <w:t>Dollars, Except</w:t>
        <w:tab/>
        <w:t>Share and Per Share Data</w:t>
      </w:r>
      <w:r>
        <w:rPr>
          <w:sz w:val="20"/>
          <w:szCs w:val="20"/>
          <w:color w:val="auto"/>
        </w:rPr>
        <w:tab/>
      </w: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6"/>
          <w:szCs w:val="16"/>
          <w:color w:val="auto"/>
        </w:rPr>
        <w:t>2000</w:t>
      </w:r>
    </w:p>
    <w:p>
      <w:pPr>
        <w:sectPr>
          <w:pgSz w:w="11900" w:h="16838" w:orient="portrait"/>
          <w:cols w:equalWidth="0" w:num="1">
            <w:col w:w="10219"/>
          </w:cols>
          <w:pgMar w:left="240" w:top="925" w:right="1440" w:bottom="564"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80" w:type="dxa"/>
            <w:vAlign w:val="bottom"/>
          </w:tcPr>
          <w:p>
            <w:pPr>
              <w:ind w:left="158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1,562</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$ 2,110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net income</w:t>
            </w:r>
          </w:p>
        </w:tc>
        <w:tc>
          <w:tcPr>
            <w:tcW w:w="17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7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1,562</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$ 2,110</w:t>
            </w:r>
          </w:p>
        </w:tc>
      </w:tr>
      <w:tr>
        <w:trPr>
          <w:trHeight w:val="203"/>
        </w:trPr>
        <w:tc>
          <w:tcPr>
            <w:tcW w:w="5280" w:type="dxa"/>
            <w:vAlign w:val="bottom"/>
          </w:tcPr>
          <w:p>
            <w:pPr>
              <w:spacing w:after="0"/>
              <w:rPr>
                <w:sz w:val="17"/>
                <w:szCs w:val="17"/>
                <w:color w:val="auto"/>
              </w:rPr>
            </w:pP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29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15,246,909</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15,244,271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7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149,543</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213,387</w:t>
            </w:r>
          </w:p>
        </w:tc>
      </w:tr>
      <w:tr>
        <w:trPr>
          <w:trHeight w:val="203"/>
        </w:trPr>
        <w:tc>
          <w:tcPr>
            <w:tcW w:w="5280" w:type="dxa"/>
            <w:vAlign w:val="bottom"/>
          </w:tcPr>
          <w:p>
            <w:pPr>
              <w:spacing w:after="0"/>
              <w:rPr>
                <w:sz w:val="17"/>
                <w:szCs w:val="17"/>
                <w:color w:val="auto"/>
              </w:rPr>
            </w:pP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15,396,452</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15,457,658</w:t>
            </w:r>
          </w:p>
        </w:tc>
      </w:tr>
      <w:tr>
        <w:trPr>
          <w:trHeight w:val="203"/>
        </w:trPr>
        <w:tc>
          <w:tcPr>
            <w:tcW w:w="5280" w:type="dxa"/>
            <w:vAlign w:val="bottom"/>
          </w:tcPr>
          <w:p>
            <w:pPr>
              <w:spacing w:after="0"/>
              <w:rPr>
                <w:sz w:val="17"/>
                <w:szCs w:val="17"/>
                <w:color w:val="auto"/>
              </w:rPr>
            </w:pP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net income per share</w:t>
            </w:r>
          </w:p>
        </w:tc>
        <w:tc>
          <w:tcPr>
            <w:tcW w:w="17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5280" w:type="dxa"/>
            <w:vAlign w:val="bottom"/>
          </w:tcPr>
          <w:p>
            <w:pPr>
              <w:spacing w:after="0"/>
              <w:rPr>
                <w:sz w:val="17"/>
                <w:szCs w:val="17"/>
                <w:color w:val="auto"/>
              </w:rPr>
            </w:pP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income per share</w:t>
            </w:r>
          </w:p>
        </w:tc>
        <w:tc>
          <w:tcPr>
            <w:tcW w:w="17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5280" w:type="dxa"/>
            <w:vAlign w:val="bottom"/>
          </w:tcPr>
          <w:p>
            <w:pPr>
              <w:spacing w:after="0"/>
              <w:rPr>
                <w:sz w:val="17"/>
                <w:szCs w:val="17"/>
                <w:color w:val="auto"/>
              </w:rPr>
            </w:pPr>
          </w:p>
        </w:tc>
        <w:tc>
          <w:tcPr>
            <w:tcW w:w="29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Excluded from the shares outstanding at March 31, 2001 were 10,750 antidilutive options to purchase common shares at an exercise price of $9.75 to $11.50. Excluded from shares outstanding at March 31, 2000 were 12,750 antidilutive options to purchase common shares at an exercise price of $9.75 to $12.50.</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Segment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During 2000, the Company's reportable segments are based on differences in product lines and geographic locations and are divided between balls and rollers, European operations ("Euroball") and plastics. The ball and roller segment comprises three manufacturing facilities in the eastern United States. The Euroball segment acquired in July 2000, comprises manufacturing facilities located in Kilkenny, Ireland, Eltmann, Germany and Pinerolo, Italy. All of the facilities in the ball and roller and Euroball segments are engaged in the production of precision balls and rollers used primarily in the bearing industry. The plastics segment is comprised of the Industrial Molding Corporation ("IMC") business, located in Lubbuck, Texas, which was acquired in July 1999 and the Delta Rubber Company ("Delta") business, located in Danielson, Connecticut, which was acquired in February 2001. IMC is engaged in the production of plastic injection molded products for the bearing, automotive, instrumentation, fiber optic and consumer hardware markets. Delta is engaged in the production of engineered bearing seals and other precision-molded rubber products to original equipment manufacturers.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the summary of significant accounting policies.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the three month period ended March 31, 2001 and 2000.</w:t>
      </w:r>
    </w:p>
    <w:p>
      <w:pPr>
        <w:sectPr>
          <w:pgSz w:w="11900" w:h="16838" w:orient="portrait"/>
          <w:cols w:equalWidth="0" w:num="1">
            <w:col w:w="10219"/>
          </w:cols>
          <w:pgMar w:left="240" w:top="925" w:right="1440" w:bottom="564"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Three Months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March 31,</w:t>
      </w:r>
    </w:p>
    <w:p>
      <w:pPr>
        <w:ind w:left="3380"/>
        <w:spacing w:after="0" w:line="238" w:lineRule="auto"/>
        <w:rPr>
          <w:sz w:val="20"/>
          <w:szCs w:val="20"/>
          <w:color w:val="auto"/>
        </w:rPr>
      </w:pPr>
      <w:r>
        <w:rPr>
          <w:rFonts w:ascii="Courier New" w:cs="Courier New" w:eastAsia="Courier New" w:hAnsi="Courier New"/>
          <w:sz w:val="18"/>
          <w:szCs w:val="18"/>
          <w:color w:val="auto"/>
        </w:rPr>
        <w:t>2001</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March 31,</w:t>
      </w:r>
    </w:p>
    <w:p>
      <w:pPr>
        <w:ind w:left="720"/>
        <w:spacing w:after="0" w:line="238" w:lineRule="auto"/>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ectPr>
          <w:pgSz w:w="11900" w:h="16838" w:orient="portrait"/>
          <w:cols w:equalWidth="0" w:num="2">
            <w:col w:w="5300" w:space="720"/>
            <w:col w:w="4199"/>
          </w:cols>
          <w:pgMar w:left="240" w:top="925" w:right="1440" w:bottom="564" w:gutter="0" w:footer="0" w:header="0"/>
          <w:type w:val="continuous"/>
        </w:sectPr>
      </w:pPr>
    </w:p>
    <w:p>
      <w:pPr>
        <w:spacing w:after="0" w:line="2" w:lineRule="exact"/>
        <w:rPr>
          <w:sz w:val="20"/>
          <w:szCs w:val="20"/>
          <w:color w:val="auto"/>
        </w:rPr>
      </w:pPr>
    </w:p>
    <w:p>
      <w:pPr>
        <w:spacing w:after="0"/>
        <w:tabs>
          <w:tab w:leader="none" w:pos="2200" w:val="left"/>
          <w:tab w:leader="none" w:pos="5460" w:val="left"/>
        </w:tabs>
        <w:rPr>
          <w:sz w:val="20"/>
          <w:szCs w:val="20"/>
          <w:color w:val="auto"/>
        </w:rPr>
      </w:pPr>
      <w:r>
        <w:rPr>
          <w:rFonts w:ascii="Courier New" w:cs="Courier New" w:eastAsia="Courier New" w:hAnsi="Courier New"/>
          <w:sz w:val="18"/>
          <w:szCs w:val="18"/>
          <w:color w:val="auto"/>
        </w:rPr>
        <w:t>Thousands of</w:t>
      </w:r>
      <w:r>
        <w:rPr>
          <w:sz w:val="20"/>
          <w:szCs w:val="20"/>
          <w:color w:val="auto"/>
        </w:rPr>
        <w:tab/>
      </w:r>
      <w:r>
        <w:rPr>
          <w:rFonts w:ascii="Courier New" w:cs="Courier New" w:eastAsia="Courier New" w:hAnsi="Courier New"/>
          <w:sz w:val="18"/>
          <w:szCs w:val="18"/>
          <w:color w:val="auto"/>
        </w:rPr>
        <w:t>Ball &amp;</w:t>
      </w:r>
      <w:r>
        <w:rPr>
          <w:sz w:val="20"/>
          <w:szCs w:val="20"/>
          <w:color w:val="auto"/>
        </w:rPr>
        <w:tab/>
      </w:r>
      <w:r>
        <w:rPr>
          <w:rFonts w:ascii="Courier New" w:cs="Courier New" w:eastAsia="Courier New" w:hAnsi="Courier New"/>
          <w:sz w:val="16"/>
          <w:szCs w:val="16"/>
          <w:color w:val="auto"/>
        </w:rPr>
        <w:t>Ball &amp;</w:t>
      </w:r>
    </w:p>
    <w:p>
      <w:pPr>
        <w:spacing w:after="0"/>
        <w:tabs>
          <w:tab w:leader="none" w:pos="2200" w:val="left"/>
          <w:tab w:leader="none" w:pos="3260" w:val="left"/>
          <w:tab w:leader="none" w:pos="4300" w:val="left"/>
          <w:tab w:leader="none" w:pos="5460" w:val="left"/>
          <w:tab w:leader="none" w:pos="6420" w:val="left"/>
          <w:tab w:leader="none" w:pos="7580" w:val="left"/>
        </w:tabs>
        <w:rPr>
          <w:sz w:val="20"/>
          <w:szCs w:val="20"/>
          <w:color w:val="auto"/>
        </w:rPr>
      </w:pPr>
      <w:r>
        <w:rPr>
          <w:rFonts w:ascii="Courier New" w:cs="Courier New" w:eastAsia="Courier New" w:hAnsi="Courier New"/>
          <w:sz w:val="18"/>
          <w:szCs w:val="18"/>
          <w:color w:val="auto"/>
        </w:rPr>
        <w:t>Dollars</w:t>
      </w:r>
      <w:r>
        <w:rPr>
          <w:sz w:val="20"/>
          <w:szCs w:val="20"/>
          <w:color w:val="auto"/>
        </w:rPr>
        <w:tab/>
      </w:r>
      <w:r>
        <w:rPr>
          <w:rFonts w:ascii="Courier New" w:cs="Courier New" w:eastAsia="Courier New" w:hAnsi="Courier New"/>
          <w:sz w:val="18"/>
          <w:szCs w:val="18"/>
          <w:color w:val="auto"/>
        </w:rPr>
        <w:t>Roller</w:t>
      </w:r>
      <w:r>
        <w:rPr>
          <w:sz w:val="20"/>
          <w:szCs w:val="20"/>
          <w:color w:val="auto"/>
        </w:rPr>
        <w:tab/>
      </w:r>
      <w:r>
        <w:rPr>
          <w:rFonts w:ascii="Courier New" w:cs="Courier New" w:eastAsia="Courier New" w:hAnsi="Courier New"/>
          <w:sz w:val="18"/>
          <w:szCs w:val="18"/>
          <w:color w:val="auto"/>
        </w:rPr>
        <w:t>Euroball</w:t>
        <w:tab/>
        <w:t>Plastics</w:t>
      </w:r>
      <w:r>
        <w:rPr>
          <w:sz w:val="20"/>
          <w:szCs w:val="20"/>
          <w:color w:val="auto"/>
        </w:rPr>
        <w:tab/>
      </w:r>
      <w:r>
        <w:rPr>
          <w:rFonts w:ascii="Courier New" w:cs="Courier New" w:eastAsia="Courier New" w:hAnsi="Courier New"/>
          <w:sz w:val="18"/>
          <w:szCs w:val="18"/>
          <w:color w:val="auto"/>
        </w:rPr>
        <w:t>Roller</w:t>
      </w:r>
      <w:r>
        <w:rPr>
          <w:sz w:val="20"/>
          <w:szCs w:val="20"/>
          <w:color w:val="auto"/>
        </w:rPr>
        <w:tab/>
      </w:r>
      <w:r>
        <w:rPr>
          <w:rFonts w:ascii="Courier New" w:cs="Courier New" w:eastAsia="Courier New" w:hAnsi="Courier New"/>
          <w:sz w:val="18"/>
          <w:szCs w:val="18"/>
          <w:color w:val="auto"/>
        </w:rPr>
        <w:t>Euroball</w:t>
      </w:r>
      <w:r>
        <w:rPr>
          <w:sz w:val="20"/>
          <w:szCs w:val="20"/>
          <w:color w:val="auto"/>
        </w:rPr>
        <w:tab/>
      </w:r>
      <w:r>
        <w:rPr>
          <w:rFonts w:ascii="Courier New" w:cs="Courier New" w:eastAsia="Courier New" w:hAnsi="Courier New"/>
          <w:sz w:val="16"/>
          <w:szCs w:val="16"/>
          <w:color w:val="auto"/>
        </w:rPr>
        <w:t>Plastics</w:t>
      </w:r>
    </w:p>
    <w:p>
      <w:pPr>
        <w:sectPr>
          <w:pgSz w:w="11900" w:h="16838" w:orient="portrait"/>
          <w:cols w:equalWidth="0" w:num="1">
            <w:col w:w="10219"/>
          </w:cols>
          <w:pgMar w:left="240" w:top="925" w:right="1440" w:bottom="564"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54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 ------------------- ---------- --------- ---------</w:t>
            </w:r>
          </w:p>
        </w:tc>
        <w:tc>
          <w:tcPr>
            <w:tcW w:w="3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 ---------- ----------</w:t>
            </w:r>
          </w:p>
        </w:tc>
      </w:tr>
      <w:tr>
        <w:trPr>
          <w:trHeight w:val="608"/>
        </w:trPr>
        <w:tc>
          <w:tcPr>
            <w:tcW w:w="2320" w:type="dxa"/>
            <w:vAlign w:val="bottom"/>
          </w:tcPr>
          <w:p>
            <w:pPr>
              <w:spacing w:after="0"/>
              <w:rPr>
                <w:sz w:val="20"/>
                <w:szCs w:val="20"/>
                <w:color w:val="auto"/>
              </w:rPr>
            </w:pPr>
            <w:r>
              <w:rPr>
                <w:rFonts w:ascii="Courier New" w:cs="Courier New" w:eastAsia="Courier New" w:hAnsi="Courier New"/>
                <w:sz w:val="18"/>
                <w:szCs w:val="18"/>
                <w:color w:val="auto"/>
              </w:rPr>
              <w:t>Revenues from</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external customers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$ 25,337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$ 9,091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$ 8,877</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profit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(486)</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 assets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62,468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86,825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59,904</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61,673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31,689</w:t>
            </w:r>
          </w:p>
        </w:tc>
      </w:tr>
      <w:tr>
        <w:trPr>
          <w:trHeight w:val="608"/>
        </w:trPr>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925" w:right="1440" w:bottom="564" w:gutter="0" w:footer="0" w:header="0"/>
          <w:type w:val="continuous"/>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Acquisitions and Joint Ventures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February 16, 2001, the Company completed the acquisition of all of the outstanding stock of The Delta Rubber Company, a Connecticut corporation ("Delta") for $22.5 million in cash, of which $500,000 is to be held in escrow for one year from the date of closing. Delta provides high quality engineered bearing seals and other precision-molded rubber products to original equipment manufacturers. NN plans to continue the operation of the Delta business, which operates a manufacturing facility in Danielson, Connecticut. AmSouth Bank provided financing for the transaction.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16, 2000, the Company entered into a 50/50 joint venture with General Bearing Corporation called NN General LLC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July 31, 2000, the Company formed a majority owned stand-alone company in Europe, NN Euroball ApS ("Euroball"), for the manufacture and sale of chrome steel balls used for ball bearings and other products. The Company owns 54% of Euroball. AB SKF ("SKF")and FAG Kugelfisher Georg Shafer AG ("FAG") each own 23%.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ability to exercise control over its operations and has accounted for the acquisitions of the Pinerolo, Italy and Eltmann, Germany ball factories using the purchase method of accounting. Goodwill arising from this acquisition is being amortized on a straight-line basis over 20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August 31, 2000 the Company acquired a 51% ownership interest in NN Mexico,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LLC ("NN Mexico"), a Delaware limited liability company. NN Mexico holds as 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investment a 100% ownership interest in NN Arte, a manufacturer of plastic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components located in Guadalajara, Mexico. To acquire its 51% ownership of NN</w:t>
      </w:r>
    </w:p>
    <w:p>
      <w:pPr>
        <w:spacing w:after="0" w:line="238" w:lineRule="auto"/>
        <w:rPr>
          <w:sz w:val="20"/>
          <w:szCs w:val="20"/>
          <w:color w:val="auto"/>
        </w:rPr>
      </w:pPr>
      <w:r>
        <w:rPr>
          <w:rFonts w:ascii="Courier New" w:cs="Courier New" w:eastAsia="Courier New" w:hAnsi="Courier New"/>
          <w:sz w:val="18"/>
          <w:szCs w:val="18"/>
          <w:color w:val="auto"/>
        </w:rPr>
        <w:t>Mexico, the Company made an initial contribution of $879,000, an additional</w:t>
      </w:r>
    </w:p>
    <w:p>
      <w:pPr>
        <w:spacing w:after="0"/>
        <w:rPr>
          <w:sz w:val="20"/>
          <w:szCs w:val="20"/>
          <w:color w:val="auto"/>
        </w:rPr>
      </w:pPr>
      <w:r>
        <w:rPr>
          <w:rFonts w:ascii="Courier New" w:cs="Courier New" w:eastAsia="Courier New" w:hAnsi="Courier New"/>
          <w:sz w:val="18"/>
          <w:szCs w:val="18"/>
          <w:color w:val="auto"/>
        </w:rPr>
        <w:t>contribution of $671,000, and is obligated to provide additional funding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 payable upon certain performance conditions at NN Arte. The Company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to consolidate NN Mexico due to its ability to exercise control over NN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Arte's operations and has accounted for this acquisition using the purchase</w:t>
      </w:r>
    </w:p>
    <w:p>
      <w:pPr>
        <w:spacing w:after="0" w:line="238" w:lineRule="auto"/>
        <w:rPr>
          <w:sz w:val="20"/>
          <w:szCs w:val="20"/>
          <w:color w:val="auto"/>
        </w:rPr>
      </w:pPr>
      <w:r>
        <w:rPr>
          <w:rFonts w:ascii="Courier New" w:cs="Courier New" w:eastAsia="Courier New" w:hAnsi="Courier New"/>
          <w:sz w:val="18"/>
          <w:szCs w:val="18"/>
          <w:color w:val="auto"/>
        </w:rPr>
        <w:t>method of accounting. At December 31, 2000, NN Arte had not commenced</w:t>
      </w:r>
    </w:p>
    <w:p>
      <w:pPr>
        <w:spacing w:after="0"/>
        <w:rPr>
          <w:sz w:val="20"/>
          <w:szCs w:val="20"/>
          <w:color w:val="auto"/>
        </w:rPr>
      </w:pPr>
      <w:r>
        <w:rPr>
          <w:rFonts w:ascii="Courier New" w:cs="Courier New" w:eastAsia="Courier New" w:hAnsi="Courier New"/>
          <w:sz w:val="18"/>
          <w:szCs w:val="18"/>
          <w:color w:val="auto"/>
        </w:rPr>
        <w:t>operations.</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Fire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12, 2000, the Company experienced a fire at its Erwin, Tennessee facility. The fire was contained to approximately 30% of the production area and did not result in serious injury to any employee. Effected production was shifted to the Company's other facilities as possible as well as the use of other suppliers to protect product supply to customers. Insurance coverage for the loss provides for the reimbursement of replacement value of property and equipment damaged in the fire. At March 31, 2001</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9" w:name="page10"/>
    <w:bookmarkEnd w:id="9"/>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is in the process of settling the insurance claim. A net loss of $25,000 was recorded during the quarter ended March 31, 2000. No gain or loss was recorded during the quarter ended March 31, 2001.</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Net sales increased by approximately $22.2 million, or 79.3%, from $28.0 million for the first quarter of 2000 to $50.2 million for the first quarter of 2001. The formation of Euroball in July of 2000 contributed $22.6 of the increase, excluding the first quarter sales of the Ireland facility, which was consolidated into the results of the Company prior to the formation of Euroball. The Company's acqusition of the Delta Rubber Company on February 16, 2001 contributed $2.2 million of the increase. Offsetting these increases was decreased sales of $2.0 million for IMC and $900,000 at the domestic ball and roller facilities.</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Gross Profit. Gross profit increased $4.4 million, or 57.1%, from $7.7 million for the first quarter of 2000 to $12.0 million for the first quarter of 2001. Excluding the Ireland facility's first quarter, Euroball contributed $5.5 million of the increase. The Delta acquisition contributed $511,000. Offsetting these increases were decreased gross profits of $600,000 and $1.1 million at the domestic ball and roller facility and the IMC facility. As a percentage of net sales, gross profit decreased from 27.3% in the first quarter of 2000 to 24.0 % for the same period in 2001. The decrease in gross profit as a percentage of sales was due to inventory reductions at the domestic ball and roller facilities as well as related margin decline due to soft economic conditions.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expenses increased $1.7 million from $2.3 million for the first quarter of 2000 to $4.0 million in 2001. The Euroball segment, excluding the Ireland facility, accounted for $1.5 million of the increase. The acquisiton of Delta accounted for the remaining $170,000 of the increase. As a percentage of net sales, selling, general and administrative expenses decreased slightly from 8.3% in the first quarter of 2000 to 8.0% for the first quarter of 2001.</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expense increased from $1.8 million or 79.4% for the first quarter of 2000 to $3.3 million for the same period in 2001. The Euroball segment accounted for $1.2 million of the increase. The Delta acquisition accounted for approximately $150,000 of the increase. The remainder of the increase was due primarily to purchases of capital equipment at the Company's domestic ball and roller facilities. As a percentage of net sales, depreciation and amortization expense remained at 6.6% for first quarters of 2000 and 2001.</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Interest Expense. Interest expense increased by $891,000 from $291,000 in the first quarter of 2000 to $1.2 million during the same period in 2001. Interest expense incurred by Euroball to finance the joint venture transaction accounted for $531,000 of the increase. The remainder of the increase was due to increased amounts outstanding under the Company's line of credit in the first quarter of 2001. In February of 2001, the Company borrowed $22.5 million under the line of credit for the purchase of the Delta Rubber Company. As a percentage of net sales, interest expense increased from 1.0% in the first quarter of 2000 to 2.4% for the same period in 2001.</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Equity in Earnings of Unconsolidated Affiliates. Equity in earnings of unconsolidated affiliates increased $36,000 from $13,000 in the first quarter of 2000 to $49,000 during the same period of 2001. The increase is due to the Company's share of earnings from the NN General joint venture with General Bearing</w:t>
      </w: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Corporation. Earnings from this venture were offset by losses incurred</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from the start-up of NN Asia, a joint venture formed to market products produced by NN General.</w:t>
      </w:r>
    </w:p>
    <w:p>
      <w:pPr>
        <w:spacing w:after="0" w:line="20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Net loss on Involuntary Conversion. The Company recorded a net loss of $25,000 on loss on involuntary conversion in the first quarter of 2000 related to the March 12, 2000 fire at the Erwin Tennessee ball and roller facility.</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Minority Interest in Consolidated Subsidiary. Minority interest in consolidated subsidiary increase $550,000 from $0 in the first quarter of 2000 to $550,000 in the first quarter of 2001. This increase is due to minority interest of $679,000 recorded for the Euroball transaction and ($129,000) recorded for NN Arte. The Company is required to consolidate Euroball and NN Arte as the Company owns 54% and 51% respectively of Euroball and NN Arte with the minority shareholders owning the remaining 46% and 49% respectively.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Income. Net income decreased from $2.1 million for the first quarter of 2000 to $1.6 million for the same period in 2001. As a percentage of net sales, net income decreased from 7.5% in the first quarter of 2000 to 3.1% for the first quarter of 2001. This decrease in net income as a percentage of net sales was due primarily to decreased gross profits as a percentage of sales, increased interest expense associated with the Company's acquisitions and minority interest recorded.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July 1997, the Company entered into a loan agreement with First American National Bank ("First American") which provides for a revolving credit facility of up to $25 million, expiring on June 30, 2000. In July 2000, the Company extended the terms of the loan agreement with First American to expire on October 30, 2001. Amounts outstanding under the revolving facility are unsecured and bear interest at a floating rate equal to, at the Company's option, either LIBOR plus 0.65% or the Fed Funds effective rate plus 1.5%. In August 2000, the Company entered into an agreement, which provided an additional $2 million of availability to the revolving credit facility through December 31, 2000.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In February of 2001, the Company extended and restated the $25 million revolving credit facility with AmSouth Bank to temporarily increase the facility to $50 million. The facility is planned to be reduced to $25 million on June 30, 2001 in anticipation of the Company structuring long-term financing arrangements for this amount. The original $25 million revolving credit facility will expire on July 25, 2003. In February 2001, the Company drew $23 million against the new line to finance the acquisition of Delta. Amounts outstanding under the amended revolving facility are unsecured and bear interest at a floating rate equal to LIBOR plus an applicable margin of between 0.65% and 2.15% based upon calculated financial ratios. The loan contains various restrictive financial and non-financial covenants. The Company, as of March 31, 2001, was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March 1, 2001, the Company entered into an agreement with AmSouth Bank which provides an additional $2 million of availability to the revolving credit facility through June 1, 2001. At March 31, 2001, the Company had no amounts outstanding under this agreement.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 w:name="page12"/>
    <w:bookmarkEnd w:id="11"/>
    <w:p>
      <w:pPr>
        <w:jc w:val="both"/>
        <w:ind w:right="1779"/>
        <w:spacing w:after="0" w:line="237" w:lineRule="auto"/>
        <w:rPr>
          <w:sz w:val="20"/>
          <w:szCs w:val="20"/>
          <w:color w:val="auto"/>
        </w:rPr>
      </w:pPr>
      <w:r>
        <w:rPr>
          <w:rFonts w:ascii="Courier New" w:cs="Courier New" w:eastAsia="Courier New" w:hAnsi="Courier New"/>
          <w:sz w:val="18"/>
          <w:szCs w:val="18"/>
          <w:color w:val="auto"/>
        </w:rPr>
        <w:t>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plus an applicable margin of between 1.125% to 2.25% based upon calculated financial ratios. The loan agreement contains various restrictive financial and non financial covenants. The Company, as of March 31, 2001, was in compliance with all such covenants.</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plastics division which provides several lines of seasonal hardware.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Working capital, which consists principally of accounts receivable and inventories, was $6.6 million at March 31, 2001 as compared to $28.2 million at December 31, 2000. The decrease is primarily attributable to the Company's short-term acquisition financing of $24.6 million as discussed above in this section. The ratio of current assets to current liabilities decreased from 1.79:1 at December 31, 2000 to 1.10:1 at March 31, 2001. Cash flow from operations increased slightly from $5.0 million during the first quarter of 2000 to $5.3 million during the same period in 2001.</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During 2001, the Company plans to spend approximately $5.3 million on capital expenditures of which approximately $1.1 million has been spent through March 31, 2001.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Euro</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Fluctuation in Quarterly Results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 and Changes in Prices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38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Cautionary Statements for Purposes of the "Safe Harbor" Provisions of the Private Securities Litigation Reform Act of 1995</w:t>
      </w:r>
    </w:p>
    <w:p>
      <w:pPr>
        <w:spacing w:after="0" w:line="208"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38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update or revise any forward-looking statements, whether as a result of new information, future events or otherwise.</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Industry Risks. Both the precision ball and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 w:name="page14"/>
    <w:bookmarkEnd w:id="13"/>
    <w:p>
      <w:pPr>
        <w:ind w:right="1779" w:firstLine="843"/>
        <w:spacing w:after="0" w:line="238" w:lineRule="auto"/>
        <w:rPr>
          <w:sz w:val="20"/>
          <w:szCs w:val="20"/>
          <w:color w:val="auto"/>
        </w:rPr>
      </w:pPr>
      <w:r>
        <w:rPr>
          <w:rFonts w:ascii="Courier New" w:cs="Courier New" w:eastAsia="Courier New" w:hAnsi="Courier New"/>
          <w:sz w:val="18"/>
          <w:szCs w:val="18"/>
          <w:color w:val="auto"/>
        </w:rPr>
        <w:t>Competition. The precision ball and roller market and the precision plastics market are highly competitive, and many of the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Rapid Growth. The Company has significantly expanded its ball and roller production facilities and capacity over the last several years. During 1997, the Company purchased an additional manufacturing plant in Kilkenny, Ireland. The Company continued this expansion in 2000 through its 54% ownership of the NN Euroball joint venture with SKF and FAG. In addition, the Company invested in Jiangsu General Ball &amp; Roller Company, a Chinese joint venture specializing in various types of ball production.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210"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Risks Associated with International Trade. Because the Company (a) 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w:t>
      </w:r>
    </w:p>
    <w:p>
      <w:pPr>
        <w:spacing w:after="0" w:line="1" w:lineRule="exact"/>
        <w:rPr>
          <w:sz w:val="20"/>
          <w:szCs w:val="20"/>
          <w:color w:val="auto"/>
        </w:rPr>
      </w:pPr>
    </w:p>
    <w:p>
      <w:pPr>
        <w:ind w:right="177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Dependence on Major Customers. During 2000, the Company's ten largest customers accounted for approximately 69% of its net sales. Sales to various US and foreign divisions of SKF, which is one of the largest bearing manufacturers in the world, accounted for approximately 32% of net sales in 2000, and sales to FAG accounted for approximately 17% of net sales. None of the Company's other customers accounted for more than 5% of its net sales in 2000. The loss of all or a substantial portion of sales to these customers would have a material adverse effect on the Company's business.</w:t>
      </w:r>
    </w:p>
    <w:p>
      <w:pPr>
        <w:spacing w:after="0" w:line="212"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Acquisitions. The Company's growth strategy includes growth through acquisitions. In 1999, the Company acquired the IMC businesses as part of that strategy. In 2000, the Company formed the NN Euroball joint venture with SKF and FAG and began operating two new ball manufacturing facilities. In February of 2001, the Company continued to implement this strategy through the acquisition of Delta. Although the Company believes that it will be able to continue to integrate the operations of IMC, NN Euroball, Delta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ectPr>
          <w:pgSz w:w="11900" w:h="16838" w:orient="portrait"/>
          <w:cols w:equalWidth="0" w:num="1">
            <w:col w:w="10219"/>
          </w:cols>
          <w:pgMar w:left="240" w:top="723" w:right="1440" w:bottom="1149" w:gutter="0" w:footer="0" w:header="0"/>
        </w:sectPr>
      </w:pPr>
    </w:p>
    <w:bookmarkStart w:id="14" w:name="page15"/>
    <w:bookmarkEnd w:id="14"/>
    <w:p>
      <w:pPr>
        <w:ind w:left="2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142" w:right="1440" w:bottom="1440" w:gutter="0" w:footer="0" w:header="0"/>
        </w:sectPr>
      </w:pPr>
    </w:p>
    <w:bookmarkStart w:id="15" w:name="page16"/>
    <w:bookmarkEnd w:id="15"/>
    <w:p>
      <w:pPr>
        <w:ind w:left="860"/>
        <w:spacing w:after="0"/>
        <w:tabs>
          <w:tab w:leader="none" w:pos="1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860" w:right="1879" w:hanging="852"/>
        <w:spacing w:after="0" w:line="23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 2001, the Company filed a Report on Form 8-K to announce the acquisition of the outstanding stock from the Delta Rubber Company, a Conneticut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2" w:right="1440" w:bottom="1440" w:gutter="0" w:footer="0" w:header="0"/>
        </w:sectPr>
      </w:pPr>
    </w:p>
    <w:bookmarkStart w:id="16" w:name="page17"/>
    <w:bookmarkEnd w:id="16"/>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22" w:right="1440" w:bottom="1440" w:gutter="0" w:footer="0" w:header="0"/>
        </w:sectPr>
      </w:pP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11,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Roderick R. Baty, President and</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(Duly Authorized Officer)</w:t>
      </w:r>
    </w:p>
    <w:p>
      <w:pPr>
        <w:spacing w:after="0" w:line="200" w:lineRule="exact"/>
        <w:rPr>
          <w:sz w:val="20"/>
          <w:szCs w:val="20"/>
          <w:color w:val="auto"/>
        </w:rPr>
      </w:pPr>
    </w:p>
    <w:p>
      <w:pPr>
        <w:sectPr>
          <w:pgSz w:w="11900" w:h="16838" w:orient="portrait"/>
          <w:cols w:equalWidth="0" w:num="2">
            <w:col w:w="3600" w:space="720"/>
            <w:col w:w="5899"/>
          </w:cols>
          <w:pgMar w:left="240" w:top="1122" w:right="1440" w:bottom="1440" w:gutter="0" w:footer="0" w:header="0"/>
          <w:type w:val="continuous"/>
        </w:sectPr>
      </w:pPr>
    </w:p>
    <w:p>
      <w:pPr>
        <w:ind w:left="860"/>
        <w:spacing w:after="0"/>
        <w:rPr>
          <w:sz w:val="20"/>
          <w:szCs w:val="20"/>
          <w:color w:val="auto"/>
        </w:rPr>
      </w:pPr>
      <w:r>
        <w:rPr>
          <w:rFonts w:ascii="Courier New" w:cs="Courier New" w:eastAsia="Courier New" w:hAnsi="Courier New"/>
          <w:sz w:val="18"/>
          <w:szCs w:val="18"/>
          <w:color w:val="auto"/>
        </w:rPr>
        <w:t>May 11,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/s/ 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L. Dyckman</w:t>
      </w:r>
    </w:p>
    <w:p>
      <w:pPr>
        <w:spacing w:after="0" w:line="238" w:lineRule="auto"/>
        <w:rPr>
          <w:sz w:val="20"/>
          <w:szCs w:val="20"/>
          <w:color w:val="auto"/>
        </w:rPr>
      </w:pPr>
      <w:r>
        <w:rPr>
          <w:rFonts w:ascii="Courier New" w:cs="Courier New" w:eastAsia="Courier New" w:hAnsi="Courier New"/>
          <w:sz w:val="18"/>
          <w:szCs w:val="18"/>
          <w:color w:val="auto"/>
        </w:rPr>
        <w:t>Chief Financial Officer and</w:t>
      </w:r>
    </w:p>
    <w:p>
      <w:pPr>
        <w:spacing w:after="0"/>
        <w:rPr>
          <w:sz w:val="20"/>
          <w:szCs w:val="20"/>
          <w:color w:val="auto"/>
        </w:rPr>
      </w:pPr>
      <w:r>
        <w:rPr>
          <w:rFonts w:ascii="Courier New" w:cs="Courier New" w:eastAsia="Courier New" w:hAnsi="Courier New"/>
          <w:sz w:val="18"/>
          <w:szCs w:val="18"/>
          <w:color w:val="auto"/>
        </w:rPr>
        <w:t>Vice President</w:t>
      </w:r>
    </w:p>
    <w:p>
      <w:pPr>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38" w:lineRule="auto"/>
        <w:rPr>
          <w:sz w:val="20"/>
          <w:szCs w:val="20"/>
          <w:color w:val="auto"/>
        </w:rPr>
      </w:pPr>
      <w:r>
        <w:rPr>
          <w:rFonts w:ascii="Courier New" w:cs="Courier New" w:eastAsia="Courier New" w:hAnsi="Courier New"/>
          <w:sz w:val="18"/>
          <w:szCs w:val="18"/>
          <w:color w:val="auto"/>
        </w:rPr>
        <w:t>(Duly Authorized Officer)</w:t>
      </w:r>
    </w:p>
    <w:p>
      <w:pPr>
        <w:spacing w:after="0" w:line="200" w:lineRule="exact"/>
        <w:rPr>
          <w:sz w:val="20"/>
          <w:szCs w:val="20"/>
          <w:color w:val="auto"/>
        </w:rPr>
      </w:pPr>
    </w:p>
    <w:p>
      <w:pPr>
        <w:sectPr>
          <w:pgSz w:w="11900" w:h="16838" w:orient="portrait"/>
          <w:cols w:equalWidth="0" w:num="2">
            <w:col w:w="3600" w:space="720"/>
            <w:col w:w="5899"/>
          </w:cols>
          <w:pgMar w:left="240" w:top="1122" w:right="1440" w:bottom="144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11,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William C. Kelly,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William C. Kelly,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Assistant Secretary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Accounting Officer</w:t>
      </w:r>
    </w:p>
    <w:p>
      <w:pPr>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rPr>
          <w:sz w:val="20"/>
          <w:szCs w:val="20"/>
          <w:color w:val="auto"/>
        </w:rPr>
      </w:pPr>
      <w:r>
        <w:rPr>
          <w:rFonts w:ascii="Courier New" w:cs="Courier New" w:eastAsia="Courier New" w:hAnsi="Courier New"/>
          <w:sz w:val="18"/>
          <w:szCs w:val="18"/>
          <w:color w:val="auto"/>
        </w:rPr>
        <w:t>(Duly Authorized Officer)</w:t>
      </w:r>
    </w:p>
    <w:p>
      <w:pPr>
        <w:spacing w:after="0" w:line="200" w:lineRule="exact"/>
        <w:rPr>
          <w:sz w:val="20"/>
          <w:szCs w:val="20"/>
          <w:color w:val="auto"/>
        </w:rPr>
      </w:pPr>
    </w:p>
    <w:p>
      <w:pPr>
        <w:sectPr>
          <w:pgSz w:w="11900" w:h="16838" w:orient="portrait"/>
          <w:cols w:equalWidth="0" w:num="2">
            <w:col w:w="3600" w:space="720"/>
            <w:col w:w="589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2019-12-14T03:08:03Z</dcterms:created>
  <dcterms:modified xsi:type="dcterms:W3CDTF">2019-12-14T03:08:03Z</dcterms:modified>
</cp:coreProperties>
</file>