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9"/>
        <w:spacing w:after="0"/>
        <w:rPr>
          <w:sz w:val="20"/>
          <w:szCs w:val="20"/>
          <w:color w:val="auto"/>
        </w:rPr>
      </w:pPr>
      <w:r>
        <w:rPr>
          <w:rFonts w:ascii="Arial" w:cs="Arial" w:eastAsia="Arial" w:hAnsi="Arial"/>
          <w:sz w:val="25"/>
          <w:szCs w:val="25"/>
          <w:b w:val="1"/>
          <w:bCs w:val="1"/>
          <w:color w:val="auto"/>
        </w:rPr>
        <w:t>PURSUANT TO SECTION 13 OR 15(d)</w:t>
      </w:r>
    </w:p>
    <w:p>
      <w:pPr>
        <w:spacing w:after="0" w:line="10"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93" w:lineRule="exact"/>
        <w:rPr>
          <w:sz w:val="24"/>
          <w:szCs w:val="24"/>
          <w:color w:val="auto"/>
        </w:rPr>
      </w:pPr>
    </w:p>
    <w:p>
      <w:pPr>
        <w:ind w:left="1600"/>
        <w:spacing w:after="0"/>
        <w:rPr>
          <w:sz w:val="20"/>
          <w:szCs w:val="20"/>
          <w:color w:val="auto"/>
        </w:rPr>
      </w:pPr>
      <w:r>
        <w:rPr>
          <w:rFonts w:ascii="Arial" w:cs="Arial" w:eastAsia="Arial" w:hAnsi="Arial"/>
          <w:sz w:val="22"/>
          <w:szCs w:val="22"/>
          <w:b w:val="1"/>
          <w:bCs w:val="1"/>
          <w:color w:val="auto"/>
        </w:rPr>
        <w:t>Date of Report (Date of earliest event reported): November 20, 2015 (November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165735</wp:posOffset>
            </wp:positionV>
            <wp:extent cx="90932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932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280" w:type="dxa"/>
            <w:vAlign w:val="bottom"/>
          </w:tcPr>
          <w:p>
            <w:pPr>
              <w:jc w:val="center"/>
              <w:ind w:right="321"/>
              <w:spacing w:after="0"/>
              <w:rPr>
                <w:sz w:val="20"/>
                <w:szCs w:val="20"/>
                <w:color w:val="auto"/>
              </w:rPr>
            </w:pPr>
            <w:r>
              <w:rPr>
                <w:rFonts w:ascii="Arial" w:cs="Arial" w:eastAsia="Arial" w:hAnsi="Arial"/>
                <w:sz w:val="18"/>
                <w:szCs w:val="18"/>
                <w:b w:val="1"/>
                <w:bCs w:val="1"/>
                <w:color w:val="auto"/>
                <w:w w:val="90"/>
              </w:rPr>
              <w:t>0-23486</w:t>
            </w:r>
          </w:p>
        </w:tc>
        <w:tc>
          <w:tcPr>
            <w:tcW w:w="198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3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8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90"/>
              </w:rPr>
              <w:t>(Commission</w:t>
            </w:r>
          </w:p>
        </w:tc>
        <w:tc>
          <w:tcPr>
            <w:tcW w:w="1980" w:type="dxa"/>
            <w:vAlign w:val="bottom"/>
          </w:tcPr>
          <w:p>
            <w:pPr>
              <w:jc w:val="center"/>
              <w:ind w:left="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280" w:type="dxa"/>
            <w:vAlign w:val="bottom"/>
          </w:tcPr>
          <w:p>
            <w:pPr>
              <w:jc w:val="center"/>
              <w:ind w:right="321"/>
              <w:spacing w:after="0"/>
              <w:rPr>
                <w:sz w:val="20"/>
                <w:szCs w:val="20"/>
                <w:color w:val="auto"/>
              </w:rPr>
            </w:pPr>
            <w:r>
              <w:rPr>
                <w:rFonts w:ascii="Arial" w:cs="Arial" w:eastAsia="Arial" w:hAnsi="Arial"/>
                <w:sz w:val="14"/>
                <w:szCs w:val="14"/>
                <w:b w:val="1"/>
                <w:bCs w:val="1"/>
                <w:color w:val="auto"/>
                <w:w w:val="98"/>
              </w:rPr>
              <w:t>File Number)</w:t>
            </w:r>
          </w:p>
        </w:tc>
        <w:tc>
          <w:tcPr>
            <w:tcW w:w="1980" w:type="dxa"/>
            <w:vAlign w:val="bottom"/>
          </w:tcPr>
          <w:p>
            <w:pPr>
              <w:jc w:val="center"/>
              <w:ind w:left="7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3900" w:type="dxa"/>
            <w:vAlign w:val="bottom"/>
          </w:tcPr>
          <w:p>
            <w:pPr>
              <w:spacing w:after="0"/>
              <w:rPr>
                <w:sz w:val="20"/>
                <w:szCs w:val="20"/>
                <w:color w:val="auto"/>
              </w:rPr>
            </w:pPr>
            <w:r>
              <w:rPr>
                <w:rFonts w:ascii="Arial" w:cs="Arial" w:eastAsia="Arial" w:hAnsi="Arial"/>
                <w:sz w:val="18"/>
                <w:szCs w:val="18"/>
                <w:b w:val="1"/>
                <w:bCs w:val="1"/>
                <w:color w:val="auto"/>
                <w:w w:val="93"/>
              </w:rPr>
              <w:t>207 Mockingbird Lane, Johnson City, Tennessee</w:t>
            </w:r>
          </w:p>
        </w:tc>
        <w:tc>
          <w:tcPr>
            <w:tcW w:w="4280" w:type="dxa"/>
            <w:vAlign w:val="bottom"/>
          </w:tcPr>
          <w:p>
            <w:pPr>
              <w:spacing w:after="0"/>
              <w:rPr>
                <w:sz w:val="24"/>
                <w:szCs w:val="24"/>
                <w:color w:val="auto"/>
              </w:rPr>
            </w:pPr>
          </w:p>
        </w:tc>
        <w:tc>
          <w:tcPr>
            <w:tcW w:w="198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80" w:type="dxa"/>
            <w:vAlign w:val="bottom"/>
          </w:tcPr>
          <w:p>
            <w:pPr>
              <w:spacing w:after="0"/>
              <w:rPr>
                <w:sz w:val="16"/>
                <w:szCs w:val="16"/>
                <w:color w:val="auto"/>
              </w:rPr>
            </w:pPr>
          </w:p>
        </w:tc>
        <w:tc>
          <w:tcPr>
            <w:tcW w:w="1980" w:type="dxa"/>
            <w:vAlign w:val="bottom"/>
          </w:tcPr>
          <w:p>
            <w:pPr>
              <w:jc w:val="center"/>
              <w:ind w:left="78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3900" w:type="dxa"/>
            <w:vAlign w:val="bottom"/>
          </w:tcPr>
          <w:p>
            <w:pPr>
              <w:spacing w:after="0"/>
              <w:rPr>
                <w:sz w:val="24"/>
                <w:szCs w:val="24"/>
                <w:color w:val="auto"/>
              </w:rPr>
            </w:pPr>
          </w:p>
        </w:tc>
        <w:tc>
          <w:tcPr>
            <w:tcW w:w="4280" w:type="dxa"/>
            <w:vAlign w:val="bottom"/>
          </w:tcPr>
          <w:p>
            <w:pPr>
              <w:jc w:val="right"/>
              <w:ind w:right="1821"/>
              <w:spacing w:after="0"/>
              <w:rPr>
                <w:sz w:val="20"/>
                <w:szCs w:val="20"/>
                <w:color w:val="auto"/>
              </w:rPr>
            </w:pPr>
            <w:r>
              <w:rPr>
                <w:rFonts w:ascii="Arial" w:cs="Arial" w:eastAsia="Arial" w:hAnsi="Arial"/>
                <w:sz w:val="18"/>
                <w:szCs w:val="18"/>
                <w:b w:val="1"/>
                <w:bCs w:val="1"/>
                <w:color w:val="auto"/>
              </w:rPr>
              <w:t>(423) 743-9151</w:t>
            </w:r>
          </w:p>
        </w:tc>
        <w:tc>
          <w:tcPr>
            <w:tcW w:w="1980" w:type="dxa"/>
            <w:vAlign w:val="bottom"/>
          </w:tcPr>
          <w:p>
            <w:pPr>
              <w:spacing w:after="0"/>
              <w:rPr>
                <w:sz w:val="24"/>
                <w:szCs w:val="24"/>
                <w:color w:val="auto"/>
              </w:rPr>
            </w:pPr>
          </w:p>
        </w:tc>
      </w:tr>
      <w:tr>
        <w:trPr>
          <w:trHeight w:val="186"/>
        </w:trPr>
        <w:tc>
          <w:tcPr>
            <w:tcW w:w="3900" w:type="dxa"/>
            <w:vAlign w:val="bottom"/>
          </w:tcPr>
          <w:p>
            <w:pPr>
              <w:spacing w:after="0"/>
              <w:rPr>
                <w:sz w:val="16"/>
                <w:szCs w:val="16"/>
                <w:color w:val="auto"/>
              </w:rPr>
            </w:pPr>
          </w:p>
        </w:tc>
        <w:tc>
          <w:tcPr>
            <w:tcW w:w="4280" w:type="dxa"/>
            <w:vAlign w:val="bottom"/>
          </w:tcPr>
          <w:p>
            <w:pPr>
              <w:jc w:val="center"/>
              <w:ind w:right="58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80" w:type="dxa"/>
            <w:vAlign w:val="bottom"/>
          </w:tcPr>
          <w:p>
            <w:pPr>
              <w:spacing w:after="0"/>
              <w:rPr>
                <w:sz w:val="16"/>
                <w:szCs w:val="16"/>
                <w:color w:val="auto"/>
              </w:rPr>
            </w:pPr>
          </w:p>
        </w:tc>
      </w:tr>
    </w:tbl>
    <w:p>
      <w:pPr>
        <w:spacing w:after="0" w:line="178"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ind w:right="6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464"/>
        <w:spacing w:after="0" w:line="264" w:lineRule="auto"/>
        <w:tabs>
          <w:tab w:leader="none" w:pos="711"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On November 18, 2015, Michael E. Werner, a member of the Board of Directors (the “Board”) of NN, Inc. (the “Company”), notified the Company that he will retire from the Board as of the Company’s 2016 annual meeting of stockholders. Mr. Werner’s retirement from the Board was not the result of any disagreement with the Company, its management or its operations, policies or practices.</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5.03</w:t>
        <w:tab/>
        <w:t>AMENDMENTS TO ARTICLES OF INCORPORATION OR BYLAWS; CHANGES IN FISCAL YEAR</w:t>
      </w:r>
    </w:p>
    <w:p>
      <w:pPr>
        <w:spacing w:after="0" w:line="229"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On November 18, 2014, the Board approved the amendment and restatement of the Company’s Restated Bylaws (the “Amended and Restated Bylaws”), which became effective immediately. The Amended and Restated Bylaws consolidate prior amendments, enhance clarity and effect technical, administrative and other non-substantive changes, none of which adversely impact stockholder rights.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foregoing description of the Amended and Restated Bylaws is qualified in its entirety by the Amended and Restated Bylaws filed as Exhibit 3.1 to this Current Report on Form 8-K and is incorporated herein by reference.</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tab/>
        <w:t>REGULATION FD DISCLOSURE</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November 19, 2015, the Company issued a press release announcing Mr. Werner’s retirement. The full text of the press release is furnished as Exhibit 99.1 to this Current Report on Form 8-K and is incorporated herein by reference.</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Pursuant to the rules and regulations of the U.S. Securities and Exchange Commission (the “SEC”), the information furnished pursuant to Item 7.01 of this Current Report on Form 8-K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16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100" w:type="dxa"/>
            <w:vAlign w:val="bottom"/>
          </w:tcPr>
          <w:p>
            <w:pPr>
              <w:spacing w:after="0"/>
              <w:rPr>
                <w:sz w:val="14"/>
                <w:szCs w:val="1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360" w:type="dxa"/>
            <w:vAlign w:val="bottom"/>
            <w:gridSpan w:val="3"/>
          </w:tcPr>
          <w:p>
            <w:pPr>
              <w:ind w:left="540"/>
              <w:spacing w:after="0"/>
              <w:rPr>
                <w:sz w:val="20"/>
                <w:szCs w:val="20"/>
                <w:color w:val="auto"/>
              </w:rPr>
            </w:pPr>
            <w:r>
              <w:rPr>
                <w:rFonts w:ascii="Arial" w:cs="Arial" w:eastAsia="Arial" w:hAnsi="Arial"/>
                <w:sz w:val="18"/>
                <w:szCs w:val="18"/>
                <w:color w:val="auto"/>
              </w:rPr>
              <w:t>Amended and Restated Bylaws of NN,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4360" w:type="dxa"/>
            <w:vAlign w:val="bottom"/>
            <w:gridSpan w:val="3"/>
          </w:tcPr>
          <w:p>
            <w:pPr>
              <w:ind w:left="540"/>
              <w:spacing w:after="0"/>
              <w:rPr>
                <w:sz w:val="20"/>
                <w:szCs w:val="20"/>
                <w:color w:val="auto"/>
              </w:rPr>
            </w:pPr>
            <w:r>
              <w:rPr>
                <w:rFonts w:ascii="Arial" w:cs="Arial" w:eastAsia="Arial" w:hAnsi="Arial"/>
                <w:sz w:val="18"/>
                <w:szCs w:val="18"/>
                <w:color w:val="auto"/>
                <w:w w:val="89"/>
              </w:rPr>
              <w:t>Press Release of NN, Inc. dated November 19, 2015.</w:t>
            </w:r>
          </w:p>
        </w:tc>
      </w:tr>
    </w:tbl>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40" w:type="dxa"/>
            <w:vAlign w:val="bottom"/>
          </w:tcPr>
          <w:p>
            <w:pPr>
              <w:ind w:left="30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5700" w:type="dxa"/>
            <w:vAlign w:val="bottom"/>
            <w:gridSpan w:val="3"/>
          </w:tcPr>
          <w:p>
            <w:pPr>
              <w:ind w:left="540"/>
              <w:spacing w:after="0"/>
              <w:rPr>
                <w:sz w:val="20"/>
                <w:szCs w:val="20"/>
                <w:color w:val="auto"/>
              </w:rPr>
            </w:pPr>
            <w:r>
              <w:rPr>
                <w:rFonts w:ascii="Arial" w:cs="Arial" w:eastAsia="Arial" w:hAnsi="Arial"/>
                <w:sz w:val="18"/>
                <w:szCs w:val="18"/>
                <w:color w:val="auto"/>
              </w:rPr>
              <w:t>Amended and Restated Bylaws of NN,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00" w:type="dxa"/>
            <w:vAlign w:val="bottom"/>
            <w:gridSpan w:val="3"/>
          </w:tcPr>
          <w:p>
            <w:pPr>
              <w:ind w:left="540"/>
              <w:spacing w:after="0"/>
              <w:rPr>
                <w:sz w:val="20"/>
                <w:szCs w:val="20"/>
                <w:color w:val="auto"/>
              </w:rPr>
            </w:pPr>
            <w:r>
              <w:rPr>
                <w:rFonts w:ascii="Arial" w:cs="Arial" w:eastAsia="Arial" w:hAnsi="Arial"/>
                <w:sz w:val="18"/>
                <w:szCs w:val="18"/>
                <w:color w:val="auto"/>
              </w:rPr>
              <w:t>Press Release of NN, Inc. dated November 19, 2015.</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NN, Inc. (the “</w:t>
      </w:r>
      <w:r>
        <w:rPr>
          <w:rFonts w:ascii="Arial" w:cs="Arial" w:eastAsia="Arial" w:hAnsi="Arial"/>
          <w:sz w:val="18"/>
          <w:szCs w:val="18"/>
          <w:i w:val="1"/>
          <w:iCs w:val="1"/>
          <w:color w:val="auto"/>
        </w:rPr>
        <w:t>Corporation</w:t>
      </w:r>
      <w:r>
        <w:rPr>
          <w:rFonts w:ascii="Arial" w:cs="Arial" w:eastAsia="Arial" w:hAnsi="Arial"/>
          <w:sz w:val="18"/>
          <w:szCs w:val="18"/>
          <w:color w:val="auto"/>
        </w:rPr>
        <w:t>”), pursuant to the provisions of Section 109 of the Delaware General Corporation Law, hereby adopts these Amended and Restated Bylaws, which restate, amend and supersede the restated bylaws of the Corporation, as previously amended and restated, in their entirety as described below: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stockholders of the Corporation may be held at such place, either within or without the State of Delaware, as may be designated from time to time by the Board of Directors. The Board of Directors may, in its sole discretion, determine that the meeting shall not be held at any place, but may instead be held solely by means of remote communication as provided under the Delaware General Corporation Law.</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and time, as the Board of Directors shall each year fix.</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described in the notice of the meeting, may be called by (i)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(ii) the Chairman of the Board or (iii) the Chief Executive Officer of the Corporation, and shall be held at such place, if any, on such date, and at such time as they shall fix. Stockholders shall not have the right to call a special meeting of the stockholders.</w:t>
      </w:r>
    </w:p>
    <w:p>
      <w:pPr>
        <w:spacing w:after="0" w:line="18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Notice of all meetings of stockholders shall be given that shall state the place, if any, date and time of the meeting, the means of remote communications, if any, by which stockholders and proxy holders may be deemed to be present in person and vote at such meeting and, in the case of a special meeting, the purpose or purposes for which the meeting is called. Unless otherwise required by applicable law or the Certificate of Incorporation of the Corporation as currently in effect (the “</w:t>
      </w:r>
      <w:r>
        <w:rPr>
          <w:rFonts w:ascii="Arial" w:cs="Arial" w:eastAsia="Arial" w:hAnsi="Arial"/>
          <w:sz w:val="17"/>
          <w:szCs w:val="17"/>
          <w:i w:val="1"/>
          <w:iCs w:val="1"/>
          <w:color w:val="auto"/>
        </w:rPr>
        <w:t>Certificate of Incorporation</w:t>
      </w:r>
      <w:r>
        <w:rPr>
          <w:rFonts w:ascii="Arial" w:cs="Arial" w:eastAsia="Arial" w:hAnsi="Arial"/>
          <w:sz w:val="17"/>
          <w:szCs w:val="17"/>
          <w:color w:val="auto"/>
        </w:rPr>
        <w:t>”), such notice shall be given not less than ten (10) nor more than sixty (60) days before the date of the meeting to each stockholder entitled to vote at such meeting.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Manner of Giving Notice; Affidavit of Notice</w:t>
      </w:r>
      <w:r>
        <w:rPr>
          <w:rFonts w:ascii="Arial" w:cs="Arial" w:eastAsia="Arial" w:hAnsi="Arial"/>
          <w:sz w:val="18"/>
          <w:szCs w:val="18"/>
          <w:color w:val="auto"/>
        </w:rPr>
        <w:t>.</w:t>
      </w:r>
    </w:p>
    <w:p>
      <w:pPr>
        <w:spacing w:after="0" w:line="225" w:lineRule="exact"/>
        <w:rPr>
          <w:sz w:val="20"/>
          <w:szCs w:val="20"/>
          <w:color w:val="auto"/>
        </w:rPr>
      </w:pPr>
    </w:p>
    <w:p>
      <w:pPr>
        <w:ind w:right="780" w:firstLine="921"/>
        <w:spacing w:after="0" w:line="277"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Notice of any meeting of stockholders, if mailed, is given when deposited in the United States mail, postage prepaid, directed to the stockholder at his, her or its address as it appears on the records of the Corporation.</w:t>
      </w:r>
    </w:p>
    <w:p>
      <w:pPr>
        <w:spacing w:after="0" w:line="170" w:lineRule="exact"/>
        <w:rPr>
          <w:rFonts w:ascii="Arial" w:cs="Arial" w:eastAsia="Arial" w:hAnsi="Arial"/>
          <w:sz w:val="18"/>
          <w:szCs w:val="18"/>
          <w:color w:val="auto"/>
        </w:rPr>
      </w:pPr>
    </w:p>
    <w:p>
      <w:pPr>
        <w:ind w:firstLine="921"/>
        <w:spacing w:after="0" w:line="293" w:lineRule="auto"/>
        <w:tabs>
          <w:tab w:leader="none" w:pos="1168"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otherwise prohibited by the Delaware General Corporation Law and without limiting the foregoing, any notice to stockholders given by the Corporation under any provision of the Delaware General Corporation Law, the Certificate of Incorporation or these Bylaws shall be effective if given by a form of electronic transmission consented to (and not properly revoked by written notice to the Corporation) by the stockholder to whom the notice is given, to the extent such consent is required by the Delaware General Corporation Law. Any such consent shall be revocable by the stockholder by written notice to the Corporation. Any such consent shall be deemed revoked if (i) the Corporation is unable to deliver by electronic transmission two (2) consecutive notices given by the Corporation in accordance with such consent and (ii) such inability becomes known to the Secretary or an Assistant Secretary of the</w:t>
      </w:r>
    </w:p>
    <w:p>
      <w:pPr>
        <w:sectPr>
          <w:pgSz w:w="11900" w:h="16838" w:orient="portrait"/>
          <w:cols w:equalWidth="0" w:num="1">
            <w:col w:w="11420"/>
          </w:cols>
          <w:pgMar w:left="240" w:top="121" w:right="239" w:bottom="1440" w:gutter="0" w:footer="0" w:header="0"/>
        </w:sectPr>
      </w:pPr>
    </w:p>
    <w:bookmarkStart w:id="5" w:name="page6"/>
    <w:bookmarkEnd w:id="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Corporation or to the transfer agent of the Corporation, or other person responsible for the giving of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the inadvertent failure to treat such inability as a revocation shall not invalidate any meeting or other action. Any such notice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w:t>
      </w:r>
    </w:p>
    <w:p>
      <w:pPr>
        <w:spacing w:after="0" w:line="193" w:lineRule="exact"/>
        <w:rPr>
          <w:sz w:val="20"/>
          <w:szCs w:val="20"/>
          <w:color w:val="auto"/>
        </w:rPr>
      </w:pPr>
    </w:p>
    <w:p>
      <w:pPr>
        <w:ind w:right="200" w:firstLine="921"/>
        <w:spacing w:after="0" w:line="264" w:lineRule="auto"/>
        <w:tabs>
          <w:tab w:leader="none" w:pos="1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purposes of these Bylaws, an “</w:t>
      </w:r>
      <w:r>
        <w:rPr>
          <w:rFonts w:ascii="Arial" w:cs="Arial" w:eastAsia="Arial" w:hAnsi="Arial"/>
          <w:sz w:val="18"/>
          <w:szCs w:val="18"/>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1" w:lineRule="exact"/>
        <w:rPr>
          <w:rFonts w:ascii="Arial" w:cs="Arial" w:eastAsia="Arial" w:hAnsi="Arial"/>
          <w:sz w:val="18"/>
          <w:szCs w:val="18"/>
          <w:color w:val="auto"/>
        </w:rPr>
      </w:pPr>
    </w:p>
    <w:p>
      <w:pPr>
        <w:ind w:right="20" w:firstLine="921"/>
        <w:spacing w:after="0" w:line="273" w:lineRule="auto"/>
        <w:tabs>
          <w:tab w:leader="none" w:pos="1168"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Except as otherwise prohibited under the Delaware General Corporation Law and without limiting the manner by which notice otherwise may be given to stockholders, any notice to stockholders given by the Corporation under any provision of the Delaware General Corporation Law, the Certificate of Incorporation or these Bylaws may be given by a single written notice to stockholders who share an address if consented to by the stockholders at that address to whom such notice is given. Such consent shall have been deemed to have been given if a stockholder fails to object in writing to the Corporation within sixty (60) days of having been given written notice by the Corporation of its intention to send the single notice in accordance with this Section 1.5(d). Any such consent shall be revocable by the stockholders by written notice to the Corporation.</w:t>
      </w:r>
    </w:p>
    <w:p>
      <w:pPr>
        <w:spacing w:after="0" w:line="178" w:lineRule="exact"/>
        <w:rPr>
          <w:rFonts w:ascii="Arial" w:cs="Arial" w:eastAsia="Arial" w:hAnsi="Arial"/>
          <w:sz w:val="17"/>
          <w:szCs w:val="17"/>
          <w:color w:val="auto"/>
        </w:rPr>
      </w:pPr>
    </w:p>
    <w:p>
      <w:pPr>
        <w:ind w:right="320" w:firstLine="921"/>
        <w:spacing w:after="0" w:line="277" w:lineRule="auto"/>
        <w:tabs>
          <w:tab w:leader="none" w:pos="114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 affidavit of the Secretary or an Assistant Secretary of the Corporation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stockholders may adjourn from time to time to reconvene at the same or another place, if any, or by means of remote communications, if any, by which stockholders and proxy holders may be deemed to be present in person and vote at such meeting, and notice need not be given of any such adjourned meeting if the place, if any, time and date thereof, and the means of remote communications, if any, by which stockholders and proxy holders may be deemed to be present in person and vote at such adjourned meeting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if the adjournment is for more than thirty (30) days, or if after the adjournment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w:t>
      </w:r>
    </w:p>
    <w:p>
      <w:pPr>
        <w:spacing w:after="0" w:line="178"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Quorum</w:t>
      </w:r>
      <w:r>
        <w:rPr>
          <w:rFonts w:ascii="Arial" w:cs="Arial" w:eastAsia="Arial" w:hAnsi="Arial"/>
          <w:sz w:val="16"/>
          <w:szCs w:val="16"/>
          <w:color w:val="auto"/>
        </w:rPr>
        <w:t xml:space="preserve">. At each meeting of stockholders the holders of a majority of the shares of stock entitled to vote at the meeting, present in person or represented by proxy, shall constitute a quorum for the transaction of business, except if otherwise required by applicable law. Where a separate vote by a class or classes or series is required, a majority of the shares of such class or classes or series then outstanding and entitled to vote present in person or by proxy shall constitute a quorum entitled to take action with respect to that vote on that matter. If a quorum shall fail to attend any meeting, the chairman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color w:val="auto"/>
        </w:rPr>
        <w:t>provided, however</w:t>
      </w:r>
    </w:p>
    <w:p>
      <w:pPr>
        <w:spacing w:after="0" w:line="3" w:lineRule="exact"/>
        <w:rPr>
          <w:sz w:val="20"/>
          <w:szCs w:val="20"/>
          <w:color w:val="auto"/>
        </w:rPr>
      </w:pPr>
    </w:p>
    <w:p>
      <w:pPr>
        <w:ind w:right="40" w:firstLine="8"/>
        <w:spacing w:after="0" w:line="254" w:lineRule="auto"/>
        <w:tabs>
          <w:tab w:leader="none" w:pos="9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 foregoing shall not limit the right of the Corporation or any other corporation to vote any shares of the Corporation’s stock held by it in a fiduciary capacity. Even if a quorum shall be present or represented at any meeting of the stockholders, the Chairman of the meeting or the stockholders entitled to vote thereat who are present in person or represented by proxy shall have the power to adjourn the meeting from time to time for good cause to a date that is not more than thirty (30) days after the date of the original meeting.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1.8: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Meetings of stockholders shall be presided over by such person as the Board of Directors may designate as chairman of the meeting, or, in the absence of such a person, the Chairman of the Board, or, in the absence of such person, the Chief Executive Officer of the Corporation, or, in the absence of such person, such person as may be chosen by the holders of a majority of the shares entitled to vote who are present, in person or by proxy, at the meeting. The Secretary of the Corporation shall act as secretary of the meeting, but in his or her absence the chairman of the meeting may appoint any person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adjourning the meeting if the chairman determines in his or her sole discretion that an adjournment is advisable,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17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Voting; Proxies</w:t>
      </w:r>
      <w:r>
        <w:rPr>
          <w:rFonts w:ascii="Arial" w:cs="Arial" w:eastAsia="Arial" w:hAnsi="Arial"/>
          <w:sz w:val="17"/>
          <w:szCs w:val="17"/>
          <w:color w:val="auto"/>
        </w:rPr>
        <w:t>. Unless otherwise provided by law or the Certificate of Incorporation, each stockholder shall be entitled to one (1) vote for each share of stock held by such stockholder of record according to the records of the Corporation. The stockholders entitled to vote at any meeting of stockholders shall be determined in accordance with the provisions of Section 1.10 of these Bylaws, subject to Section 217 (relating to voting rights of fiduciaries, pledgors and joint owners of stock) and Section 218 (relating to voting trusts and other voting agreements) of the Delaware General Corporation Law. Each stockholder entitled to vote at a meeting of stockholders may authorize another person or persons to act for such stockholder by proxy. Such a proxy may be prepared, transmitted and delivered in any manner permitted by applicable law. Unless otherwise provided in the Certificate of Incorporation or a Certificate of Designation relating to a series of Preferred Stock, directors shall be elected as provided in Section 2.2 of these Bylaws. Unless otherwise provided by applicable law, the rules or regulations of any stock exchange applicable to the Corporation, the Certificate of Incorporation or these Bylaws, every matter other than the election of directors shall be decided by the affirmative vote of the holders of a majority in voting power of the shares of stock entitled to vote thereon that are present in person or represented by proxy at the meeting.</w:t>
      </w:r>
    </w:p>
    <w:p>
      <w:pPr>
        <w:spacing w:after="0" w:line="17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Fixing Date for Determination of Stockholders of Record</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(i) in the case of determination of stockholders entitled to vote at any meeting of stockholders or adjournment thereof, shall, unless otherwise required by law, not be more than sixty (60) nor less than ten (10) days before the date of such meeting, and</w:t>
      </w:r>
    </w:p>
    <w:p>
      <w:pPr>
        <w:spacing w:after="0" w:line="2" w:lineRule="exact"/>
        <w:rPr>
          <w:sz w:val="20"/>
          <w:szCs w:val="20"/>
          <w:color w:val="auto"/>
        </w:rPr>
      </w:pPr>
    </w:p>
    <w:p>
      <w:pPr>
        <w:ind w:right="200" w:firstLine="8"/>
        <w:spacing w:after="0" w:line="254"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the case of any other action, shall not be more than sixty (60) days prior to any such other action. If no record date is fixed by the Board of Directors, then the record date shall be as provided by applicable law.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the Board of Directors may fix a new record date for the adjourned meeting.</w:t>
      </w:r>
    </w:p>
    <w:p>
      <w:pPr>
        <w:spacing w:after="0" w:line="19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 A complete list of stockholders entitled to vote at any meeting of stockholders, arranged in alphabetical order and showing the address of each stockholder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number of shares registered in the name of each stockholder,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1.11 or to vote in person or by proxy at any meeting of the stockholders. The Corporation shall not be required to include electronic mail addresses or other electronic contact information on such list.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Inspectors of Elections</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277" w:lineRule="auto"/>
        <w:tabs>
          <w:tab w:leader="none" w:pos="115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Applicability</w:t>
      </w:r>
      <w:r>
        <w:rPr>
          <w:rFonts w:ascii="Arial" w:cs="Arial" w:eastAsia="Arial" w:hAnsi="Arial"/>
          <w:sz w:val="18"/>
          <w:szCs w:val="18"/>
          <w:color w:val="auto"/>
        </w:rPr>
        <w:t>. Unless otherwise provided in the Corporation’s Certificate of Incorporation or required by the Delaware General Corporation Law, the following provisions of this Section 1.12 shall apply only if and when the Corporation has a class of voting stock that is:</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listed on a national securities exchange;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authorized for quotation on an interdealer quotation system of a registered national securities association; or</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held of record by more than 2,000 stockholders;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all other cases, observance of the provisions of this Section 1.12 shall be optional, and at the discretion of the Corporation.</w:t>
      </w:r>
    </w:p>
    <w:p>
      <w:pPr>
        <w:spacing w:after="0" w:line="237" w:lineRule="exact"/>
        <w:rPr>
          <w:sz w:val="20"/>
          <w:szCs w:val="20"/>
          <w:color w:val="auto"/>
        </w:rPr>
      </w:pPr>
    </w:p>
    <w:p>
      <w:pPr>
        <w:ind w:firstLine="921"/>
        <w:spacing w:after="0" w:line="259"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86" w:lineRule="exact"/>
        <w:rPr>
          <w:rFonts w:ascii="Arial" w:cs="Arial" w:eastAsia="Arial" w:hAnsi="Arial"/>
          <w:sz w:val="18"/>
          <w:szCs w:val="18"/>
          <w:color w:val="auto"/>
        </w:rPr>
      </w:pPr>
    </w:p>
    <w:p>
      <w:pPr>
        <w:ind w:right="200" w:firstLine="921"/>
        <w:spacing w:after="0" w:line="277" w:lineRule="auto"/>
        <w:tabs>
          <w:tab w:leader="none" w:pos="115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his or her ability.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Duties of Inspectors</w:t>
      </w:r>
      <w:r>
        <w:rPr>
          <w:rFonts w:ascii="Arial" w:cs="Arial" w:eastAsia="Arial" w:hAnsi="Arial"/>
          <w:sz w:val="18"/>
          <w:szCs w:val="18"/>
          <w:color w:val="auto"/>
        </w:rPr>
        <w:t>. At a meeting of stockholders, the inspectors of election shall</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 share;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determine the shares represented at a meeting and the validity of proxies and ballots;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determine and retain for a reasonable period of time a record of the disposition of any challenges made to any determination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inspectors;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right="120" w:firstLine="1492"/>
        <w:spacing w:after="0" w:line="277" w:lineRule="auto"/>
        <w:tabs>
          <w:tab w:leader="none" w:pos="1738"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70" w:lineRule="exact"/>
        <w:rPr>
          <w:rFonts w:ascii="Arial" w:cs="Arial" w:eastAsia="Arial" w:hAnsi="Arial"/>
          <w:sz w:val="18"/>
          <w:szCs w:val="18"/>
          <w:color w:val="auto"/>
        </w:rPr>
      </w:pPr>
    </w:p>
    <w:p>
      <w:pPr>
        <w:ind w:right="100" w:firstLine="921"/>
        <w:spacing w:after="0" w:line="312" w:lineRule="auto"/>
        <w:tabs>
          <w:tab w:leader="none" w:pos="11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Opening and Closing of Polls</w:t>
      </w:r>
      <w:r>
        <w:rPr>
          <w:rFonts w:ascii="Arial" w:cs="Arial" w:eastAsia="Arial" w:hAnsi="Arial"/>
          <w:sz w:val="16"/>
          <w:szCs w:val="16"/>
          <w:color w:val="auto"/>
        </w:rPr>
        <w:t>. The date and time of the opening and the closing of the polls for each matter upon which the stockholders will vote at a meeting shall be announced by the inspectors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46" w:lineRule="exact"/>
        <w:rPr>
          <w:rFonts w:ascii="Arial" w:cs="Arial" w:eastAsia="Arial" w:hAnsi="Arial"/>
          <w:sz w:val="16"/>
          <w:szCs w:val="16"/>
          <w:color w:val="auto"/>
        </w:rPr>
      </w:pPr>
    </w:p>
    <w:p>
      <w:pPr>
        <w:ind w:right="540" w:firstLine="921"/>
        <w:spacing w:after="0" w:line="291" w:lineRule="auto"/>
        <w:tabs>
          <w:tab w:leader="none" w:pos="113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Determinations</w:t>
      </w:r>
      <w:r>
        <w:rPr>
          <w:rFonts w:ascii="Arial" w:cs="Arial" w:eastAsia="Arial" w:hAnsi="Arial"/>
          <w:sz w:val="16"/>
          <w:szCs w:val="16"/>
          <w:color w:val="auto"/>
        </w:rPr>
        <w:t>. In determining the validity and counting of proxies and ballots, the inspectors shall be limited to an examination of the proxies, any envelopes submitted with those proxies, any information provided in connection with proxies in accordance with Section 211(e) or</w:t>
      </w:r>
    </w:p>
    <w:p>
      <w:pPr>
        <w:spacing w:after="0" w:line="281" w:lineRule="auto"/>
        <w:rPr>
          <w:rFonts w:ascii="Arial" w:cs="Arial" w:eastAsia="Arial" w:hAnsi="Arial"/>
          <w:sz w:val="16"/>
          <w:szCs w:val="16"/>
          <w:color w:val="auto"/>
        </w:rPr>
      </w:pPr>
      <w:r>
        <w:rPr>
          <w:rFonts w:ascii="Arial" w:cs="Arial" w:eastAsia="Arial" w:hAnsi="Arial"/>
          <w:sz w:val="16"/>
          <w:szCs w:val="16"/>
          <w:color w:val="auto"/>
        </w:rPr>
        <w:t>Section 212(c)(2) of the Delaware General Corporation Law, or any information provided pursuant to Section 211(a)(2)(B)(i) or (iii) of the Delaware General Corporation Law,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w:t>
      </w:r>
    </w:p>
    <w:p>
      <w:pPr>
        <w:spacing w:after="0" w:line="3" w:lineRule="exact"/>
        <w:rPr>
          <w:rFonts w:ascii="Arial" w:cs="Arial" w:eastAsia="Arial" w:hAnsi="Arial"/>
          <w:sz w:val="16"/>
          <w:szCs w:val="16"/>
          <w:color w:val="auto"/>
        </w:rPr>
      </w:pPr>
    </w:p>
    <w:p>
      <w:pPr>
        <w:ind w:right="220"/>
        <w:spacing w:after="0" w:line="255" w:lineRule="auto"/>
        <w:rPr>
          <w:rFonts w:ascii="Arial" w:cs="Arial" w:eastAsia="Arial" w:hAnsi="Arial"/>
          <w:sz w:val="16"/>
          <w:szCs w:val="16"/>
          <w:color w:val="auto"/>
        </w:rPr>
      </w:pPr>
      <w:r>
        <w:rPr>
          <w:rFonts w:ascii="Arial" w:cs="Arial" w:eastAsia="Arial" w:hAnsi="Arial"/>
          <w:sz w:val="18"/>
          <w:szCs w:val="18"/>
          <w:color w:val="auto"/>
        </w:rPr>
        <w:t>Section 1.12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Notice of Stockholder Business to be Brought before an Annual or Special Meeting</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87" w:lineRule="auto"/>
        <w:tabs>
          <w:tab w:leader="none" w:pos="1157"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Business Properly Brought Before an Annual or Special Meeting</w:t>
      </w:r>
      <w:r>
        <w:rPr>
          <w:rFonts w:ascii="Arial" w:cs="Arial" w:eastAsia="Arial" w:hAnsi="Arial"/>
          <w:sz w:val="16"/>
          <w:szCs w:val="16"/>
          <w:color w:val="auto"/>
        </w:rPr>
        <w:t>.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of Directors, (ii) brought before the meeting by or at the direction of the Board of Directors,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1.13 and at the time of the meeting, (B) is entitled to vote at the meeting, and (C) has complied with this Section 1.13 as to such business. Except for proposals properly made in accordance with Rule 14a-8 under the Exchange Act, and included in the notice of meeting given by or at the direction of the Board of Directors,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Corporation’s notice of meeting. Stockholders seeking to nominate persons for election to the Board must comply with Section 1.14 of these Bylaws, and this Section 1.13 shall not be applicable to nominations except as expressly provided in Section 1.14 of these Bylaws.</w:t>
      </w:r>
    </w:p>
    <w:p>
      <w:pPr>
        <w:spacing w:after="0" w:line="168" w:lineRule="exact"/>
        <w:rPr>
          <w:rFonts w:ascii="Arial" w:cs="Arial" w:eastAsia="Arial" w:hAnsi="Arial"/>
          <w:sz w:val="16"/>
          <w:szCs w:val="16"/>
          <w:color w:val="auto"/>
        </w:rPr>
      </w:pPr>
    </w:p>
    <w:p>
      <w:pPr>
        <w:ind w:right="80" w:firstLine="921"/>
        <w:spacing w:after="0" w:line="276" w:lineRule="auto"/>
        <w:tabs>
          <w:tab w:leader="none" w:pos="1168"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Requirement of Timely Notice of Stockholder Business</w:t>
      </w:r>
      <w:r>
        <w:rPr>
          <w:rFonts w:ascii="Arial" w:cs="Arial" w:eastAsia="Arial" w:hAnsi="Arial"/>
          <w:sz w:val="17"/>
          <w:szCs w:val="17"/>
          <w:color w:val="auto"/>
        </w:rPr>
        <w:t>.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1.13. To be timely, a stockholder’s notice with respect to an annual meeting of stockholders must be delivered by overnight express courier or registered mail, return receipt requested, and received at, the principal executive offices of the Corporation not less than ninety (90) days nor more than one hundred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twenty (120) days prior to the one year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ninetieth (90th) day prior to such annual meeting or, if later, the tenth (10th) day following the day on which public disclosure of the date of such annual meeting was first made (such notice within such time periods, “</w:t>
      </w:r>
      <w:r>
        <w:rPr>
          <w:rFonts w:ascii="Arial" w:cs="Arial" w:eastAsia="Arial" w:hAnsi="Arial"/>
          <w:sz w:val="17"/>
          <w:szCs w:val="17"/>
          <w:i w:val="1"/>
          <w:iCs w:val="1"/>
          <w:color w:val="auto"/>
        </w:rPr>
        <w:t>Timely Notice</w:t>
      </w:r>
      <w:r>
        <w:rPr>
          <w:rFonts w:ascii="Arial" w:cs="Arial" w:eastAsia="Arial" w:hAnsi="Arial"/>
          <w:sz w:val="17"/>
          <w:szCs w:val="17"/>
          <w:color w:val="auto"/>
        </w:rPr>
        <w:t>”). In no event shall any adjournment or postponement of an annual meeting or the announcement thereof commence a new time period for the giving of Timely Notice as described above.</w:t>
      </w:r>
    </w:p>
    <w:p>
      <w:pPr>
        <w:spacing w:after="0" w:line="178" w:lineRule="exact"/>
        <w:rPr>
          <w:sz w:val="20"/>
          <w:szCs w:val="20"/>
          <w:color w:val="auto"/>
        </w:rPr>
      </w:pPr>
    </w:p>
    <w:p>
      <w:pPr>
        <w:ind w:right="640" w:firstLine="921"/>
        <w:spacing w:after="0" w:line="277" w:lineRule="auto"/>
        <w:tabs>
          <w:tab w:leader="none" w:pos="115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Requirements for Proper Form of Stockholder Notice of Proposed Business</w:t>
      </w:r>
      <w:r>
        <w:rPr>
          <w:rFonts w:ascii="Arial" w:cs="Arial" w:eastAsia="Arial" w:hAnsi="Arial"/>
          <w:sz w:val="18"/>
          <w:szCs w:val="18"/>
          <w:color w:val="auto"/>
        </w:rPr>
        <w:t>. To be in proper form for purposes of this Section 1.13, a stockholder’s notice to the Secretary shall set forth:</w:t>
      </w:r>
    </w:p>
    <w:p>
      <w:pPr>
        <w:spacing w:after="0" w:line="170" w:lineRule="exact"/>
        <w:rPr>
          <w:rFonts w:ascii="Arial" w:cs="Arial" w:eastAsia="Arial" w:hAnsi="Arial"/>
          <w:sz w:val="18"/>
          <w:szCs w:val="18"/>
          <w:color w:val="auto"/>
        </w:rPr>
      </w:pPr>
    </w:p>
    <w:p>
      <w:pPr>
        <w:ind w:right="100" w:firstLine="1492"/>
        <w:spacing w:after="0" w:line="291" w:lineRule="auto"/>
        <w:tabs>
          <w:tab w:leader="none" w:pos="1698"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Stockholder Information</w:t>
      </w:r>
      <w:r>
        <w:rPr>
          <w:rFonts w:ascii="Arial" w:cs="Arial" w:eastAsia="Arial" w:hAnsi="Arial"/>
          <w:sz w:val="16"/>
          <w:szCs w:val="16"/>
          <w:color w:val="auto"/>
        </w:rPr>
        <w:t>.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and (C) a representation whether such Proposing Person intends or is part of a group that intends (x) to deliver a proxy statement and/or form of proxy to holders of at least the percentage of the Corporation’s outstanding stock required to approve or adopt the proposal or (y) otherwise to solicit proxies from stockholders in support of such proposal;</w:t>
      </w:r>
    </w:p>
    <w:p>
      <w:pPr>
        <w:spacing w:after="0" w:line="167" w:lineRule="exact"/>
        <w:rPr>
          <w:rFonts w:ascii="Arial" w:cs="Arial" w:eastAsia="Arial" w:hAnsi="Arial"/>
          <w:sz w:val="16"/>
          <w:szCs w:val="16"/>
          <w:color w:val="auto"/>
        </w:rPr>
      </w:pPr>
    </w:p>
    <w:p>
      <w:pPr>
        <w:ind w:right="60" w:firstLine="1492"/>
        <w:spacing w:after="0" w:line="283" w:lineRule="auto"/>
        <w:tabs>
          <w:tab w:leader="none" w:pos="1748"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Information Regarding Disclosable Interests</w:t>
      </w:r>
      <w:r>
        <w:rPr>
          <w:rFonts w:ascii="Arial" w:cs="Arial" w:eastAsia="Arial" w:hAnsi="Arial"/>
          <w:sz w:val="16"/>
          <w:szCs w:val="16"/>
          <w:color w:val="auto"/>
        </w:rPr>
        <w:t>. 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6"/>
          <w:szCs w:val="16"/>
          <w:i w:val="1"/>
          <w:iCs w:val="1"/>
          <w:color w:val="auto"/>
        </w:rPr>
        <w:t>Synthetic Equity Interest</w:t>
      </w:r>
      <w:r>
        <w:rPr>
          <w:rFonts w:ascii="Arial" w:cs="Arial" w:eastAsia="Arial" w:hAnsi="Arial"/>
          <w:sz w:val="16"/>
          <w:szCs w:val="16"/>
          <w:color w:val="auto"/>
        </w:rPr>
        <w:t>”), which such Synthetic Equity Interests shall be disclosed without regard to whether (x) such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w:t>
      </w:r>
    </w:p>
    <w:p>
      <w:pPr>
        <w:spacing w:after="0" w:line="4" w:lineRule="exact"/>
        <w:rPr>
          <w:rFonts w:ascii="Arial" w:cs="Arial" w:eastAsia="Arial" w:hAnsi="Arial"/>
          <w:sz w:val="16"/>
          <w:szCs w:val="16"/>
          <w:color w:val="auto"/>
        </w:rPr>
      </w:pPr>
    </w:p>
    <w:p>
      <w:pPr>
        <w:ind w:right="60" w:firstLine="8"/>
        <w:spacing w:after="0" w:line="281" w:lineRule="auto"/>
        <w:tabs>
          <w:tab w:leader="none" w:pos="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agreement, arrangement, understanding or relationship, including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6"/>
          <w:szCs w:val="16"/>
          <w:i w:val="1"/>
          <w:iCs w:val="1"/>
          <w:color w:val="auto"/>
        </w:rPr>
        <w:t>Short Interests</w:t>
      </w:r>
      <w:r>
        <w:rPr>
          <w:rFonts w:ascii="Arial" w:cs="Arial" w:eastAsia="Arial" w:hAnsi="Arial"/>
          <w:sz w:val="16"/>
          <w:szCs w:val="16"/>
          <w:color w:val="auto"/>
        </w:rPr>
        <w:t>”), (D) any rights to dividends on the shares of any class or series of the Corporation owned beneficially by such Proposing Person that are separated or separable from the underlying shares of the Corporation,</w:t>
      </w:r>
    </w:p>
    <w:p>
      <w:pPr>
        <w:spacing w:after="0" w:line="4" w:lineRule="exact"/>
        <w:rPr>
          <w:rFonts w:ascii="Arial" w:cs="Arial" w:eastAsia="Arial" w:hAnsi="Arial"/>
          <w:sz w:val="16"/>
          <w:szCs w:val="16"/>
          <w:color w:val="auto"/>
        </w:rPr>
      </w:pPr>
    </w:p>
    <w:p>
      <w:pPr>
        <w:ind w:firstLine="8"/>
        <w:spacing w:after="0" w:line="261" w:lineRule="auto"/>
        <w:tabs>
          <w:tab w:leader="none" w:pos="2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performance related fees (other than an asset based fee) that such Proposing Person is entitled to base on any increase or decrease in the price or value of shares of 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 w:name="page11"/>
    <w:bookmarkEnd w:id="10"/>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class or series of the Corporation, or any Synthetic Equity Interests or Short Interests, if any, and (F)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Arial" w:cs="Arial" w:eastAsia="Arial" w:hAnsi="Arial"/>
          <w:sz w:val="18"/>
          <w:szCs w:val="18"/>
          <w:i w:val="1"/>
          <w:iCs w:val="1"/>
          <w:color w:val="auto"/>
        </w:rPr>
        <w:t>Disclosable 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89" w:lineRule="exact"/>
        <w:rPr>
          <w:sz w:val="20"/>
          <w:szCs w:val="20"/>
          <w:color w:val="auto"/>
        </w:rPr>
      </w:pPr>
    </w:p>
    <w:p>
      <w:pPr>
        <w:ind w:right="120" w:firstLine="1492"/>
        <w:spacing w:after="0" w:line="255" w:lineRule="auto"/>
        <w:tabs>
          <w:tab w:leader="none" w:pos="179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Description of Proposed Business</w:t>
      </w:r>
      <w:r>
        <w:rPr>
          <w:rFonts w:ascii="Arial" w:cs="Arial" w:eastAsia="Arial" w:hAnsi="Arial"/>
          <w:sz w:val="18"/>
          <w:szCs w:val="18"/>
          <w:color w:val="auto"/>
        </w:rPr>
        <w:t>. As to each item of business the stockholder proposes to bring before the annual or special meeting, (A) a reasonably brief description of the business desired to be brought before the annual or special meeting, the reasons for conducting such business at the annual or special meeting and any material interest in such business of each Proposing Person, (B) the text of the proposal or business (including the text of any resolutions proposed for consideration),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w:t>
      </w:r>
    </w:p>
    <w:p>
      <w:pPr>
        <w:spacing w:after="0" w:line="193" w:lineRule="exact"/>
        <w:rPr>
          <w:rFonts w:ascii="Arial" w:cs="Arial" w:eastAsia="Arial" w:hAnsi="Arial"/>
          <w:sz w:val="18"/>
          <w:szCs w:val="18"/>
          <w:color w:val="auto"/>
        </w:rPr>
      </w:pPr>
    </w:p>
    <w:p>
      <w:pPr>
        <w:ind w:right="320" w:firstLine="1492"/>
        <w:spacing w:after="0" w:line="259" w:lineRule="auto"/>
        <w:tabs>
          <w:tab w:leader="none" w:pos="178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Definition of Proposing Person</w:t>
      </w:r>
      <w:r>
        <w:rPr>
          <w:rFonts w:ascii="Arial" w:cs="Arial" w:eastAsia="Arial" w:hAnsi="Arial"/>
          <w:sz w:val="18"/>
          <w:szCs w:val="18"/>
          <w:color w:val="auto"/>
        </w:rPr>
        <w:t>. For purposes of this Section 1.13, the term “</w:t>
      </w:r>
      <w:r>
        <w:rPr>
          <w:rFonts w:ascii="Arial" w:cs="Arial" w:eastAsia="Arial" w:hAnsi="Arial"/>
          <w:sz w:val="18"/>
          <w:szCs w:val="18"/>
          <w:i w:val="1"/>
          <w:iCs w:val="1"/>
          <w:color w:val="auto"/>
        </w:rPr>
        <w:t>Proposing Person</w:t>
      </w:r>
      <w:r>
        <w:rPr>
          <w:rFonts w:ascii="Arial" w:cs="Arial" w:eastAsia="Arial" w:hAnsi="Arial"/>
          <w:sz w:val="18"/>
          <w:szCs w:val="18"/>
          <w:color w:val="auto"/>
        </w:rPr>
        <w:t>” shall mean (i) the stockholder providing the notice of business proposed to be brought before an annual or special meeting, (ii) the beneficial owner or beneficial owners, if different, on whose behalf the notice of the business proposed to be brought before the annual or special meeting is made, and (iii) any affiliate or associate of such stockholder or beneficial owner.</w:t>
      </w:r>
    </w:p>
    <w:p>
      <w:pPr>
        <w:spacing w:after="0" w:line="186" w:lineRule="exact"/>
        <w:rPr>
          <w:rFonts w:ascii="Arial" w:cs="Arial" w:eastAsia="Arial" w:hAnsi="Arial"/>
          <w:sz w:val="18"/>
          <w:szCs w:val="18"/>
          <w:color w:val="auto"/>
        </w:rPr>
      </w:pPr>
    </w:p>
    <w:p>
      <w:pPr>
        <w:ind w:firstLine="921"/>
        <w:spacing w:after="0" w:line="270" w:lineRule="auto"/>
        <w:tabs>
          <w:tab w:leader="none" w:pos="116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Update and Supplement of Stockholder Notice of Proposed Business</w:t>
      </w:r>
      <w:r>
        <w:rPr>
          <w:rFonts w:ascii="Arial" w:cs="Arial" w:eastAsia="Arial" w:hAnsi="Arial"/>
          <w:sz w:val="17"/>
          <w:szCs w:val="17"/>
          <w:color w:val="auto"/>
        </w:rPr>
        <w:t>. A stockholder providing notice of business proposed to be brought before an annual or special meeting shall further update and supplement such notice, if necessary, so that the information provided or required to be provided in such notice pursuant to this Section 1.13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business or permit a change in the proposal, business or resolution proposed to be brought before a meeting of the stockholders.</w:t>
      </w:r>
    </w:p>
    <w:p>
      <w:pPr>
        <w:spacing w:after="0" w:line="177" w:lineRule="exact"/>
        <w:rPr>
          <w:rFonts w:ascii="Arial" w:cs="Arial" w:eastAsia="Arial" w:hAnsi="Arial"/>
          <w:sz w:val="17"/>
          <w:szCs w:val="17"/>
          <w:color w:val="auto"/>
        </w:rPr>
      </w:pPr>
    </w:p>
    <w:p>
      <w:pPr>
        <w:jc w:val="both"/>
        <w:ind w:right="100" w:firstLine="921"/>
        <w:spacing w:after="0" w:line="279" w:lineRule="auto"/>
        <w:tabs>
          <w:tab w:leader="none" w:pos="1157"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Business Not Properly Brought Before a Meeting</w:t>
      </w:r>
      <w:r>
        <w:rPr>
          <w:rFonts w:ascii="Arial" w:cs="Arial" w:eastAsia="Arial" w:hAnsi="Arial"/>
          <w:sz w:val="17"/>
          <w:szCs w:val="17"/>
          <w:color w:val="auto"/>
        </w:rPr>
        <w:t>. Notwithstanding anything in these Bylaws to the contrary, no business shall be conducted at an annual or special meeting except in accordance with this Section 1.13. The presiding officer of the meeting shall, if the facts warrant, determine that the business was not properly brought before the meeting in accordance with this Section 1.13, and if he or she should so determine, he or she shall so declare to the meeting and any such business not properly brought before the meeting shall not be transacted.</w:t>
      </w:r>
    </w:p>
    <w:p>
      <w:pPr>
        <w:spacing w:after="0" w:line="171" w:lineRule="exact"/>
        <w:rPr>
          <w:rFonts w:ascii="Arial" w:cs="Arial" w:eastAsia="Arial" w:hAnsi="Arial"/>
          <w:sz w:val="17"/>
          <w:szCs w:val="17"/>
          <w:color w:val="auto"/>
        </w:rPr>
      </w:pPr>
    </w:p>
    <w:p>
      <w:pPr>
        <w:ind w:right="520" w:firstLine="921"/>
        <w:spacing w:after="0" w:line="286" w:lineRule="auto"/>
        <w:tabs>
          <w:tab w:leader="none" w:pos="113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This Section 1.13 is expressly intended to apply to any business proposed to be brought before an annual or special meeting of stockholders other than any proposal made pursuant to Rule 14a-8 under the Exchange Act. In addition to the requirements of this Section 1.13 with respect to any business proposed to be brought before an annual or special meeting, each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Proposing Person shall comply with all applicable requirements of the Exchange Act with respect to any such business. Nothing in this Section 1.13 shall be deemed to affect the rights of stockholders to request inclusion of proposals in the Corporation’s proxy statement pursuant to Rule 14a-8 under the Exchange Act.</w:t>
      </w:r>
    </w:p>
    <w:p>
      <w:pPr>
        <w:spacing w:after="0" w:line="181" w:lineRule="exact"/>
        <w:rPr>
          <w:sz w:val="20"/>
          <w:szCs w:val="20"/>
          <w:color w:val="auto"/>
        </w:rPr>
      </w:pPr>
    </w:p>
    <w:p>
      <w:pPr>
        <w:ind w:right="140" w:firstLine="921"/>
        <w:spacing w:after="0" w:line="264"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 of Public Disclosure</w:t>
      </w:r>
      <w:r>
        <w:rPr>
          <w:rFonts w:ascii="Arial" w:cs="Arial" w:eastAsia="Arial" w:hAnsi="Arial"/>
          <w:sz w:val="18"/>
          <w:szCs w:val="18"/>
          <w:color w:val="auto"/>
        </w:rPr>
        <w:t>. For purposes of these Bylaws, “</w:t>
      </w:r>
      <w:r>
        <w:rPr>
          <w:rFonts w:ascii="Arial" w:cs="Arial" w:eastAsia="Arial" w:hAnsi="Arial"/>
          <w:sz w:val="18"/>
          <w:szCs w:val="18"/>
          <w:i w:val="1"/>
          <w:iCs w:val="1"/>
          <w:color w:val="auto"/>
        </w:rPr>
        <w:t>public disclosure</w:t>
      </w:r>
      <w:r>
        <w:rPr>
          <w:rFonts w:ascii="Arial" w:cs="Arial" w:eastAsia="Arial" w:hAnsi="Arial"/>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Nominations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4" w:lineRule="auto"/>
        <w:tabs>
          <w:tab w:leader="none" w:pos="115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Who May Make Nominations</w:t>
      </w:r>
      <w:r>
        <w:rPr>
          <w:rFonts w:ascii="Arial" w:cs="Arial" w:eastAsia="Arial" w:hAnsi="Arial"/>
          <w:sz w:val="18"/>
          <w:szCs w:val="18"/>
          <w:color w:val="auto"/>
        </w:rPr>
        <w:t>.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appointed by the Board of Directors,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1.14 and at the time of the meeting, (B) is entitled to vote at the meeting, and (C) has complied with this Section 1.14 as to such nomination. The foregoing clause (ii) shall be the exclusive means for a stockholder to make any nomination of a person or persons for election to the Board of Directors at an annual meeting or special meeting.</w:t>
      </w:r>
    </w:p>
    <w:p>
      <w:pPr>
        <w:spacing w:after="0" w:line="192" w:lineRule="exact"/>
        <w:rPr>
          <w:rFonts w:ascii="Arial" w:cs="Arial" w:eastAsia="Arial" w:hAnsi="Arial"/>
          <w:sz w:val="18"/>
          <w:szCs w:val="18"/>
          <w:color w:val="auto"/>
        </w:rPr>
      </w:pPr>
    </w:p>
    <w:p>
      <w:pPr>
        <w:ind w:right="20" w:firstLine="921"/>
        <w:spacing w:after="0" w:line="287" w:lineRule="auto"/>
        <w:tabs>
          <w:tab w:leader="none" w:pos="116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Requirement of Timely Notice of Stockholder Nominations</w:t>
      </w:r>
      <w:r>
        <w:rPr>
          <w:rFonts w:ascii="Arial" w:cs="Arial" w:eastAsia="Arial" w:hAnsi="Arial"/>
          <w:sz w:val="16"/>
          <w:szCs w:val="16"/>
          <w:color w:val="auto"/>
        </w:rPr>
        <w:t>. Without qualification, for a stockholder to make any nomination of a person or persons for election to the Board of Directors at an annual meeting, the stockholder must (i) provide Timely Notice (as defined in Section 1.13 of these Bylaws) thereof in writing and in proper form to the Secretary of the Corporation and (ii) provide any updates or supplements to such notice at the times and in the forms required by this Section 1.14. Without qualification, if the election of directors is a matter specified in the notice of meeting given by or at the direction of the person calling such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1.14.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1.13 of these Bylaws) of the date of such special meeting was first made. In no event shall any adjournment or postponement of an annual meeting or special meeting or the announcement thereof commence a new time period for the giving of a stockholder’s notice as described above.</w:t>
      </w:r>
    </w:p>
    <w:p>
      <w:pPr>
        <w:spacing w:after="0" w:line="168" w:lineRule="exact"/>
        <w:rPr>
          <w:rFonts w:ascii="Arial" w:cs="Arial" w:eastAsia="Arial" w:hAnsi="Arial"/>
          <w:sz w:val="16"/>
          <w:szCs w:val="16"/>
          <w:color w:val="auto"/>
        </w:rPr>
      </w:pPr>
    </w:p>
    <w:p>
      <w:pPr>
        <w:ind w:right="60" w:firstLine="921"/>
        <w:spacing w:after="0" w:line="277" w:lineRule="auto"/>
        <w:tabs>
          <w:tab w:leader="none" w:pos="115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Requirements for Proper Form of Notice of Stockholder Nominations</w:t>
      </w:r>
      <w:r>
        <w:rPr>
          <w:rFonts w:ascii="Arial" w:cs="Arial" w:eastAsia="Arial" w:hAnsi="Arial"/>
          <w:sz w:val="18"/>
          <w:szCs w:val="18"/>
          <w:color w:val="auto"/>
        </w:rPr>
        <w:t>. To be in proper form for purposes of this Section 1.14, a stockholder’s notice to the Secretary shall set forth:</w:t>
      </w:r>
    </w:p>
    <w:p>
      <w:pPr>
        <w:spacing w:after="0" w:line="170" w:lineRule="exact"/>
        <w:rPr>
          <w:rFonts w:ascii="Arial" w:cs="Arial" w:eastAsia="Arial" w:hAnsi="Arial"/>
          <w:sz w:val="18"/>
          <w:szCs w:val="18"/>
          <w:color w:val="auto"/>
        </w:rPr>
      </w:pPr>
    </w:p>
    <w:p>
      <w:pPr>
        <w:ind w:right="40" w:firstLine="1492"/>
        <w:spacing w:after="0" w:line="276" w:lineRule="auto"/>
        <w:tabs>
          <w:tab w:leader="none" w:pos="1698"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Stockholder Information</w:t>
      </w:r>
      <w:r>
        <w:rPr>
          <w:rFonts w:ascii="Arial" w:cs="Arial" w:eastAsia="Arial" w:hAnsi="Arial"/>
          <w:sz w:val="17"/>
          <w:szCs w:val="17"/>
          <w:color w:val="auto"/>
        </w:rPr>
        <w:t>. As to each Nominating Person (as defined below), (A) the name and address of such Nominating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Nominating Person, except that such Nominating Person shall in all events be deemed to beneficially own any shares of any class or series of the Corporation as to which such Nominating Person has a right to acquire beneficial ownership at any time in the future and (C)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2" w:name="page13"/>
    <w:bookmarkEnd w:id="12"/>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representation whether such Nominating Person intends or is part of a group that intends (x) to deliver a proxy statement and/or form of proxy to holders of at least the percentage of the Corporation’s outstanding stock reasonably believed by the Nominating Person to be sufficient to elect the nominee or nominees proposed to be nominated by the Nominating Person;</w:t>
      </w:r>
    </w:p>
    <w:p>
      <w:pPr>
        <w:spacing w:after="0" w:line="181" w:lineRule="exact"/>
        <w:rPr>
          <w:sz w:val="20"/>
          <w:szCs w:val="20"/>
          <w:color w:val="auto"/>
        </w:rPr>
      </w:pPr>
    </w:p>
    <w:p>
      <w:pPr>
        <w:jc w:val="both"/>
        <w:ind w:right="60" w:firstLine="1492"/>
        <w:spacing w:after="0" w:line="312" w:lineRule="auto"/>
        <w:tabs>
          <w:tab w:leader="none" w:pos="1748"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Information Regarding Disclosable Interests</w:t>
      </w:r>
      <w:r>
        <w:rPr>
          <w:rFonts w:ascii="Arial" w:cs="Arial" w:eastAsia="Arial" w:hAnsi="Arial"/>
          <w:sz w:val="16"/>
          <w:szCs w:val="16"/>
          <w:color w:val="auto"/>
        </w:rPr>
        <w:t>. As to each Nominating Person, any Disclosable Interests (as defined in Section 1.13(c) (ii), except that for purposes of this Section 1.14 the term “Nominating Person” shall be substituted for the term “Proposing Person” in all places it appears in Section 1.13(c)(ii)), and the disclosure in clause (F) of Section 1.13(c)(ii) shall be made with respect to the election of directors at the meeting;</w:t>
      </w:r>
    </w:p>
    <w:p>
      <w:pPr>
        <w:spacing w:after="0" w:line="146" w:lineRule="exact"/>
        <w:rPr>
          <w:rFonts w:ascii="Arial" w:cs="Arial" w:eastAsia="Arial" w:hAnsi="Arial"/>
          <w:sz w:val="16"/>
          <w:szCs w:val="16"/>
          <w:color w:val="auto"/>
        </w:rPr>
      </w:pPr>
    </w:p>
    <w:p>
      <w:pPr>
        <w:ind w:firstLine="1492"/>
        <w:spacing w:after="0" w:line="270" w:lineRule="auto"/>
        <w:tabs>
          <w:tab w:leader="none" w:pos="1798"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Information Regarding Proposed Nominees</w:t>
      </w:r>
      <w:r>
        <w:rPr>
          <w:rFonts w:ascii="Arial" w:cs="Arial" w:eastAsia="Arial" w:hAnsi="Arial"/>
          <w:sz w:val="17"/>
          <w:szCs w:val="17"/>
          <w:color w:val="auto"/>
        </w:rPr>
        <w:t>. As to each person whom a Nominating Person proposes to nominate for election as a director, (A) all information with respect to such proposed nominee that would be required to be set forth in a stockholder’s notice pursuant to this Section 1.14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and (C) a description of all direct and indirect compensation and other material monetary agreements, arrangements and understandings during the past three years, and any other material relationships, between or among any Nominating Person, on the one hand, and each proposed nominee, his or her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w:t>
      </w:r>
    </w:p>
    <w:p>
      <w:pPr>
        <w:spacing w:after="0" w:line="177" w:lineRule="exact"/>
        <w:rPr>
          <w:rFonts w:ascii="Arial" w:cs="Arial" w:eastAsia="Arial" w:hAnsi="Arial"/>
          <w:sz w:val="17"/>
          <w:szCs w:val="17"/>
          <w:color w:val="auto"/>
        </w:rPr>
      </w:pPr>
    </w:p>
    <w:p>
      <w:pPr>
        <w:ind w:right="20" w:firstLine="1492"/>
        <w:spacing w:after="0" w:line="259" w:lineRule="auto"/>
        <w:tabs>
          <w:tab w:leader="none" w:pos="178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Other Information to be Furnished by Proposed Nominees</w:t>
      </w:r>
      <w:r>
        <w:rPr>
          <w:rFonts w:ascii="Arial" w:cs="Arial" w:eastAsia="Arial" w:hAnsi="Arial"/>
          <w:sz w:val="18"/>
          <w:szCs w:val="18"/>
          <w:color w:val="auto"/>
        </w:rPr>
        <w:t>. The Corporation may require any proposed nominee to furnish such other information (A) as may reasonably be required by the Corporation to determine the eligibility of such proposed nominee to serve as an independent director of the Corporation in accordance with the Corporation’s Governance Guidelines or (B) that could be material to a reasonable stockholder’s understanding of the independence or lack of independence of such proposed nominee.</w:t>
      </w:r>
    </w:p>
    <w:p>
      <w:pPr>
        <w:spacing w:after="0" w:line="186" w:lineRule="exact"/>
        <w:rPr>
          <w:rFonts w:ascii="Arial" w:cs="Arial" w:eastAsia="Arial" w:hAnsi="Arial"/>
          <w:sz w:val="18"/>
          <w:szCs w:val="18"/>
          <w:color w:val="auto"/>
        </w:rPr>
      </w:pPr>
    </w:p>
    <w:p>
      <w:pPr>
        <w:ind w:right="280" w:firstLine="1492"/>
        <w:spacing w:after="0" w:line="312" w:lineRule="auto"/>
        <w:tabs>
          <w:tab w:leader="none" w:pos="1738"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Definition of Nominating Person</w:t>
      </w:r>
      <w:r>
        <w:rPr>
          <w:rFonts w:ascii="Arial" w:cs="Arial" w:eastAsia="Arial" w:hAnsi="Arial"/>
          <w:sz w:val="16"/>
          <w:szCs w:val="16"/>
          <w:color w:val="auto"/>
        </w:rPr>
        <w:t>. For purposes of this Section 1.14,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w:t>
      </w:r>
    </w:p>
    <w:p>
      <w:pPr>
        <w:spacing w:after="0" w:line="146" w:lineRule="exact"/>
        <w:rPr>
          <w:rFonts w:ascii="Arial" w:cs="Arial" w:eastAsia="Arial" w:hAnsi="Arial"/>
          <w:sz w:val="16"/>
          <w:szCs w:val="16"/>
          <w:color w:val="auto"/>
        </w:rPr>
      </w:pPr>
    </w:p>
    <w:p>
      <w:pPr>
        <w:ind w:firstLine="921"/>
        <w:spacing w:after="0" w:line="289" w:lineRule="auto"/>
        <w:tabs>
          <w:tab w:leader="none" w:pos="116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Update and Supplement of Stockholder Notice of Nominations</w:t>
      </w:r>
      <w:r>
        <w:rPr>
          <w:rFonts w:ascii="Arial" w:cs="Arial" w:eastAsia="Arial" w:hAnsi="Arial"/>
          <w:sz w:val="16"/>
          <w:szCs w:val="16"/>
          <w:color w:val="auto"/>
        </w:rPr>
        <w:t>. A stockholder providing notice of any nomination proposed to be made at a meeting shall further update and supplement such notice, if necessary, so that the information provided or required to be provided in such notice pursuant to this Section 1.14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nominations or permit a change in the nominees or nominations proposed to be made at a meeting of the stockholders.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ind w:firstLine="921"/>
        <w:spacing w:after="0" w:line="259" w:lineRule="auto"/>
        <w:tabs>
          <w:tab w:leader="none" w:pos="115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Defective Nominations</w:t>
      </w:r>
      <w:r>
        <w:rPr>
          <w:rFonts w:ascii="Arial" w:cs="Arial" w:eastAsia="Arial" w:hAnsi="Arial"/>
          <w:sz w:val="18"/>
          <w:szCs w:val="18"/>
          <w:color w:val="auto"/>
        </w:rPr>
        <w:t>. Notwithstanding anything in these Bylaws to the contrary, no person shall be eligible for election as a director of the Corporation unless nominated in accordance with this Section 1.14. The presiding officer at the meeting shall, if the facts warrant, determine that a nomination was not properly made in accordance with this Section 1.14, and if he or she should so determine, he or she shall so declare such determination to the meeting and the defective nomination shall be disregarded.</w:t>
      </w:r>
    </w:p>
    <w:p>
      <w:pPr>
        <w:spacing w:after="0" w:line="186" w:lineRule="exact"/>
        <w:rPr>
          <w:rFonts w:ascii="Arial" w:cs="Arial" w:eastAsia="Arial" w:hAnsi="Arial"/>
          <w:sz w:val="18"/>
          <w:szCs w:val="18"/>
          <w:color w:val="auto"/>
        </w:rPr>
      </w:pPr>
    </w:p>
    <w:p>
      <w:pPr>
        <w:ind w:right="60" w:firstLine="921"/>
        <w:spacing w:after="0" w:line="308" w:lineRule="auto"/>
        <w:tabs>
          <w:tab w:leader="none" w:pos="1138"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Compliance with Exchange Act</w:t>
      </w:r>
      <w:r>
        <w:rPr>
          <w:rFonts w:ascii="Arial" w:cs="Arial" w:eastAsia="Arial" w:hAnsi="Arial"/>
          <w:sz w:val="17"/>
          <w:szCs w:val="17"/>
          <w:color w:val="auto"/>
        </w:rPr>
        <w:t>. In addition to the requirements of this Section 1.14 with respect to any nomination proposed to be made at a meeting, each Nominating Person shall comply with all applicable requirements of the Exchange Act with respect to any such nominations.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Number; Qualifications</w:t>
      </w:r>
      <w:r>
        <w:rPr>
          <w:rFonts w:ascii="Arial" w:cs="Arial" w:eastAsia="Arial" w:hAnsi="Arial"/>
          <w:sz w:val="17"/>
          <w:szCs w:val="17"/>
          <w:color w:val="auto"/>
        </w:rPr>
        <w:t>. The Board of Directors shall consist of one or more members. The initial number of directors shall be seven (7), and thereafter shall be fixed from time to time by resolution of the Board of Directors. Commencing with the 1994 annual meeting of stockholders of the Corporation, the directors, other than those who may be elected by the holders of any series of Preferred Stock under specified circumstances, shall be divided, with respect to the time for which they severally hold office, into three classes, as nearly equal in number as is reasonably possible, with the term of office of the first class to expire at the 1995 annual meeting of stockholders, 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annual meeting of stockholders, commencing with the 1995 annual meeting,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No decrease in the authorized number of directors constituting the Board of Directors shall shorten the term of any incumbent director.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Election</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88" w:lineRule="auto"/>
        <w:tabs>
          <w:tab w:leader="none" w:pos="11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For purposes of these Bylaws, a “majority of votes” cast shall mean that the number of shares voted “for” a director’s election must exceed the number of votes cast “against” the election of that director.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these Bylaws, a “contested election” shall mean any election of directors where, as of the tenth (10th) day preceding the date on which the Corporation first mails its notice of meeting, for the meeting at which directors are being elected, the number of nominees for director exceeds the number of directors to be elected.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69" w:lineRule="exact"/>
        <w:rPr>
          <w:rFonts w:ascii="Arial" w:cs="Arial" w:eastAsia="Arial" w:hAnsi="Arial"/>
          <w:sz w:val="16"/>
          <w:szCs w:val="16"/>
          <w:color w:val="auto"/>
        </w:rPr>
      </w:pPr>
    </w:p>
    <w:p>
      <w:pPr>
        <w:ind w:right="240" w:firstLine="921"/>
        <w:spacing w:after="0" w:line="259"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nominee for director who is an incumbent director is not elected and no successor has been elected at such meeting, the director shall promptly tender his or her resignation to the Board of Directors. The Governance Committee shall make a recommendation to the Board of Directors as to whether to accept or reject the tendered resignation, or whether other action should be taken. The Board of Directors shall act on the tendered resignation, taking into account the Governance Committee’s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4" w:name="page15"/>
    <w:bookmarkEnd w:id="14"/>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Governance Committee or the decision of the Board of Directors with respect to his or her resignation. If such incumbent director’s resignation is not accepted by the Board of Directors, such director shall continue to serve until his or her successor is duly elected, or his or her earlier resignation or removal. If a director’s resignation is accepted by the Board of Directors pursuant to these Bylaws, or if a nominee for director is not elected and the nominee is not an incumbent director, then the Board of Directors, in its sole discretion, may fill any resulting vacancy or may decrease the size of the Board of Directors pursuant to the provisions of these Bylaws.</w:t>
      </w:r>
    </w:p>
    <w:p>
      <w:pPr>
        <w:spacing w:after="0" w:line="18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Resignation; Removal; Vacancies</w:t>
      </w:r>
      <w:r>
        <w:rPr>
          <w:rFonts w:ascii="Arial" w:cs="Arial" w:eastAsia="Arial" w:hAnsi="Arial"/>
          <w:sz w:val="16"/>
          <w:szCs w:val="16"/>
          <w:color w:val="auto"/>
        </w:rPr>
        <w:t>. Subject to the provisions of the Certificate of Incorporation, each director shall serve until his or her successor is duly elected and qualified, or until his or her earlier death, resignation, retirement or removal from service as a director. Any director may resign at any time upon notice given in writing or by electronic transmission to the Corporation, pursuant to the Corporation’s resignation policy then in effect. Subject to the rights of any holders of Preferred Stock then outstanding and the Certificate of Incorporation any vacancy occurring in the Board of Directors for any reason, and any newly created directorship resulting from any increase in the authorized number of directors to be elected by all stockholders having the right to vote as a single class, shall be filled only by (a) a majority of the directors then in office, although less than a quorum, or by a sole remaining director, or (b) by a plurality of the votes cast at a meeting of the stockholders. Subject to the rights of the holders of any series of Preferred Stock with respect to such series of Preferred Stock, any director, or the entire Board of Directors, may be removed from office at any time, with or without cause, by the affirmative vote of the holders of a majority of the voting power of all of the then-outstanding shares of voting stock, voting together as a single class.</w:t>
      </w:r>
    </w:p>
    <w:p>
      <w:pPr>
        <w:spacing w:after="0" w:line="16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at such places, within or without the State of Delaware, and at such times as the Board of Directors may from time to time determine. Notice of regular meetings need not be given if the date, times and places thereof are fixed by resolution of the Board of Directors.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Chairman of the Board, the Chief Executive Officer or a majority of the members of the Board of Directors then in office and may be held at any time, date or place, within or without the State of Delaware, as the person or persons calling the meeting shall fix. Notice of the time, date and place of such meeting shall be given, orally or in writing, by the person or persons calling the meeting to all directors at least four (4) days before the meeting if the notice is mailed, or at least twelve (12) hours before the meeting if such notice is given by telephone, hand delivery, overnight express courier, facsimile, electronic mail or other electronic transmission. Unless otherwise indicated in the notice, any and all business may be transacted at a special meeting. The notice shall be deemed given:</w:t>
      </w:r>
    </w:p>
    <w:p>
      <w:pPr>
        <w:spacing w:after="0" w:line="178" w:lineRule="exact"/>
        <w:rPr>
          <w:sz w:val="20"/>
          <w:szCs w:val="20"/>
          <w:color w:val="auto"/>
        </w:rPr>
      </w:pPr>
    </w:p>
    <w:p>
      <w:pPr>
        <w:ind w:right="240" w:firstLine="921"/>
        <w:spacing w:after="0" w:line="277" w:lineRule="auto"/>
        <w:tabs>
          <w:tab w:leader="none" w:pos="11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delivery by overnight express courier, on the first business day after such notice is dispatched,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ind w:right="140" w:firstLine="921"/>
        <w:spacing w:after="0" w:line="264"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delivery via facsimile, electronic mail or other electronic transmission, when sent to the director to whom notice is to be given or by any person accepting such notice on behalf of such director at such director’s facsimile number or electronic mail address, as the case may be, as it appears on the Corporation’s records.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Telephonic Meetings Permitted</w:t>
      </w:r>
      <w:r>
        <w:rPr>
          <w:rFonts w:ascii="Arial" w:cs="Arial" w:eastAsia="Arial" w:hAnsi="Arial"/>
          <w:sz w:val="18"/>
          <w:szCs w:val="18"/>
          <w:color w:val="auto"/>
        </w:rPr>
        <w:t>. Members of the Board of Directors, or any committee of the Board of Directors, may participate in a meeting of the Board of Directors or such committee by means of conference telephone or similar communications equipment by means of which all persons participating in the meeting can hear each other, and participation in a meeting pursuant to conference telephone or similar communications equipment shall constitute presence in person at such meeting.</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Quorum; Vote Required for Action</w:t>
      </w:r>
      <w:r>
        <w:rPr>
          <w:rFonts w:ascii="Arial" w:cs="Arial" w:eastAsia="Arial" w:hAnsi="Arial"/>
          <w:sz w:val="18"/>
          <w:szCs w:val="18"/>
          <w:color w:val="auto"/>
        </w:rPr>
        <w:t>. At all meetings of the Board of Directors a majority of the total number of authorized directors shall constitute a quorum for the transaction of business. Except as otherwise provided herein or in the Certificate of Incorporation, or required by law, the vote of a majority of the directors present at a meeting at which a quorum is present shall be the act of the Board of Directors. If a quorum is not present at any meeting of the Board of Directors, then the directors present thereat may adjourn the meeting from time to time, without notice other than announcement at the meeting, until a quorum is present.</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shall have the power to elect the Chairman of the Board from among the members of the Board of Directors. The Chairman of the Board shall have the power to preside at all meetings of the Board of Directors and shall have such other powers and duties as provided in these Bylaws and as the Board of Directors may from time to time prescribe.</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the Chairman of the Board, or in his or her absence by the Chief Executive Officer, or in his or her absence by a chairman chosen at the meeting. The Secretary shall act as secretary of the meeting, but in his or her absence the chairman of the meeting may appoint any person to act as secretary of the meeting.</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Written Action by Directors</w:t>
      </w:r>
      <w:r>
        <w:rPr>
          <w:rFonts w:ascii="Arial" w:cs="Arial" w:eastAsia="Arial" w:hAnsi="Arial"/>
          <w:sz w:val="18"/>
          <w:szCs w:val="18"/>
          <w:color w:val="auto"/>
        </w:rPr>
        <w:t>. Any action required or permitted to be taken at any meeting of the Board of Directors,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except as otherwise required by law or the Certificate of Incorporation, exercise all such powers and do all such acts and things as may be exercised or done by the Corporation.</w:t>
      </w:r>
    </w:p>
    <w:p>
      <w:pPr>
        <w:spacing w:after="0" w:line="170" w:lineRule="exact"/>
        <w:rPr>
          <w:sz w:val="20"/>
          <w:szCs w:val="20"/>
          <w:color w:val="auto"/>
        </w:rPr>
      </w:pPr>
    </w:p>
    <w:p>
      <w:pPr>
        <w:ind w:right="920" w:firstLine="456"/>
        <w:spacing w:after="0" w:line="342"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as such, may receive, pursuant to a resolution of the Board of Directors, fees and other compensation for their services as directors, including without limitation their services as members of committees of the Board of Directors.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by resolution passed by a majority of the authorized number of directors,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she or they constitute a quorum, may unanimously appoint another member of the Board of Directors to act at the meeting in place of any such absent or disqualified member. Any such committee, to the extent provided in a resolution of the Board of Directors, shall have and may exercise all the powers and authority of the Board of Directors in the management of the business and affairs of the Corporation and may authorize the seal of the Corporation to be affixed to all papers that may require it.</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Committee Rules</w:t>
      </w:r>
      <w:r>
        <w:rPr>
          <w:rFonts w:ascii="Arial" w:cs="Arial" w:eastAsia="Arial" w:hAnsi="Arial"/>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360" w:firstLine="456"/>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The officers of the Corporation shall consist of a Chief Executive Officer and/or a President, one or more Vice Presidents, a Secretary, a Treasurer and such other officers, including a Chief Financial Officer, as may from time to time be appointed by the Board of Directors. All officers shall be elected by the Board of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the Board of Directors may empower the Chief Executive Officer of the Corporation to appoint officers other than the Chief Executive Officer, the President, the Chief Financial Officer or the Treasurer. Each officer shall hold office until his or her successor is elected and qualified or until his or her earlier resignation or removal. Any number of offices may be held by the same person. Any officer may resign at any time upon written notice to the Corporation. Any vacancy occurring in any office of the Corporation by death, resignation, removal or otherwise may be filled by the Board of Directors.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Subject to the control of the Board of Directors and such supervisory powers, if any, as may be given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the powers and duties of the Chief Executive Officer of the Corporation are:</w:t>
      </w:r>
    </w:p>
    <w:p>
      <w:pPr>
        <w:spacing w:after="0" w:line="211" w:lineRule="exact"/>
        <w:rPr>
          <w:sz w:val="20"/>
          <w:szCs w:val="20"/>
          <w:color w:val="auto"/>
        </w:rPr>
      </w:pPr>
    </w:p>
    <w:p>
      <w:pPr>
        <w:ind w:right="240" w:firstLine="921"/>
        <w:spacing w:after="0" w:line="277" w:lineRule="auto"/>
        <w:tabs>
          <w:tab w:leader="none" w:pos="11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of Directors, to have general supervision, direction and control of the business and affairs of the Corporation;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absence of the Chairman of the Board, to preside at all meetings of the stockholders;</w:t>
      </w:r>
    </w:p>
    <w:p>
      <w:pPr>
        <w:spacing w:after="0" w:line="225" w:lineRule="exact"/>
        <w:rPr>
          <w:rFonts w:ascii="Arial" w:cs="Arial" w:eastAsia="Arial" w:hAnsi="Arial"/>
          <w:sz w:val="18"/>
          <w:szCs w:val="18"/>
          <w:color w:val="auto"/>
        </w:rPr>
      </w:pPr>
    </w:p>
    <w:p>
      <w:pPr>
        <w:ind w:right="400" w:firstLine="921"/>
        <w:spacing w:after="0" w:line="277" w:lineRule="auto"/>
        <w:tabs>
          <w:tab w:leader="none" w:pos="11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call meetings of the stockholders to be held at such times and, subject to the limitations prescribed by law or by these Bylaws, at such places as he or she shall deem proper; and</w:t>
      </w:r>
    </w:p>
    <w:p>
      <w:pPr>
        <w:spacing w:after="0" w:line="170" w:lineRule="exact"/>
        <w:rPr>
          <w:rFonts w:ascii="Arial" w:cs="Arial" w:eastAsia="Arial" w:hAnsi="Arial"/>
          <w:sz w:val="18"/>
          <w:szCs w:val="18"/>
          <w:color w:val="auto"/>
        </w:rPr>
      </w:pPr>
    </w:p>
    <w:p>
      <w:pPr>
        <w:ind w:right="160" w:firstLine="921"/>
        <w:spacing w:after="0" w:line="302" w:lineRule="auto"/>
        <w:tabs>
          <w:tab w:leader="none" w:pos="11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of Directors or which, in the judgment of the Chief Executive Officer,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w:t>
      </w:r>
    </w:p>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of the Corporation unless the Board of Directors shall have designated another officer as the Chief Executive Officer of the Corporation. Subject to the provisions of these Bylaws and to the direction of the Board of Directors, and subject to the supervisory powers of the Chief Executive Officer (if the Chief Executive Officer is an officer other than the President), and subject to such supervisory powers and authority as may be given by the Board of Directors to the Chairman of the Board, and/or to any other officer, the President shall have the responsibility for the general management and the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 of Directors.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jc w:val="both"/>
        <w:ind w:right="1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4.4: </w:t>
      </w:r>
      <w:r>
        <w:rPr>
          <w:rFonts w:ascii="Arial" w:cs="Arial" w:eastAsia="Arial" w:hAnsi="Arial"/>
          <w:sz w:val="17"/>
          <w:szCs w:val="17"/>
          <w:u w:val="single" w:color="auto"/>
          <w:color w:val="auto"/>
        </w:rPr>
        <w:t>Vice President</w:t>
      </w:r>
      <w:r>
        <w:rPr>
          <w:rFonts w:ascii="Arial" w:cs="Arial" w:eastAsia="Arial" w:hAnsi="Arial"/>
          <w:sz w:val="17"/>
          <w:szCs w:val="17"/>
          <w:color w:val="auto"/>
        </w:rPr>
        <w:t>. Each Vice President shall have all such powers and duties as are commonly incident to the office of Vice President, or that are delegated to him or her by the Board of Directors or the Chief Executive Officer. A Vice President may be designated by the Board to perform the duties and exercise the powers of the Chief Executive Officer in the event of the Chief Executive Officer’s absence or disability.</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Subject to the direction of the Board of Directors and the Chief Executive Officer, the Chief Financial Officer shall perform all duties and have all powers that are commonly incident to the office of chief financial officer.</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of Directors or the President may from time to time prescribe.</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The Assistant Treasurer, if any, or if there be more than one, the Assistant Treasurers in the order determined by the Board of Directors (or if there be no such determination, then in the order of their election), shall, in the absence of the Treasurer for any reason, including the failure of the Board of Directors to elect a Treasurer or in the event of the Treasurer’s inability or refusal to act, perform the duties and exercise the powers of the Treasurer and perform such other duties and have such other powers as the Board of Directors or the Chief Executive Officer may from time to time prescribe.</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issue or cause to be issued all authorized notices for, and shall keep, or cause to be kept, minutes of all meetings of the stockholders and the Board of Directors. The Secretary shall have charge of the corporate minute books and similar records and shall perform such other duties and have such other powers as are commonly incident to the office of Secretary, or as the Board of Directors or the President may from time to time prescribe.</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Assistant Secretary</w:t>
      </w:r>
      <w:r>
        <w:rPr>
          <w:rFonts w:ascii="Arial" w:cs="Arial" w:eastAsia="Arial" w:hAnsi="Arial"/>
          <w:sz w:val="16"/>
          <w:szCs w:val="16"/>
          <w:color w:val="auto"/>
        </w:rPr>
        <w:t>. The Assistant Secretary, if any, or if there be more than one, the Assistant Secretaries in the order determined by the Board of Directors (or if there be no such determination, then in the order of their election), shall, in the absence of the Secretary for any reason, including the failure of the Board of Directors to elect a Secretary or in the event of the Secretary’s inability or refusal to act, perform the duties and exercise the powers of the Secretary and perform such other duties and have such other powers as the Board of Directors or the Chief Executive Officer may from time to time prescribe. Any Assistant Secretary shall have authority to affix the corporate seal and attest the same by his signature to the same extent as the Secretary.</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Board of Directors may from time to time delegate the powers or duties of any officer to any other officers or agents, notwithstanding any provision hereof.</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Removal</w:t>
      </w:r>
      <w:r>
        <w:rPr>
          <w:rFonts w:ascii="Arial" w:cs="Arial" w:eastAsia="Arial" w:hAnsi="Arial"/>
          <w:sz w:val="16"/>
          <w:szCs w:val="16"/>
          <w:color w:val="auto"/>
        </w:rPr>
        <w:t>. Any officer of the Corporation shall serve at the pleasure of the Board of Directors and may be removed at any time, with or without cause, by the Board of Directors. Such removal shall be without prejudice to the contractual rights of such officer, if any, with the Corporation.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Certificates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of stock represented by certificates shall be entitled to have a certificate signed by or in the name of the Corporation by the Chairman or Vice-Chairman of the Board of Directors, or the President or a Vice President, and by the Treasurer or an Assistant Treasurer, or the Secretary or an Assistant Secretary, of the Corporation, representing the number of shares registered in certificate form. Any or all of the signatures on the certificate may be a facsimile.</w:t>
      </w:r>
    </w:p>
    <w:p>
      <w:pPr>
        <w:spacing w:after="0" w:line="187"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Lost, Stolen or Destroyed Stock Certificates; Issuance of New Certificates or Uncertificated Shares</w:t>
      </w:r>
      <w:r>
        <w:rPr>
          <w:rFonts w:ascii="Arial" w:cs="Arial" w:eastAsia="Arial" w:hAnsi="Arial"/>
          <w:sz w:val="17"/>
          <w:szCs w:val="17"/>
          <w:color w:val="auto"/>
        </w:rPr>
        <w:t>. The Corporation may issue a new certificate of stock or uncertificated shares in the place of any certificate previously issued by it, alleged to have been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Other Regulations</w:t>
      </w:r>
      <w:r>
        <w:rPr>
          <w:rFonts w:ascii="Arial" w:cs="Arial" w:eastAsia="Arial" w:hAnsi="Arial"/>
          <w:sz w:val="18"/>
          <w:szCs w:val="18"/>
          <w:color w:val="auto"/>
        </w:rPr>
        <w:t>. The issue, transfer, conversion and registration of stock certificates or uncertificated shares shall be governed by such other regulations as the Board of Directors may establish.</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Indemnification</w:t>
      </w:r>
      <w:r>
        <w:rPr>
          <w:rFonts w:ascii="Arial" w:cs="Arial" w:eastAsia="Arial" w:hAnsi="Arial"/>
          <w:sz w:val="18"/>
          <w:szCs w:val="18"/>
          <w:color w:val="auto"/>
        </w:rPr>
        <w:t>. Indemnification rights shall be as set forth in the Corporation’s Certificate of Incorporation, as such shall be amended from time to time, and shall extend to the fullest extent permitted by Delaware law from time to time in effect.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w:t>
      </w:r>
      <w:r>
        <w:rPr>
          <w:rFonts w:ascii="Arial" w:cs="Arial" w:eastAsia="Arial" w:hAnsi="Arial"/>
          <w:sz w:val="18"/>
          <w:szCs w:val="18"/>
          <w:color w:val="auto"/>
        </w:rPr>
        <w:t>. Except as otherwise specifically provided herein or required by law, all notices required to be given pursuant to these Bylaws shall be in writing and may in every instance be effectively given by hand delivery (including use of a delivery service), by depositing such notice in the mail, postage prepaid, or by sending such notice by prepaid overnight express courier or facsimile. Any such notice shall be addressed to the person to whom notice is to be given at such person’s address or facsimile number, as the case may be, as it appears on the records of the Corporation. The notice shall be deemed given: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in the case of hand delivery, when received by the person to whom notice is to be given or by any person accepting such notice on behalf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person;</w:t>
      </w:r>
    </w:p>
    <w:p>
      <w:pPr>
        <w:spacing w:after="0" w:line="211" w:lineRule="exact"/>
        <w:rPr>
          <w:sz w:val="20"/>
          <w:szCs w:val="20"/>
          <w:color w:val="auto"/>
        </w:rPr>
      </w:pPr>
    </w:p>
    <w:p>
      <w:pPr>
        <w:ind w:right="14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delivery by mail, upon deposit in the United States mail, postage prepaid, directed to the person to whom notice is being given at such person’s address as it appears on the records of the Corporation;</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delivery by overnight express courier, on the first business day after such notice is dispatched; and</w:t>
      </w:r>
    </w:p>
    <w:p>
      <w:pPr>
        <w:spacing w:after="0" w:line="225" w:lineRule="exact"/>
        <w:rPr>
          <w:rFonts w:ascii="Arial" w:cs="Arial" w:eastAsia="Arial" w:hAnsi="Arial"/>
          <w:sz w:val="18"/>
          <w:szCs w:val="18"/>
          <w:color w:val="auto"/>
        </w:rPr>
      </w:pPr>
    </w:p>
    <w:p>
      <w:pPr>
        <w:ind w:right="36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delivery via facsimile, when directed to the person to whom notice is to be given or by any person accepting such notice on behalf of such person.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notice is required to be given under any provision of these Bylaws, a written waiver of notice, signed by the person entitled to notice, or a waiver by electronic transmission by the person entitled to notice, whether before or after the time stated therein, shall be deemed equivalent to notice. Attendance of a person at a meeting shall constitute a waiver of notice of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INTERESTED DIRECTORS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Interested Directors; Quorum</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his, her or their votes are counted for such purpose, if:</w:t>
      </w:r>
    </w:p>
    <w:p>
      <w:pPr>
        <w:spacing w:after="0" w:line="188" w:lineRule="exact"/>
        <w:rPr>
          <w:sz w:val="20"/>
          <w:szCs w:val="20"/>
          <w:color w:val="auto"/>
        </w:rPr>
      </w:pPr>
    </w:p>
    <w:p>
      <w:pPr>
        <w:jc w:val="both"/>
        <w:ind w:right="20" w:firstLine="921"/>
        <w:spacing w:after="0" w:line="264"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w:t>
      </w:r>
    </w:p>
    <w:p>
      <w:pPr>
        <w:spacing w:after="0" w:line="181" w:lineRule="exact"/>
        <w:rPr>
          <w:rFonts w:ascii="Arial" w:cs="Arial" w:eastAsia="Arial" w:hAnsi="Arial"/>
          <w:sz w:val="18"/>
          <w:szCs w:val="18"/>
          <w:color w:val="auto"/>
        </w:rPr>
      </w:pPr>
    </w:p>
    <w:p>
      <w:pPr>
        <w:ind w:right="740" w:firstLine="921"/>
        <w:spacing w:after="0" w:line="342" w:lineRule="auto"/>
        <w:tabs>
          <w:tab w:leader="none" w:pos="116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material facts as to his, her or their relationship or interest and as to the contract or transaction are disclosed or are known to the stockholders entitled to vote thereon, and the contract or transaction is specifically approved in good faith by vote of the stockholders; or</w:t>
      </w:r>
    </w:p>
    <w:p>
      <w:pPr>
        <w:spacing w:after="0" w:line="123" w:lineRule="exact"/>
        <w:rPr>
          <w:rFonts w:ascii="Arial" w:cs="Arial" w:eastAsia="Arial" w:hAnsi="Arial"/>
          <w:sz w:val="16"/>
          <w:szCs w:val="16"/>
          <w:color w:val="auto"/>
        </w:rPr>
      </w:pPr>
    </w:p>
    <w:p>
      <w:pPr>
        <w:ind w:right="20" w:firstLine="921"/>
        <w:spacing w:after="0" w:line="264"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begin on the first day of January and end on the last day of December.</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for a corporate seal, which shall have the name of the Corporation inscribed thereon and shall otherwise be in such form as may be approved from time to time by the Board of Directors.</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Form of Records</w:t>
      </w:r>
      <w:r>
        <w:rPr>
          <w:rFonts w:ascii="Arial" w:cs="Arial" w:eastAsia="Arial" w:hAnsi="Arial"/>
          <w:sz w:val="17"/>
          <w:szCs w:val="17"/>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Delaware General Corporation Law.</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Reliance Upon Books and Records</w:t>
      </w:r>
      <w:r>
        <w:rPr>
          <w:rFonts w:ascii="Arial" w:cs="Arial" w:eastAsia="Arial" w:hAnsi="Arial"/>
          <w:sz w:val="18"/>
          <w:szCs w:val="18"/>
          <w:color w:val="auto"/>
        </w:rPr>
        <w:t>. A member of the Board of Directors, or a member of any committee designated by the Board of Directors shall, in the performance of his or her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0" w:name="page21"/>
    <w:bookmarkEnd w:id="20"/>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9.5: </w:t>
      </w:r>
      <w:r>
        <w:rPr>
          <w:rFonts w:ascii="Arial" w:cs="Arial" w:eastAsia="Arial" w:hAnsi="Arial"/>
          <w:sz w:val="18"/>
          <w:szCs w:val="18"/>
          <w:u w:val="single" w:color="auto"/>
          <w:color w:val="auto"/>
        </w:rPr>
        <w:t>Certificate of Incorporation Governs</w:t>
      </w:r>
      <w:r>
        <w:rPr>
          <w:rFonts w:ascii="Arial" w:cs="Arial" w:eastAsia="Arial" w:hAnsi="Arial"/>
          <w:sz w:val="18"/>
          <w:szCs w:val="18"/>
          <w:color w:val="auto"/>
        </w:rPr>
        <w:t>. In the event of any conflict between the provisions of the Corporation’s Certificate of Incorporation and Bylaws, the provisions of the Certificate of Incorporation shall govern.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these Bylaws shall be held to be invalid, illegal, unenforceable or in conflict with the provisions of the Corporation’s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w:t>
      </w:r>
      <w:r>
        <w:rPr>
          <w:rFonts w:ascii="Arial" w:cs="Arial" w:eastAsia="Arial" w:hAnsi="Arial"/>
          <w:sz w:val="18"/>
          <w:szCs w:val="18"/>
          <w:color w:val="auto"/>
        </w:rPr>
        <w:t>. Stockholders of the Corporation holding at least two-thirds of the Corporation’s outstanding voting stock shall have the power to adopt, amend or repeal Bylaws. The Board of Directors of the Corporation shall also have the power to adopt, amend or repeal Bylaws of the Corporation.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172085</wp:posOffset>
            </wp:positionV>
            <wp:extent cx="1792605" cy="600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2605" cy="6000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926465</wp:posOffset>
            </wp:positionV>
            <wp:extent cx="132080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4480" w:type="dxa"/>
            <w:vAlign w:val="bottom"/>
          </w:tcPr>
          <w:p>
            <w:pPr>
              <w:ind w:left="1540"/>
              <w:spacing w:after="0"/>
              <w:rPr>
                <w:sz w:val="20"/>
                <w:szCs w:val="20"/>
                <w:color w:val="auto"/>
              </w:rPr>
            </w:pPr>
            <w:r>
              <w:rPr>
                <w:rFonts w:ascii="Arial" w:cs="Arial" w:eastAsia="Arial" w:hAnsi="Arial"/>
                <w:sz w:val="18"/>
                <w:szCs w:val="18"/>
                <w:color w:val="auto"/>
              </w:rPr>
              <w:t>RE: NN, Inc.</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4480" w:type="dxa"/>
            <w:vAlign w:val="bottom"/>
          </w:tcPr>
          <w:p>
            <w:pPr>
              <w:ind w:left="1540"/>
              <w:spacing w:after="0"/>
              <w:rPr>
                <w:sz w:val="20"/>
                <w:szCs w:val="20"/>
                <w:color w:val="auto"/>
              </w:rPr>
            </w:pPr>
            <w:r>
              <w:rPr>
                <w:rFonts w:ascii="Arial" w:cs="Arial" w:eastAsia="Arial" w:hAnsi="Arial"/>
                <w:sz w:val="18"/>
                <w:szCs w:val="18"/>
                <w:color w:val="auto"/>
              </w:rPr>
              <w:t>207 Mockingbird Lane</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4480" w:type="dxa"/>
            <w:vAlign w:val="bottom"/>
          </w:tcPr>
          <w:p>
            <w:pPr>
              <w:ind w:left="154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30"/>
        </w:trPr>
        <w:tc>
          <w:tcPr>
            <w:tcW w:w="4520" w:type="dxa"/>
            <w:vAlign w:val="bottom"/>
            <w:vMerge w:val="restart"/>
          </w:tcPr>
          <w:p>
            <w:pPr>
              <w:spacing w:after="0"/>
              <w:rPr>
                <w:sz w:val="20"/>
                <w:szCs w:val="20"/>
                <w:color w:val="auto"/>
              </w:rPr>
            </w:pPr>
            <w:r>
              <w:rPr>
                <w:rFonts w:ascii="Arial" w:cs="Arial" w:eastAsia="Arial" w:hAnsi="Arial"/>
                <w:sz w:val="18"/>
                <w:szCs w:val="18"/>
                <w:color w:val="auto"/>
              </w:rPr>
              <w:t>FOR FURTHER INFORMATION:</w:t>
            </w:r>
          </w:p>
        </w:tc>
        <w:tc>
          <w:tcPr>
            <w:tcW w:w="4480" w:type="dxa"/>
            <w:vAlign w:val="bottom"/>
          </w:tcPr>
          <w:p>
            <w:pPr>
              <w:ind w:left="1540"/>
              <w:spacing w:after="0"/>
              <w:rPr>
                <w:sz w:val="20"/>
                <w:szCs w:val="20"/>
                <w:color w:val="auto"/>
              </w:rPr>
            </w:pPr>
            <w:r>
              <w:rPr>
                <w:rFonts w:ascii="Arial" w:cs="Arial" w:eastAsia="Arial" w:hAnsi="Arial"/>
                <w:sz w:val="18"/>
                <w:szCs w:val="18"/>
                <w:color w:val="auto"/>
              </w:rPr>
              <w:t>Johnson City, TN 37604</w:t>
            </w: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520" w:type="dxa"/>
            <w:vAlign w:val="bottom"/>
          </w:tcPr>
          <w:p>
            <w:pPr>
              <w:spacing w:after="0"/>
              <w:rPr>
                <w:sz w:val="20"/>
                <w:szCs w:val="20"/>
                <w:color w:val="auto"/>
              </w:rPr>
            </w:pPr>
            <w:r>
              <w:rPr>
                <w:rFonts w:ascii="Arial" w:cs="Arial" w:eastAsia="Arial" w:hAnsi="Arial"/>
                <w:sz w:val="18"/>
                <w:szCs w:val="18"/>
                <w:color w:val="auto"/>
              </w:rPr>
              <w:t>AT THE COMPANY</w:t>
            </w:r>
          </w:p>
        </w:tc>
        <w:tc>
          <w:tcPr>
            <w:tcW w:w="4480" w:type="dxa"/>
            <w:vAlign w:val="bottom"/>
          </w:tcPr>
          <w:p>
            <w:pPr>
              <w:ind w:left="1540"/>
              <w:spacing w:after="0"/>
              <w:rPr>
                <w:sz w:val="20"/>
                <w:szCs w:val="20"/>
                <w:color w:val="auto"/>
              </w:rPr>
            </w:pPr>
            <w:r>
              <w:rPr>
                <w:rFonts w:ascii="Arial" w:cs="Arial" w:eastAsia="Arial" w:hAnsi="Arial"/>
                <w:sz w:val="18"/>
                <w:szCs w:val="18"/>
                <w:color w:val="auto"/>
                <w:w w:val="97"/>
              </w:rPr>
              <w:t>AT FINANCIAL RELATIONS BOARD</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Robbie Atkinson</w:t>
            </w:r>
          </w:p>
        </w:tc>
        <w:tc>
          <w:tcPr>
            <w:tcW w:w="4480" w:type="dxa"/>
            <w:vAlign w:val="bottom"/>
          </w:tcPr>
          <w:p>
            <w:pPr>
              <w:ind w:left="1540"/>
              <w:spacing w:after="0"/>
              <w:rPr>
                <w:sz w:val="20"/>
                <w:szCs w:val="20"/>
                <w:color w:val="auto"/>
              </w:rPr>
            </w:pPr>
            <w:r>
              <w:rPr>
                <w:rFonts w:ascii="Arial" w:cs="Arial" w:eastAsia="Arial" w:hAnsi="Arial"/>
                <w:sz w:val="18"/>
                <w:szCs w:val="18"/>
                <w:color w:val="auto"/>
              </w:rPr>
              <w:t>Marilynn Meek</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Corporate Treasurer &amp; Investor Relations</w:t>
            </w:r>
          </w:p>
        </w:tc>
        <w:tc>
          <w:tcPr>
            <w:tcW w:w="4480" w:type="dxa"/>
            <w:vAlign w:val="bottom"/>
          </w:tcPr>
          <w:p>
            <w:pPr>
              <w:ind w:left="1540"/>
              <w:spacing w:after="0"/>
              <w:rPr>
                <w:sz w:val="20"/>
                <w:szCs w:val="20"/>
                <w:color w:val="auto"/>
              </w:rPr>
            </w:pPr>
            <w:r>
              <w:rPr>
                <w:rFonts w:ascii="Arial" w:cs="Arial" w:eastAsia="Arial" w:hAnsi="Arial"/>
                <w:sz w:val="18"/>
                <w:szCs w:val="18"/>
                <w:color w:val="auto"/>
              </w:rPr>
              <w:t>(General info)</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(423) 434-8398</w:t>
            </w:r>
          </w:p>
        </w:tc>
        <w:tc>
          <w:tcPr>
            <w:tcW w:w="4480" w:type="dxa"/>
            <w:vAlign w:val="bottom"/>
          </w:tcPr>
          <w:p>
            <w:pPr>
              <w:ind w:left="1540"/>
              <w:spacing w:after="0"/>
              <w:rPr>
                <w:sz w:val="20"/>
                <w:szCs w:val="20"/>
                <w:color w:val="auto"/>
              </w:rPr>
            </w:pPr>
            <w:r>
              <w:rPr>
                <w:rFonts w:ascii="Arial" w:cs="Arial" w:eastAsia="Arial" w:hAnsi="Arial"/>
                <w:sz w:val="18"/>
                <w:szCs w:val="18"/>
                <w:color w:val="auto"/>
              </w:rPr>
              <w:t>212-827-3773</w:t>
            </w:r>
          </w:p>
        </w:tc>
        <w:tc>
          <w:tcPr>
            <w:tcW w:w="0" w:type="dxa"/>
            <w:vAlign w:val="bottom"/>
          </w:tcPr>
          <w:p>
            <w:pPr>
              <w:spacing w:after="0"/>
              <w:rPr>
                <w:sz w:val="1"/>
                <w:szCs w:val="1"/>
                <w:color w:val="auto"/>
              </w:rPr>
            </w:pPr>
          </w:p>
        </w:tc>
      </w:tr>
      <w:tr>
        <w:trPr>
          <w:trHeight w:val="431"/>
        </w:trPr>
        <w:tc>
          <w:tcPr>
            <w:tcW w:w="45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November 19, 2015</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RETIREMENT OF BOARD MEMBER</w:t>
      </w:r>
    </w:p>
    <w:p>
      <w:pPr>
        <w:spacing w:after="0" w:line="22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Johnson City, Tenn, November 19, 2015 –</w:t>
      </w:r>
      <w:r>
        <w:rPr>
          <w:rFonts w:ascii="Arial" w:cs="Arial" w:eastAsia="Arial" w:hAnsi="Arial"/>
          <w:sz w:val="18"/>
          <w:szCs w:val="18"/>
          <w:color w:val="auto"/>
        </w:rPr>
        <w:t>NN, Inc., (NASDAQ: NNBR) a diversified industrial company, today announced that Michael E. Werner will</w:t>
      </w:r>
      <w:r>
        <w:rPr>
          <w:rFonts w:ascii="Arial" w:cs="Arial" w:eastAsia="Arial" w:hAnsi="Arial"/>
          <w:sz w:val="18"/>
          <w:szCs w:val="18"/>
          <w:b w:val="1"/>
          <w:bCs w:val="1"/>
          <w:color w:val="auto"/>
        </w:rPr>
        <w:t xml:space="preserve"> </w:t>
      </w:r>
      <w:r>
        <w:rPr>
          <w:rFonts w:ascii="Arial" w:cs="Arial" w:eastAsia="Arial" w:hAnsi="Arial"/>
          <w:sz w:val="18"/>
          <w:szCs w:val="18"/>
          <w:color w:val="auto"/>
        </w:rPr>
        <w:t>retire from the company’s Board of Directors as of the Annual Meeting to be held in May 2016. Mr. Werner, who joined the board in 1995 has served on a variety of committees and currently serves on the Audit and Governance committees.</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Richard Holder, President and CEO commented, “For many years we’ve been privileged to have Mike as an influential director on our board. He has provided valuable insight and contributions as we have transformed our business and I’m extremely grateful for the leadership he has brought to NN over the years. On behalf of the entire Board of Director’s I extend our gratitude and appreciation for his two decades of dedicated and thoughtful service.”</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43 manufacturing plants in North America, Western Europe, Eastern Europe, South America and China.</w:t>
      </w:r>
    </w:p>
    <w:p>
      <w:pPr>
        <w:spacing w:after="0" w:line="177"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w:t>
      </w:r>
    </w:p>
    <w:p>
      <w:pPr>
        <w:sectPr>
          <w:pgSz w:w="11900" w:h="16838" w:orient="portrait"/>
          <w:cols w:equalWidth="0" w:num="1">
            <w:col w:w="11420"/>
          </w:cols>
          <w:pgMar w:left="240" w:top="121" w:right="239" w:bottom="1440" w:gutter="0" w:footer="0" w:header="0"/>
        </w:sectPr>
      </w:pPr>
    </w:p>
    <w:bookmarkStart w:id="22" w:name="page23"/>
    <w:bookmarkEnd w:id="22"/>
    <w:p>
      <w:pPr>
        <w:spacing w:after="0" w:line="238"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420"/>
        <w:spacing w:after="0" w:line="264" w:lineRule="auto"/>
        <w:rPr>
          <w:sz w:val="20"/>
          <w:szCs w:val="20"/>
          <w:color w:val="auto"/>
        </w:rPr>
      </w:pPr>
      <w:r>
        <w:rPr>
          <w:rFonts w:ascii="Arial" w:cs="Arial" w:eastAsia="Arial" w:hAnsi="Arial"/>
          <w:sz w:val="13"/>
          <w:szCs w:val="13"/>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2"/>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3"/>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Roman"/>
      <w:start w:val="2"/>
    </w:lvl>
  </w:abstractNum>
  <w:abstractNum w:abstractNumId="6">
    <w:nsid w:val="25E45D32"/>
    <w:multiLevelType w:val="hybridMultilevel"/>
    <w:lvl w:ilvl="0">
      <w:lvlJc w:val="left"/>
      <w:lvlText w:val="(%1)"/>
      <w:numFmt w:val="lowerLetter"/>
      <w:start w:val="1"/>
    </w:lvl>
    <w:lvl w:ilvl="1">
      <w:lvlJc w:val="left"/>
      <w:lvlText w:val="(%2)"/>
      <w:numFmt w:val="lowerRoman"/>
      <w:start w:val="1"/>
    </w:lvl>
  </w:abstractNum>
  <w:abstractNum w:abstractNumId="7">
    <w:nsid w:val="519B500D"/>
    <w:multiLevelType w:val="hybridMultilevel"/>
    <w:lvl w:ilvl="0">
      <w:lvlJc w:val="left"/>
      <w:lvlText w:val="(%1)"/>
      <w:numFmt w:val="lowerLetter"/>
      <w:start w:val="2"/>
    </w:lvl>
    <w:lvl w:ilvl="1">
      <w:lvlJc w:val="left"/>
      <w:lvlText w:val="(%2)"/>
      <w:numFmt w:val="lowerRoman"/>
      <w:start w:val="1"/>
    </w:lvl>
  </w:abstractNum>
  <w:abstractNum w:abstractNumId="8">
    <w:nsid w:val="431BD7B7"/>
    <w:multiLevelType w:val="hybridMultilevel"/>
    <w:lvl w:ilvl="0">
      <w:lvlJc w:val="left"/>
      <w:lvlText w:val="%1"/>
      <w:numFmt w:val="lowerLetter"/>
      <w:start w:val="1"/>
    </w:lvl>
    <w:lvl w:ilvl="1">
      <w:lvlJc w:val="left"/>
      <w:lvlText w:val="(%2)"/>
      <w:numFmt w:val="lowerLetter"/>
      <w:start w:val="22"/>
    </w:lvl>
  </w:abstractNum>
  <w:abstractNum w:abstractNumId="9">
    <w:nsid w:val="3F2DBA31"/>
    <w:multiLevelType w:val="hybridMultilevel"/>
    <w:lvl w:ilvl="0">
      <w:lvlJc w:val="left"/>
      <w:lvlText w:val="(%1)"/>
      <w:numFmt w:val="lowerLetter"/>
      <w:start w:val="5"/>
    </w:lvl>
    <w:lvl w:ilvl="1">
      <w:lvlJc w:val="left"/>
      <w:lvlText w:val="%2"/>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2">
    <w:nsid w:val="62BBD95A"/>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13">
    <w:nsid w:val="436C6125"/>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14">
    <w:nsid w:val="628C895D"/>
    <w:multiLevelType w:val="hybridMultilevel"/>
    <w:lvl w:ilvl="0">
      <w:lvlJc w:val="left"/>
      <w:lvlText w:val="%1"/>
      <w:numFmt w:val="lowerLetter"/>
      <w:start w:val="1"/>
    </w:lvl>
    <w:lvl w:ilvl="1">
      <w:lvlJc w:val="left"/>
      <w:lvlText w:val="(%2)"/>
      <w:numFmt w:val="lowerRoman"/>
      <w:start w:val="3"/>
    </w:lvl>
  </w:abstractNum>
  <w:abstractNum w:abstractNumId="15">
    <w:nsid w:val="333AB105"/>
    <w:multiLevelType w:val="hybridMultilevel"/>
    <w:lvl w:ilvl="0">
      <w:lvlJc w:val="left"/>
      <w:lvlText w:val="(%1)"/>
      <w:numFmt w:val="lowerLetter"/>
      <w:start w:val="4"/>
    </w:lvl>
    <w:lvl w:ilvl="1">
      <w:lvlJc w:val="left"/>
      <w:lvlText w:val="%2"/>
      <w:numFmt w:val="lowerRoman"/>
      <w:start w:val="1"/>
    </w:lvl>
  </w:abstractNum>
  <w:abstractNum w:abstractNumId="16">
    <w:nsid w:val="721DA317"/>
    <w:multiLevelType w:val="hybridMultilevel"/>
    <w:lvl w:ilvl="0">
      <w:lvlJc w:val="left"/>
      <w:lvlText w:val="(%1)"/>
      <w:numFmt w:val="lowerLetter"/>
      <w:start w:val="7"/>
    </w:lvl>
  </w:abstractNum>
  <w:abstractNum w:abstractNumId="17">
    <w:nsid w:val="2443A858"/>
    <w:multiLevelType w:val="hybridMultilevel"/>
    <w:lvl w:ilvl="0">
      <w:lvlJc w:val="left"/>
      <w:lvlText w:val="(%1)"/>
      <w:numFmt w:val="lowerLetter"/>
      <w:start w:val="1"/>
    </w:lvl>
    <w:lvl w:ilvl="1">
      <w:lvlJc w:val="left"/>
      <w:lvlText w:val="(%2)"/>
      <w:numFmt w:val="lowerLetter"/>
      <w:start w:val="9"/>
    </w:lvl>
  </w:abstractNum>
  <w:abstractNum w:abstractNumId="18">
    <w:nsid w:val="2D1D5AE9"/>
    <w:multiLevelType w:val="hybridMultilevel"/>
    <w:lvl w:ilvl="0">
      <w:lvlJc w:val="left"/>
      <w:lvlText w:val="%1"/>
      <w:numFmt w:val="lowerLetter"/>
      <w:start w:val="1"/>
    </w:lvl>
    <w:lvl w:ilvl="1">
      <w:lvlJc w:val="left"/>
      <w:lvlText w:val="(%2)"/>
      <w:numFmt w:val="lowerRoman"/>
      <w:start w:val="2"/>
    </w:lvl>
  </w:abstractNum>
  <w:abstractNum w:abstractNumId="19">
    <w:nsid w:val="6763845E"/>
    <w:multiLevelType w:val="hybridMultilevel"/>
    <w:lvl w:ilvl="0">
      <w:lvlJc w:val="left"/>
      <w:lvlText w:val="(%1)"/>
      <w:numFmt w:val="lowerLetter"/>
      <w:start w:val="4"/>
    </w:lvl>
    <w:lvl w:ilvl="1">
      <w:lvlJc w:val="left"/>
      <w:lvlText w:val="%2"/>
      <w:numFmt w:val="lowerRoman"/>
      <w:start w:val="1"/>
    </w:lvl>
  </w:abstractNum>
  <w:abstractNum w:abstractNumId="20">
    <w:nsid w:val="75A2A8D4"/>
    <w:multiLevelType w:val="hybridMultilevel"/>
    <w:lvl w:ilvl="0">
      <w:lvlJc w:val="left"/>
      <w:lvlText w:val="(%1)"/>
      <w:numFmt w:val="lowerLetter"/>
      <w:start w:val="5"/>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lowerLetter"/>
      <w:start w:val="4"/>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lowerLetter"/>
      <w:start w:val="2"/>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2019-12-06T10:33:33Z</dcterms:created>
  <dcterms:modified xsi:type="dcterms:W3CDTF">2019-12-06T10:33:33Z</dcterms:modified>
</cp:coreProperties>
</file>