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74295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November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107315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167005</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52070</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p>
      <w:pPr>
        <w:spacing w:after="0" w:line="217"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140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134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000-23486</w:t>
      </w:r>
    </w:p>
    <w:p>
      <w:pPr>
        <w:spacing w:after="0" w:line="36" w:lineRule="exact"/>
        <w:rPr>
          <w:sz w:val="24"/>
          <w:szCs w:val="24"/>
          <w:color w:val="auto"/>
        </w:rPr>
      </w:pPr>
    </w:p>
    <w:p>
      <w:pPr>
        <w:jc w:val="center"/>
        <w:ind w:right="920"/>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62-1096725</w:t>
      </w:r>
    </w:p>
    <w:p>
      <w:pPr>
        <w:spacing w:after="0" w:line="28" w:lineRule="exact"/>
        <w:rPr>
          <w:sz w:val="24"/>
          <w:szCs w:val="24"/>
          <w:color w:val="auto"/>
        </w:rPr>
      </w:pPr>
    </w:p>
    <w:p>
      <w:pPr>
        <w:jc w:val="center"/>
        <w:ind w:right="1600"/>
        <w:spacing w:after="0"/>
        <w:rPr>
          <w:sz w:val="20"/>
          <w:szCs w:val="20"/>
          <w:color w:val="auto"/>
        </w:rPr>
      </w:pPr>
      <w:r>
        <w:rPr>
          <w:rFonts w:ascii="Arial" w:cs="Arial" w:eastAsia="Arial" w:hAnsi="Arial"/>
          <w:sz w:val="16"/>
          <w:szCs w:val="16"/>
          <w:i w:val="1"/>
          <w:iCs w:val="1"/>
          <w:color w:val="auto"/>
        </w:rPr>
        <w:t>(I.R.S. Employer</w:t>
      </w:r>
    </w:p>
    <w:p>
      <w:pPr>
        <w:jc w:val="center"/>
        <w:ind w:right="1600"/>
        <w:spacing w:after="0"/>
        <w:rPr>
          <w:sz w:val="20"/>
          <w:szCs w:val="20"/>
          <w:color w:val="auto"/>
        </w:rPr>
      </w:pPr>
      <w:r>
        <w:rPr>
          <w:rFonts w:ascii="Arial" w:cs="Arial" w:eastAsia="Arial" w:hAnsi="Arial"/>
          <w:sz w:val="15"/>
          <w:szCs w:val="15"/>
          <w:i w:val="1"/>
          <w:iCs w:val="1"/>
          <w:color w:val="auto"/>
        </w:rPr>
        <w:t>Identification Number)</w:t>
      </w:r>
    </w:p>
    <w:p>
      <w:pPr>
        <w:spacing w:after="0" w:line="200" w:lineRule="exact"/>
        <w:rPr>
          <w:sz w:val="24"/>
          <w:szCs w:val="24"/>
          <w:color w:val="auto"/>
        </w:rPr>
      </w:pPr>
    </w:p>
    <w:p>
      <w:pPr>
        <w:sectPr>
          <w:pgSz w:w="11900" w:h="16838" w:orient="portrait"/>
          <w:cols w:equalWidth="0" w:num="3">
            <w:col w:w="4020" w:space="720"/>
            <w:col w:w="2700" w:space="720"/>
            <w:col w:w="3080"/>
          </w:cols>
          <w:pgMar w:left="320" w:top="1295" w:right="339" w:bottom="1440" w:gutter="0" w:footer="0" w:header="0"/>
          <w:type w:val="continuous"/>
        </w:sectPr>
      </w:pPr>
    </w:p>
    <w:p>
      <w:pPr>
        <w:spacing w:after="0" w:line="231" w:lineRule="exact"/>
        <w:rPr>
          <w:sz w:val="24"/>
          <w:szCs w:val="24"/>
          <w:color w:val="auto"/>
        </w:rPr>
      </w:pPr>
    </w:p>
    <w:p>
      <w:pPr>
        <w:jc w:val="center"/>
        <w:ind w:left="440"/>
        <w:spacing w:after="0"/>
        <w:rPr>
          <w:sz w:val="20"/>
          <w:szCs w:val="20"/>
          <w:color w:val="auto"/>
        </w:rPr>
      </w:pPr>
      <w:r>
        <w:rPr>
          <w:rFonts w:ascii="Arial" w:cs="Arial" w:eastAsia="Arial" w:hAnsi="Arial"/>
          <w:sz w:val="14"/>
          <w:szCs w:val="14"/>
          <w:b w:val="1"/>
          <w:bCs w:val="1"/>
          <w:color w:val="auto"/>
        </w:rPr>
        <w:t>6210 Ardrey Kell Road, Suite 600</w:t>
      </w:r>
    </w:p>
    <w:p>
      <w:pPr>
        <w:spacing w:after="0" w:line="109" w:lineRule="exact"/>
        <w:rPr>
          <w:sz w:val="24"/>
          <w:szCs w:val="24"/>
          <w:color w:val="auto"/>
        </w:rPr>
      </w:pPr>
    </w:p>
    <w:p>
      <w:pPr>
        <w:jc w:val="center"/>
        <w:ind w:left="44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1" w:lineRule="exact"/>
        <w:rPr>
          <w:sz w:val="24"/>
          <w:szCs w:val="24"/>
          <w:color w:val="auto"/>
        </w:rPr>
      </w:pPr>
    </w:p>
    <w:p>
      <w:pPr>
        <w:jc w:val="center"/>
        <w:ind w:right="2780"/>
        <w:spacing w:after="0"/>
        <w:rPr>
          <w:sz w:val="20"/>
          <w:szCs w:val="20"/>
          <w:color w:val="auto"/>
        </w:rPr>
      </w:pPr>
      <w:r>
        <w:rPr>
          <w:rFonts w:ascii="Arial" w:cs="Arial" w:eastAsia="Arial" w:hAnsi="Arial"/>
          <w:sz w:val="15"/>
          <w:szCs w:val="15"/>
          <w:b w:val="1"/>
          <w:bCs w:val="1"/>
          <w:color w:val="auto"/>
        </w:rPr>
        <w:t>28277</w:t>
      </w:r>
    </w:p>
    <w:p>
      <w:pPr>
        <w:spacing w:after="0" w:line="101" w:lineRule="exact"/>
        <w:rPr>
          <w:sz w:val="24"/>
          <w:szCs w:val="24"/>
          <w:color w:val="auto"/>
        </w:rPr>
      </w:pPr>
    </w:p>
    <w:p>
      <w:pPr>
        <w:sectPr>
          <w:pgSz w:w="11900" w:h="16838" w:orient="portrait"/>
          <w:cols w:equalWidth="0" w:num="2">
            <w:col w:w="7320" w:space="720"/>
            <w:col w:w="3200"/>
          </w:cols>
          <w:pgMar w:left="320" w:top="1295" w:right="339" w:bottom="1440" w:gutter="0" w:footer="0" w:header="0"/>
          <w:type w:val="continuous"/>
        </w:sectPr>
      </w:pPr>
    </w:p>
    <w:p>
      <w:pPr>
        <w:jc w:val="center"/>
        <w:ind w:left="60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4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ectPr>
          <w:pgSz w:w="11900" w:h="16838" w:orient="portrait"/>
          <w:cols w:equalWidth="0" w:num="2">
            <w:col w:w="7180" w:space="720"/>
            <w:col w:w="3340"/>
          </w:cols>
          <w:pgMar w:left="320" w:top="1295" w:right="339" w:bottom="1440" w:gutter="0" w:footer="0" w:header="0"/>
          <w:type w:val="continuous"/>
        </w:sect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(980) 264-4300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4"/>
          <w:szCs w:val="14"/>
          <w:i w:val="1"/>
          <w:iCs w:val="1"/>
          <w:color w:val="auto"/>
        </w:rPr>
        <w:t>(Registrant’s telephone number, including area code)</w:t>
      </w:r>
    </w:p>
    <w:p>
      <w:pPr>
        <w:sectPr>
          <w:pgSz w:w="11900" w:h="16838" w:orient="portrait"/>
          <w:cols w:equalWidth="0" w:num="1">
            <w:col w:w="11240"/>
          </w:cols>
          <w:pgMar w:left="320" w:top="1295" w:right="339" w:bottom="1440" w:gutter="0" w:footer="0" w:header="0"/>
          <w:type w:val="continuous"/>
        </w:sectPr>
      </w:pP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32385</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86"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95" w:right="339" w:bottom="1440" w:gutter="0" w:footer="0" w:header="0"/>
          <w:type w:val="continuous"/>
        </w:sectPr>
      </w:pPr>
    </w:p>
    <w:p>
      <w:pPr>
        <w:spacing w:after="0" w:line="32" w:lineRule="exact"/>
        <w:rPr>
          <w:sz w:val="24"/>
          <w:szCs w:val="24"/>
          <w:color w:val="auto"/>
        </w:rPr>
      </w:pPr>
    </w:p>
    <w:p>
      <w:pPr>
        <w:ind w:left="164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47" w:lineRule="exact"/>
        <w:rPr>
          <w:sz w:val="24"/>
          <w:szCs w:val="24"/>
          <w:color w:val="auto"/>
        </w:rPr>
      </w:pPr>
    </w:p>
    <w:p>
      <w:pPr>
        <w:sectPr>
          <w:pgSz w:w="11900" w:h="16838" w:orient="portrait"/>
          <w:cols w:equalWidth="0" w:num="3">
            <w:col w:w="4440" w:space="720"/>
            <w:col w:w="1940" w:space="720"/>
            <w:col w:w="3420"/>
          </w:cols>
          <w:pgMar w:left="320" w:top="1295" w:right="339" w:bottom="1440" w:gutter="0" w:footer="0" w:header="0"/>
          <w:type w:val="continuous"/>
        </w:sectPr>
      </w:pPr>
    </w:p>
    <w:p>
      <w:pPr>
        <w:ind w:left="860"/>
        <w:spacing w:after="0"/>
        <w:rPr>
          <w:sz w:val="20"/>
          <w:szCs w:val="20"/>
          <w:color w:val="auto"/>
        </w:rPr>
      </w:pPr>
      <w:r>
        <w:rPr>
          <w:rFonts w:ascii="Arial" w:cs="Arial" w:eastAsia="Arial" w:hAnsi="Arial"/>
          <w:sz w:val="13"/>
          <w:szCs w:val="13"/>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42" w:lineRule="exact"/>
        <w:rPr>
          <w:sz w:val="24"/>
          <w:szCs w:val="24"/>
          <w:color w:val="auto"/>
        </w:rPr>
      </w:pPr>
    </w:p>
    <w:p>
      <w:pPr>
        <w:sectPr>
          <w:pgSz w:w="11900" w:h="16838" w:orient="portrait"/>
          <w:cols w:equalWidth="0" w:num="3">
            <w:col w:w="4680" w:space="720"/>
            <w:col w:w="2000" w:space="720"/>
            <w:col w:w="3120"/>
          </w:cols>
          <w:pgMar w:left="320" w:top="1295" w:right="339" w:bottom="1440" w:gutter="0" w:footer="0" w:header="0"/>
          <w:type w:val="continuous"/>
        </w:sect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type w:val="continuous"/>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On November 4, 2021, NN, Inc. (the “Company”) issued a press release announcing the Company’s financial results for the quarter ended September 30, 2021. The full text of the press release is furnished as Exhibit 99.1 and is incorporated herein by reference.</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5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08" w:lineRule="exact"/>
        <w:rPr>
          <w:sz w:val="20"/>
          <w:szCs w:val="20"/>
          <w:color w:val="auto"/>
        </w:rPr>
      </w:pPr>
    </w:p>
    <w:p>
      <w:pPr>
        <w:ind w:left="440" w:hanging="387"/>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Exhibit</w:t>
      </w:r>
    </w:p>
    <w:p>
      <w:pPr>
        <w:ind w:left="240"/>
        <w:spacing w:after="0"/>
        <w:tabs>
          <w:tab w:leader="none" w:pos="82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p>
    <w:p>
      <w:pPr>
        <w:ind w:left="20"/>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issued by NN, Inc., dated November 4, 2021</w:t>
        </w:r>
      </w:hyperlink>
    </w:p>
    <w:p>
      <w:pPr>
        <w:spacing w:after="0" w:line="23"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97" w:lineRule="exact"/>
        <w:rPr>
          <w:sz w:val="20"/>
          <w:szCs w:val="20"/>
          <w:color w:val="auto"/>
        </w:rPr>
      </w:pPr>
    </w:p>
    <w:tbl>
      <w:tblPr>
        <w:tblLayout w:type="fixed"/>
        <w:tblInd w:w="546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4360" w:type="dxa"/>
            <w:vAlign w:val="bottom"/>
          </w:tcPr>
          <w:p>
            <w:pPr>
              <w:spacing w:after="0"/>
              <w:rPr>
                <w:sz w:val="20"/>
                <w:szCs w:val="20"/>
                <w:color w:val="auto"/>
              </w:rPr>
            </w:pPr>
          </w:p>
        </w:tc>
      </w:tr>
      <w:tr>
        <w:trPr>
          <w:trHeight w:val="499"/>
        </w:trPr>
        <w:tc>
          <w:tcPr>
            <w:tcW w:w="142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bl>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685800</wp:posOffset>
            </wp:positionV>
            <wp:extent cx="1285875" cy="1259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5875" cy="125984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1003300</wp:posOffset>
            </wp:positionV>
            <wp:extent cx="192849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84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NN, INC. REPORTS FINANCIAL RESULTS FOR THIRD QUARTER 2021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Third quarter net sales increased 3.1% over prior year, financial results impacted by ongoing supply chain challenges</w:t>
      </w:r>
    </w:p>
    <w:p>
      <w:pPr>
        <w:spacing w:after="0" w:line="200" w:lineRule="exact"/>
        <w:rPr>
          <w:sz w:val="20"/>
          <w:szCs w:val="20"/>
          <w:color w:val="auto"/>
        </w:rPr>
      </w:pPr>
    </w:p>
    <w:p>
      <w:pPr>
        <w:spacing w:after="0" w:line="214" w:lineRule="exact"/>
        <w:rPr>
          <w:sz w:val="20"/>
          <w:szCs w:val="20"/>
          <w:color w:val="auto"/>
        </w:rPr>
      </w:pPr>
    </w:p>
    <w:p>
      <w:pPr>
        <w:ind w:right="600"/>
        <w:spacing w:after="0" w:line="286" w:lineRule="auto"/>
        <w:rPr>
          <w:sz w:val="20"/>
          <w:szCs w:val="20"/>
          <w:color w:val="auto"/>
        </w:rPr>
      </w:pPr>
      <w:r>
        <w:rPr>
          <w:rFonts w:ascii="Arial" w:cs="Arial" w:eastAsia="Arial" w:hAnsi="Arial"/>
          <w:sz w:val="20"/>
          <w:szCs w:val="20"/>
          <w:b w:val="1"/>
          <w:bCs w:val="1"/>
          <w:color w:val="auto"/>
        </w:rPr>
        <w:t xml:space="preserve">CHARLOTTE, N.C., November 4, 2021 </w:t>
      </w:r>
      <w:r>
        <w:rPr>
          <w:rFonts w:ascii="Arial" w:cs="Arial" w:eastAsia="Arial" w:hAnsi="Arial"/>
          <w:sz w:val="20"/>
          <w:szCs w:val="20"/>
          <w:color w:val="auto"/>
        </w:rPr>
        <w:t>– NN, Inc. (NASDAQ: NNBR), a diversified industrial company, today reported its</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results for the third quarter ended September 30, 2021.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GAAP Results</w:t>
      </w:r>
    </w:p>
    <w:p>
      <w:pPr>
        <w:spacing w:after="0" w:line="78" w:lineRule="exact"/>
        <w:rPr>
          <w:sz w:val="20"/>
          <w:szCs w:val="20"/>
          <w:color w:val="auto"/>
        </w:rPr>
      </w:pPr>
    </w:p>
    <w:p>
      <w:pPr>
        <w:ind w:right="140"/>
        <w:spacing w:after="0" w:line="230" w:lineRule="auto"/>
        <w:rPr>
          <w:sz w:val="20"/>
          <w:szCs w:val="20"/>
          <w:color w:val="auto"/>
        </w:rPr>
      </w:pPr>
      <w:r>
        <w:rPr>
          <w:rFonts w:ascii="Arial" w:cs="Arial" w:eastAsia="Arial" w:hAnsi="Arial"/>
          <w:sz w:val="20"/>
          <w:szCs w:val="20"/>
          <w:color w:val="auto"/>
        </w:rPr>
        <w:t>Net sales for the third quarter of 2021 increased $3.5 million, or 3.1%, to $117.2 million compared to $113.8 million for the third quarter of 2020. The increase in sales from prior year is attributable to continued recovery from the COVID-19 pandemic in Power Solutions, which was partially offset by the semiconductor chip shortage impact on Mobile Solutions sales. Third quarter Power Solutions sales increased 12.1% and Mobile Solutions sales decreased 2.5% compared to the prior year.</w:t>
      </w:r>
    </w:p>
    <w:p>
      <w:pPr>
        <w:spacing w:after="0" w:line="239"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Loss from operations for the third quarter of 2021 was $4.6 million compared to loss from operations of $1.5 million for the same period in 2020. The increase in loss from operations was primarily driven by the reinstatement of certain costs that had been temporarily suspended in the prior year, material and labor inflation, and operational inefficiencies driven by variability of customer production schedules and supply chain issues.</w:t>
      </w:r>
    </w:p>
    <w:p>
      <w:pPr>
        <w:spacing w:after="0" w:line="234" w:lineRule="exact"/>
        <w:rPr>
          <w:sz w:val="20"/>
          <w:szCs w:val="20"/>
          <w:color w:val="auto"/>
        </w:rPr>
      </w:pPr>
    </w:p>
    <w:p>
      <w:pPr>
        <w:ind w:right="460"/>
        <w:spacing w:after="0" w:line="257" w:lineRule="auto"/>
        <w:rPr>
          <w:sz w:val="20"/>
          <w:szCs w:val="20"/>
          <w:color w:val="auto"/>
        </w:rPr>
      </w:pPr>
      <w:r>
        <w:rPr>
          <w:rFonts w:ascii="Arial" w:cs="Arial" w:eastAsia="Arial" w:hAnsi="Arial"/>
          <w:sz w:val="20"/>
          <w:szCs w:val="20"/>
          <w:color w:val="auto"/>
        </w:rPr>
        <w:t>Loss from operations for third quarter 2021 in the Mobile Solutions segment was $0.3 million compared to income from operations of $5.0 million for the same period in 2020. Income from operations for third quarter 2021 in the Power Solutions segment was $1.3 million compared to income from operations of $1.1 million for the same period in 2020.</w:t>
      </w:r>
    </w:p>
    <w:p>
      <w:pPr>
        <w:spacing w:after="0" w:line="166"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Net loss for the third quarter of 2021 was $3.4 million compared to net income of $22.0 million for the same period in 2020. The reduction in net income for the third quarter of 2021 was driven by the income of discontinued operations of the former Life Sciences business in 2020 as well as the reinstatement of certain costs that were temporarily suspended in the prior year due to the COVID-19 pandemic and increased income tax expense. The decrease in net income was partially offset by a favorable revaluation of warrants and reductions in interest expense resulting from termination of the interest rate swap in place in the prior year.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b w:val="1"/>
          <w:bCs w:val="1"/>
          <w:color w:val="auto"/>
        </w:rPr>
        <w:t>Adjusted Results</w:t>
      </w:r>
    </w:p>
    <w:p>
      <w:pPr>
        <w:spacing w:after="0" w:line="91"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Adjusted loss from operations for the third quarter of 2021 was $0.2 million compared to an adjusted income from operations of $4.9 million for the same period in 2020. Adjusted EBITDA for the third quarter of 2021 was $9.7 million, or 8.3% of sales, versus $14.7 million, or 12.9% of sales, for the same period in 2020. Adjusted net income for the third quarter of 2021 was $0.5 million, or $0.01 per diluted share, compared to adjusted net income of $2.9 million, or $0.07 per diluted share, for the same period in 2020. Free cash flow for the third quarter of 2021 was a use of cash of $3.7 million compared to use of cash of $1.4 million for the same period in 2020.</w:t>
      </w:r>
    </w:p>
    <w:p>
      <w:pPr>
        <w:spacing w:after="0" w:line="154"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Warren Veltman, President and Chief Executive Officer, said, "During the quarter we saw strong growth in Power Solutions, particularly in commercial and residential electrical end product which grew 25% year over year. This strong growth was partially offset by the ongoing semiconductor chip shortage affecting customers in our Mobile Solutions business. In addition, broader supply chain constraints and material and other inflationary cost pressures have affected margins across our business segments. We have implemented, or are negotiating, price adjustments to recover these cost increases, and we believe that these increases coupled with expected operational improvements will enable us to achieve normalized margins as our operating environment stabilizes.”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Mobile Solutions</w:t>
      </w:r>
    </w:p>
    <w:p>
      <w:pPr>
        <w:spacing w:after="0" w:line="91"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Net sales for the third quarter of 2021 were $68.6 million compared to $70.4 million in the third quarter of 2020, a decrease of 2.5% or $1.8 million. The decrease in sales was driven by the ongoing impact of the semiconductor shortage’s affecting the automotive industry, resulting in production shutdowns at a number of our customers’ facilities during the quarter. Adjusted income from operations for the third quarter of 2021 was $1.0 million compared to $6.3 million of adjusted operating income in the third quarter of 2020. Adjusted operating income decreased as a result of lower sales volume, the reintroduction of costs that were suspended in the prior year due to the COVID-19 pandemic, including certain benefits and overtime pay, as well as an increase in input costs during the third quarter of 2021.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 Solutions</w:t>
      </w:r>
    </w:p>
    <w:p>
      <w:pPr>
        <w:spacing w:after="0" w:line="91"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Net sales for the third quarter of 2021 were $48.7 million compared to $43.4 million in the third quarter of 2020, an increase of 12.1% or $5.3 million. The increase in sales was primarily driven by stronger demand within the end markets which were adversely impacted by the COVID-19 pandemic in the prior year. Adjusted income from operations for the third quarter was $4.0 million compared to $5.4 million in the third quarter of 2020. The decrease in adjusted operating income was primarily due to higher sales volumes that were offset by an increase in input costs and the reintroduction of expenses and benefits that were temporarily suspended in the prior year due to the COVID-19 pandemic.</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9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will discuss its results during its quarterly investor conference call on November 5, 2021, at 9:00 a.m. ET. The call and</w:t>
      </w:r>
    </w:p>
    <w:p>
      <w:pPr>
        <w:spacing w:after="0" w:line="13" w:lineRule="exact"/>
        <w:rPr>
          <w:rFonts w:ascii="Arial" w:cs="Arial" w:eastAsia="Arial" w:hAnsi="Arial"/>
          <w:sz w:val="20"/>
          <w:szCs w:val="20"/>
          <w:color w:val="auto"/>
        </w:rPr>
      </w:pPr>
    </w:p>
    <w:p>
      <w:pPr>
        <w:ind w:right="260"/>
        <w:spacing w:after="0" w:line="257" w:lineRule="auto"/>
        <w:rPr>
          <w:rFonts w:ascii="Arial" w:cs="Arial" w:eastAsia="Arial" w:hAnsi="Arial"/>
          <w:sz w:val="20"/>
          <w:szCs w:val="20"/>
          <w:color w:val="auto"/>
        </w:rPr>
      </w:pPr>
      <w:r>
        <w:rPr>
          <w:rFonts w:ascii="Arial" w:cs="Arial" w:eastAsia="Arial" w:hAnsi="Arial"/>
          <w:sz w:val="20"/>
          <w:szCs w:val="20"/>
          <w:color w:val="auto"/>
        </w:rPr>
        <w:t>supplemental presentation may be accessed via NN's website, www.nninc.com. The conference call can also be accessed by dialing 1-877-317-6789 or 1-412-317-6789, Conference ID: 10155662. For those who are unavailable to listen to the live broadcast, a replay will be available shortly after the call until November 5, 2022.</w:t>
      </w:r>
    </w:p>
    <w:p>
      <w:pPr>
        <w:spacing w:after="0" w:line="166" w:lineRule="exact"/>
        <w:rPr>
          <w:sz w:val="20"/>
          <w:szCs w:val="20"/>
          <w:color w:val="auto"/>
        </w:rPr>
      </w:pPr>
    </w:p>
    <w:p>
      <w:pPr>
        <w:ind w:right="120" w:firstLine="8"/>
        <w:spacing w:after="0" w:line="255" w:lineRule="auto"/>
        <w:tabs>
          <w:tab w:leader="none" w:pos="341" w:val="left"/>
        </w:tabs>
        <w:numPr>
          <w:ilvl w:val="0"/>
          <w:numId w:val="4"/>
        </w:numPr>
        <w:rPr>
          <w:rFonts w:ascii="Arial" w:cs="Arial" w:eastAsia="Arial" w:hAnsi="Arial"/>
          <w:sz w:val="20"/>
          <w:szCs w:val="20"/>
          <w:color w:val="auto"/>
        </w:rPr>
      </w:pPr>
      <w:r>
        <w:rPr>
          <w:rFonts w:ascii="Arial" w:cs="Arial" w:eastAsia="Arial" w:hAnsi="Arial"/>
          <w:sz w:val="20"/>
          <w:szCs w:val="20"/>
          <w:color w:val="auto"/>
        </w:rPr>
        <w:t>discloses in this press release the non-GAAP financial measures of adjusted income (loss) from operations, adjusted EBITDA, adjusted net income (loss), adjusted net income (loss) per diluted share, and free cash flow. Each of these non-GAAP financial measures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pacing w:after="0" w:line="169"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The financial tables found later in this press release include a reconciliation of adjusted income (loss) from operations, adjusted operating margin, adjusted EBITDA, adjusted EBITDA margin, adjusted net income (loss), adjusted net income (loss) per diluted share, and free cash flow to the U.S. GAAP financial measures of income (loss) from operations, net income (loss), net income (loss) per diluted share, and cash provided (used) by operating activities.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NN, Inc.</w:t>
      </w:r>
    </w:p>
    <w:p>
      <w:pPr>
        <w:sectPr>
          <w:pgSz w:w="11900" w:h="16838" w:orient="portrait"/>
          <w:cols w:equalWidth="0" w:num="1">
            <w:col w:w="11240"/>
          </w:cols>
          <w:pgMar w:left="320" w:top="1394" w:right="339" w:bottom="1440" w:gutter="0" w:footer="0" w:header="0"/>
        </w:sectPr>
      </w:pPr>
    </w:p>
    <w:p>
      <w:pPr>
        <w:spacing w:after="0" w:line="307"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94" w:right="339" w:bottom="1440" w:gutter="0" w:footer="0" w:header="0"/>
          <w:type w:val="continuous"/>
        </w:sectPr>
      </w:pPr>
    </w:p>
    <w:bookmarkStart w:id="5" w:name="page6"/>
    <w:bookmarkEnd w:id="5"/>
    <w:p>
      <w:pPr>
        <w:ind w:right="280"/>
        <w:spacing w:after="0" w:line="277" w:lineRule="auto"/>
        <w:rPr>
          <w:sz w:val="20"/>
          <w:szCs w:val="20"/>
          <w:color w:val="auto"/>
        </w:rPr>
      </w:pPr>
      <w:r>
        <w:rPr>
          <w:rFonts w:ascii="Arial" w:cs="Arial" w:eastAsia="Arial" w:hAnsi="Arial"/>
          <w:sz w:val="19"/>
          <w:szCs w:val="19"/>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31 facilities in North America, Europe, South America, and China.</w:t>
      </w:r>
    </w:p>
    <w:p>
      <w:pPr>
        <w:spacing w:after="0" w:line="12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66"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2020, and, when filed, the Company’s Quarterly Report on Form 10-Q for the three months ended September 30, 2021. Except as required by law, we undertake no obligation to update or revise any forward-looking statements we make in our press releases, whether as a result of new information, future events or otherwise.</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Jeff Tryka, CFA</w:t>
      </w:r>
    </w:p>
    <w:p>
      <w:pPr>
        <w:spacing w:after="0"/>
        <w:rPr>
          <w:sz w:val="20"/>
          <w:szCs w:val="20"/>
          <w:color w:val="auto"/>
        </w:rPr>
      </w:pPr>
      <w:r>
        <w:rPr>
          <w:rFonts w:ascii="Arial" w:cs="Arial" w:eastAsia="Arial" w:hAnsi="Arial"/>
          <w:sz w:val="20"/>
          <w:szCs w:val="20"/>
          <w:color w:val="auto"/>
        </w:rPr>
        <w:t>Investor Relations Contact</w:t>
      </w:r>
    </w:p>
    <w:p>
      <w:pPr>
        <w:spacing w:after="0"/>
        <w:rPr>
          <w:sz w:val="20"/>
          <w:szCs w:val="20"/>
          <w:color w:val="auto"/>
        </w:rPr>
      </w:pPr>
      <w:r>
        <w:rPr>
          <w:rFonts w:ascii="Arial" w:cs="Arial" w:eastAsia="Arial" w:hAnsi="Arial"/>
          <w:sz w:val="20"/>
          <w:szCs w:val="20"/>
          <w:color w:val="auto"/>
        </w:rPr>
        <w:t>jtryka@lambert.com</w:t>
      </w:r>
    </w:p>
    <w:p>
      <w:pPr>
        <w:spacing w:after="0"/>
        <w:rPr>
          <w:sz w:val="20"/>
          <w:szCs w:val="20"/>
          <w:color w:val="auto"/>
        </w:rPr>
      </w:pPr>
      <w:r>
        <w:rPr>
          <w:rFonts w:ascii="Arial" w:cs="Arial" w:eastAsia="Arial" w:hAnsi="Arial"/>
          <w:sz w:val="20"/>
          <w:szCs w:val="20"/>
          <w:color w:val="auto"/>
        </w:rPr>
        <w:t>(616) 258-5766</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Financial Tables Follow</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2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BFE4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BFE4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BFE4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9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117,244</w:t>
            </w:r>
          </w:p>
        </w:tc>
        <w:tc>
          <w:tcPr>
            <w:tcW w:w="120" w:type="dxa"/>
            <w:vAlign w:val="bottom"/>
            <w:shd w:val="clear" w:color="auto" w:fill="BFE4FF"/>
          </w:tcPr>
          <w:p>
            <w:pPr>
              <w:spacing w:after="0"/>
              <w:rPr>
                <w:sz w:val="18"/>
                <w:szCs w:val="18"/>
                <w:color w:val="auto"/>
              </w:rPr>
            </w:pPr>
          </w:p>
        </w:tc>
        <w:tc>
          <w:tcPr>
            <w:tcW w:w="420" w:type="dxa"/>
            <w:vAlign w:val="bottom"/>
            <w:shd w:val="clear" w:color="auto" w:fill="BFE4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113,761</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367,205</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308,506</w:t>
            </w:r>
          </w:p>
        </w:tc>
        <w:tc>
          <w:tcPr>
            <w:tcW w:w="0" w:type="dxa"/>
            <w:vAlign w:val="bottom"/>
          </w:tcPr>
          <w:p>
            <w:pPr>
              <w:spacing w:after="0"/>
              <w:rPr>
                <w:sz w:val="1"/>
                <w:szCs w:val="1"/>
                <w:color w:val="auto"/>
              </w:rPr>
            </w:pPr>
          </w:p>
        </w:tc>
      </w:tr>
      <w:tr>
        <w:trPr>
          <w:trHeight w:val="213"/>
        </w:trPr>
        <w:tc>
          <w:tcPr>
            <w:tcW w:w="5920" w:type="dxa"/>
            <w:vAlign w:val="bottom"/>
          </w:tcPr>
          <w:p>
            <w:pPr>
              <w:ind w:left="240"/>
              <w:spacing w:after="0"/>
              <w:rPr>
                <w:sz w:val="20"/>
                <w:szCs w:val="20"/>
                <w:color w:val="auto"/>
              </w:rPr>
            </w:pPr>
            <w:r>
              <w:rPr>
                <w:rFonts w:ascii="Arial" w:cs="Arial" w:eastAsia="Arial" w:hAnsi="Arial"/>
                <w:sz w:val="16"/>
                <w:szCs w:val="16"/>
                <w:color w:val="auto"/>
                <w:w w:val="97"/>
              </w:rPr>
              <w:t>Cost of sales (exclusive of depreciation and amortization shown separately below)</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98,642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90,076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298,127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249,612</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12,181</w:t>
            </w:r>
          </w:p>
        </w:tc>
        <w:tc>
          <w:tcPr>
            <w:tcW w:w="12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13,745</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40,341</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44,178</w:t>
            </w:r>
          </w:p>
        </w:tc>
        <w:tc>
          <w:tcPr>
            <w:tcW w:w="0" w:type="dxa"/>
            <w:vAlign w:val="bottom"/>
          </w:tcPr>
          <w:p>
            <w:pPr>
              <w:spacing w:after="0"/>
              <w:rPr>
                <w:sz w:val="1"/>
                <w:szCs w:val="1"/>
                <w:color w:val="auto"/>
              </w:rPr>
            </w:pPr>
          </w:p>
        </w:tc>
      </w:tr>
      <w:tr>
        <w:trPr>
          <w:trHeight w:val="213"/>
        </w:trPr>
        <w:tc>
          <w:tcPr>
            <w:tcW w:w="59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34,860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34,119</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Goodwill impairment</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BFE4FF"/>
          </w:tcPr>
          <w:p>
            <w:pPr>
              <w:spacing w:after="0"/>
              <w:rPr>
                <w:sz w:val="19"/>
                <w:szCs w:val="19"/>
                <w:color w:val="auto"/>
              </w:rPr>
            </w:pPr>
          </w:p>
        </w:tc>
        <w:tc>
          <w:tcPr>
            <w:tcW w:w="92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92,942</w:t>
            </w:r>
          </w:p>
        </w:tc>
        <w:tc>
          <w:tcPr>
            <w:tcW w:w="0" w:type="dxa"/>
            <w:vAlign w:val="bottom"/>
          </w:tcPr>
          <w:p>
            <w:pPr>
              <w:spacing w:after="0"/>
              <w:rPr>
                <w:sz w:val="1"/>
                <w:szCs w:val="1"/>
                <w:color w:val="auto"/>
              </w:rPr>
            </w:pPr>
          </w:p>
        </w:tc>
      </w:tr>
      <w:tr>
        <w:trPr>
          <w:trHeight w:val="213"/>
        </w:trPr>
        <w:tc>
          <w:tcPr>
            <w:tcW w:w="5920" w:type="dxa"/>
            <w:vAlign w:val="bottom"/>
            <w:tcBorders>
              <w:bottom w:val="single" w:sz="8" w:color="BFE4FF"/>
            </w:tcBorders>
          </w:tcPr>
          <w:p>
            <w:pPr>
              <w:ind w:left="240"/>
              <w:spacing w:after="0"/>
              <w:rPr>
                <w:sz w:val="20"/>
                <w:szCs w:val="20"/>
                <w:color w:val="auto"/>
              </w:rPr>
            </w:pPr>
            <w:r>
              <w:rPr>
                <w:rFonts w:ascii="Arial" w:cs="Arial" w:eastAsia="Arial" w:hAnsi="Arial"/>
                <w:sz w:val="16"/>
                <w:szCs w:val="16"/>
                <w:color w:val="auto"/>
              </w:rPr>
              <w:t>Other operating expense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BFE4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BFE4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4,138</w:t>
            </w:r>
          </w:p>
        </w:tc>
        <w:tc>
          <w:tcPr>
            <w:tcW w:w="0" w:type="dxa"/>
            <w:vAlign w:val="bottom"/>
          </w:tcPr>
          <w:p>
            <w:pPr>
              <w:spacing w:after="0"/>
              <w:rPr>
                <w:sz w:val="1"/>
                <w:szCs w:val="1"/>
                <w:color w:val="auto"/>
              </w:rPr>
            </w:pPr>
          </w:p>
        </w:tc>
      </w:tr>
      <w:tr>
        <w:trPr>
          <w:trHeight w:val="213"/>
        </w:trPr>
        <w:tc>
          <w:tcPr>
            <w:tcW w:w="5920" w:type="dxa"/>
            <w:vAlign w:val="bottom"/>
            <w:shd w:val="clear" w:color="auto" w:fill="BFE4FF"/>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(4,612)</w:t>
            </w:r>
          </w:p>
        </w:tc>
        <w:tc>
          <w:tcPr>
            <w:tcW w:w="12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(5,222)</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(116,483)</w:t>
            </w:r>
          </w:p>
        </w:tc>
        <w:tc>
          <w:tcPr>
            <w:tcW w:w="0" w:type="dxa"/>
            <w:vAlign w:val="bottom"/>
          </w:tcPr>
          <w:p>
            <w:pPr>
              <w:spacing w:after="0"/>
              <w:rPr>
                <w:sz w:val="1"/>
                <w:szCs w:val="1"/>
                <w:color w:val="auto"/>
              </w:rPr>
            </w:pPr>
          </w:p>
        </w:tc>
      </w:tr>
      <w:tr>
        <w:trPr>
          <w:trHeight w:val="213"/>
        </w:trPr>
        <w:tc>
          <w:tcPr>
            <w:tcW w:w="59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3,578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17,036</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2,390</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3"/>
        </w:trPr>
        <w:tc>
          <w:tcPr>
            <w:tcW w:w="5920" w:type="dxa"/>
            <w:vAlign w:val="bottom"/>
          </w:tcPr>
          <w:p>
            <w:pPr>
              <w:ind w:left="240"/>
              <w:spacing w:after="0"/>
              <w:rPr>
                <w:sz w:val="20"/>
                <w:szCs w:val="20"/>
                <w:color w:val="auto"/>
              </w:rPr>
            </w:pPr>
            <w:r>
              <w:rPr>
                <w:rFonts w:ascii="Arial" w:cs="Arial" w:eastAsia="Arial" w:hAnsi="Arial"/>
                <w:sz w:val="16"/>
                <w:szCs w:val="16"/>
                <w:color w:val="auto"/>
              </w:rPr>
              <w:t>Derivative payments on interest rate swap</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Loss on interest rate swap</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BFE4FF"/>
          </w:tcPr>
          <w:p>
            <w:pPr>
              <w:spacing w:after="0"/>
              <w:rPr>
                <w:sz w:val="19"/>
                <w:szCs w:val="19"/>
                <w:color w:val="auto"/>
              </w:rPr>
            </w:pPr>
          </w:p>
        </w:tc>
        <w:tc>
          <w:tcPr>
            <w:tcW w:w="92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2,033</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20" w:type="dxa"/>
            <w:vAlign w:val="bottom"/>
            <w:tcBorders>
              <w:bottom w:val="single" w:sz="8" w:color="BFE4FF"/>
            </w:tcBorders>
          </w:tcPr>
          <w:p>
            <w:pPr>
              <w:ind w:left="24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w:t>
            </w:r>
          </w:p>
        </w:tc>
        <w:tc>
          <w:tcPr>
            <w:tcW w:w="120" w:type="dxa"/>
            <w:vAlign w:val="bottom"/>
            <w:tcBorders>
              <w:bottom w:val="single" w:sz="8" w:color="BFE4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BFE4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49"/>
        </w:trPr>
        <w:tc>
          <w:tcPr>
            <w:tcW w:w="5920" w:type="dxa"/>
            <w:vAlign w:val="bottom"/>
            <w:shd w:val="clear" w:color="auto" w:fill="BFE4FF"/>
          </w:tcPr>
          <w:p>
            <w:pPr>
              <w:ind w:left="20"/>
              <w:spacing w:after="0" w:line="148" w:lineRule="exact"/>
              <w:rPr>
                <w:sz w:val="20"/>
                <w:szCs w:val="20"/>
                <w:color w:val="auto"/>
              </w:rPr>
            </w:pPr>
            <w:r>
              <w:rPr>
                <w:rFonts w:ascii="Arial" w:cs="Arial" w:eastAsia="Arial" w:hAnsi="Arial"/>
                <w:sz w:val="16"/>
                <w:szCs w:val="16"/>
                <w:color w:val="auto"/>
                <w:w w:val="94"/>
              </w:rPr>
              <w:t>Loss from continuing operations before benefit (provision) for income taxes and share of</w:t>
            </w:r>
          </w:p>
        </w:tc>
        <w:tc>
          <w:tcPr>
            <w:tcW w:w="280" w:type="dxa"/>
            <w:vAlign w:val="bottom"/>
            <w:shd w:val="clear" w:color="auto" w:fill="BFE4FF"/>
          </w:tcPr>
          <w:p>
            <w:pPr>
              <w:spacing w:after="0"/>
              <w:rPr>
                <w:sz w:val="12"/>
                <w:szCs w:val="12"/>
                <w:color w:val="auto"/>
              </w:rPr>
            </w:pPr>
          </w:p>
        </w:tc>
        <w:tc>
          <w:tcPr>
            <w:tcW w:w="96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(3,844)</w:t>
            </w:r>
          </w:p>
        </w:tc>
        <w:tc>
          <w:tcPr>
            <w:tcW w:w="120" w:type="dxa"/>
            <w:vAlign w:val="bottom"/>
            <w:shd w:val="clear" w:color="auto" w:fill="BFE4FF"/>
          </w:tcPr>
          <w:p>
            <w:pPr>
              <w:spacing w:after="0"/>
              <w:rPr>
                <w:sz w:val="12"/>
                <w:szCs w:val="12"/>
                <w:color w:val="auto"/>
              </w:rPr>
            </w:pPr>
          </w:p>
        </w:tc>
        <w:tc>
          <w:tcPr>
            <w:tcW w:w="420" w:type="dxa"/>
            <w:vAlign w:val="bottom"/>
            <w:shd w:val="clear" w:color="auto" w:fill="BFE4FF"/>
          </w:tcPr>
          <w:p>
            <w:pPr>
              <w:spacing w:after="0"/>
              <w:rPr>
                <w:sz w:val="12"/>
                <w:szCs w:val="12"/>
                <w:color w:val="auto"/>
              </w:rPr>
            </w:pPr>
          </w:p>
        </w:tc>
        <w:tc>
          <w:tcPr>
            <w:tcW w:w="8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(8,211)</w:t>
            </w:r>
          </w:p>
        </w:tc>
        <w:tc>
          <w:tcPr>
            <w:tcW w:w="100" w:type="dxa"/>
            <w:vAlign w:val="bottom"/>
            <w:shd w:val="clear" w:color="auto" w:fill="BFE4FF"/>
          </w:tcPr>
          <w:p>
            <w:pPr>
              <w:spacing w:after="0"/>
              <w:rPr>
                <w:sz w:val="12"/>
                <w:szCs w:val="12"/>
                <w:color w:val="auto"/>
              </w:rPr>
            </w:pPr>
          </w:p>
        </w:tc>
        <w:tc>
          <w:tcPr>
            <w:tcW w:w="300" w:type="dxa"/>
            <w:vAlign w:val="bottom"/>
            <w:shd w:val="clear" w:color="auto" w:fill="BFE4FF"/>
          </w:tcPr>
          <w:p>
            <w:pPr>
              <w:spacing w:after="0"/>
              <w:rPr>
                <w:sz w:val="12"/>
                <w:szCs w:val="12"/>
                <w:color w:val="auto"/>
              </w:rPr>
            </w:pPr>
          </w:p>
        </w:tc>
        <w:tc>
          <w:tcPr>
            <w:tcW w:w="96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(17,749)</w:t>
            </w:r>
          </w:p>
        </w:tc>
        <w:tc>
          <w:tcPr>
            <w:tcW w:w="100" w:type="dxa"/>
            <w:vAlign w:val="bottom"/>
            <w:shd w:val="clear" w:color="auto" w:fill="BFE4FF"/>
          </w:tcPr>
          <w:p>
            <w:pPr>
              <w:spacing w:after="0"/>
              <w:rPr>
                <w:sz w:val="12"/>
                <w:szCs w:val="12"/>
                <w:color w:val="auto"/>
              </w:rPr>
            </w:pPr>
          </w:p>
        </w:tc>
        <w:tc>
          <w:tcPr>
            <w:tcW w:w="440" w:type="dxa"/>
            <w:vAlign w:val="bottom"/>
            <w:shd w:val="clear" w:color="auto" w:fill="BFE4FF"/>
          </w:tcPr>
          <w:p>
            <w:pPr>
              <w:spacing w:after="0"/>
              <w:rPr>
                <w:sz w:val="12"/>
                <w:szCs w:val="12"/>
                <w:color w:val="auto"/>
              </w:rPr>
            </w:pPr>
          </w:p>
        </w:tc>
        <w:tc>
          <w:tcPr>
            <w:tcW w:w="8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(133,730)</w:t>
            </w:r>
          </w:p>
        </w:tc>
        <w:tc>
          <w:tcPr>
            <w:tcW w:w="0" w:type="dxa"/>
            <w:vAlign w:val="bottom"/>
          </w:tcPr>
          <w:p>
            <w:pPr>
              <w:spacing w:after="0"/>
              <w:rPr>
                <w:sz w:val="1"/>
                <w:szCs w:val="1"/>
                <w:color w:val="auto"/>
              </w:rPr>
            </w:pPr>
          </w:p>
        </w:tc>
      </w:tr>
      <w:tr>
        <w:trPr>
          <w:trHeight w:val="212"/>
        </w:trPr>
        <w:tc>
          <w:tcPr>
            <w:tcW w:w="592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income from joint venture</w:t>
            </w:r>
          </w:p>
        </w:tc>
        <w:tc>
          <w:tcPr>
            <w:tcW w:w="280" w:type="dxa"/>
            <w:vAlign w:val="bottom"/>
            <w:shd w:val="clear" w:color="auto" w:fill="BFE4FF"/>
          </w:tcPr>
          <w:p>
            <w:pPr>
              <w:spacing w:after="0"/>
              <w:rPr>
                <w:sz w:val="18"/>
                <w:szCs w:val="18"/>
                <w:color w:val="auto"/>
              </w:rPr>
            </w:pPr>
          </w:p>
        </w:tc>
        <w:tc>
          <w:tcPr>
            <w:tcW w:w="96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c>
          <w:tcPr>
            <w:tcW w:w="82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96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2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4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7,935</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Share of net income from joint venture</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842</w:t>
            </w:r>
          </w:p>
        </w:tc>
        <w:tc>
          <w:tcPr>
            <w:tcW w:w="120" w:type="dxa"/>
            <w:vAlign w:val="bottom"/>
            <w:shd w:val="clear" w:color="auto" w:fill="BFE4FF"/>
          </w:tcPr>
          <w:p>
            <w:pPr>
              <w:spacing w:after="0"/>
              <w:rPr>
                <w:sz w:val="19"/>
                <w:szCs w:val="19"/>
                <w:color w:val="auto"/>
              </w:rPr>
            </w:pPr>
          </w:p>
        </w:tc>
        <w:tc>
          <w:tcPr>
            <w:tcW w:w="42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BFE4FF"/>
          </w:tcPr>
          <w:p>
            <w:pPr>
              <w:spacing w:after="0"/>
              <w:rPr>
                <w:sz w:val="19"/>
                <w:szCs w:val="19"/>
                <w:color w:val="auto"/>
              </w:rPr>
            </w:pPr>
          </w:p>
        </w:tc>
        <w:tc>
          <w:tcPr>
            <w:tcW w:w="30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3,456</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(3,377)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(13,681)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(124,003)</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20,330</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(123,966)</w:t>
            </w:r>
          </w:p>
        </w:tc>
        <w:tc>
          <w:tcPr>
            <w:tcW w:w="0" w:type="dxa"/>
            <w:vAlign w:val="bottom"/>
          </w:tcPr>
          <w:p>
            <w:pPr>
              <w:spacing w:after="0"/>
              <w:rPr>
                <w:sz w:val="1"/>
                <w:szCs w:val="1"/>
                <w:color w:val="auto"/>
              </w:rPr>
            </w:pPr>
          </w:p>
        </w:tc>
      </w:tr>
      <w:tr>
        <w:trPr>
          <w:trHeight w:val="207"/>
        </w:trPr>
        <w:tc>
          <w:tcPr>
            <w:tcW w:w="592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(3,377)</w:t>
            </w:r>
          </w:p>
        </w:tc>
        <w:tc>
          <w:tcPr>
            <w:tcW w:w="120" w:type="dxa"/>
            <w:vAlign w:val="bottom"/>
            <w:tcBorders>
              <w:bottom w:val="single" w:sz="8" w:color="BFE4FF"/>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21,970</w:t>
            </w:r>
          </w:p>
        </w:tc>
        <w:tc>
          <w:tcPr>
            <w:tcW w:w="100" w:type="dxa"/>
            <w:vAlign w:val="bottom"/>
            <w:tcBorders>
              <w:bottom w:val="single" w:sz="8" w:color="BFE4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(13,681)</w:t>
            </w:r>
          </w:p>
        </w:tc>
        <w:tc>
          <w:tcPr>
            <w:tcW w:w="100" w:type="dxa"/>
            <w:vAlign w:val="bottom"/>
            <w:tcBorders>
              <w:bottom w:val="single" w:sz="8" w:color="BFE4FF"/>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(247,969)</w:t>
            </w:r>
          </w:p>
        </w:tc>
        <w:tc>
          <w:tcPr>
            <w:tcW w:w="0" w:type="dxa"/>
            <w:vAlign w:val="bottom"/>
          </w:tcPr>
          <w:p>
            <w:pPr>
              <w:spacing w:after="0"/>
              <w:rPr>
                <w:sz w:val="1"/>
                <w:szCs w:val="1"/>
                <w:color w:val="auto"/>
              </w:rPr>
            </w:pPr>
          </w:p>
        </w:tc>
      </w:tr>
      <w:tr>
        <w:trPr>
          <w:trHeight w:val="199"/>
        </w:trPr>
        <w:tc>
          <w:tcPr>
            <w:tcW w:w="5920" w:type="dxa"/>
            <w:vAlign w:val="bottom"/>
            <w:shd w:val="clear" w:color="auto" w:fill="BFE4FF"/>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shd w:val="clear" w:color="auto" w:fill="BFE4FF"/>
          </w:tcPr>
          <w:p>
            <w:pPr>
              <w:spacing w:after="0"/>
              <w:rPr>
                <w:sz w:val="17"/>
                <w:szCs w:val="17"/>
                <w:color w:val="auto"/>
              </w:rPr>
            </w:pPr>
          </w:p>
        </w:tc>
        <w:tc>
          <w:tcPr>
            <w:tcW w:w="9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420" w:type="dxa"/>
            <w:vAlign w:val="bottom"/>
            <w:shd w:val="clear" w:color="auto" w:fill="BFE4FF"/>
          </w:tcPr>
          <w:p>
            <w:pPr>
              <w:spacing w:after="0"/>
              <w:rPr>
                <w:sz w:val="17"/>
                <w:szCs w:val="17"/>
                <w:color w:val="auto"/>
              </w:rPr>
            </w:pPr>
          </w:p>
        </w:tc>
        <w:tc>
          <w:tcPr>
            <w:tcW w:w="8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300" w:type="dxa"/>
            <w:vAlign w:val="bottom"/>
            <w:shd w:val="clear" w:color="auto" w:fill="BFE4FF"/>
          </w:tcPr>
          <w:p>
            <w:pPr>
              <w:spacing w:after="0"/>
              <w:rPr>
                <w:sz w:val="17"/>
                <w:szCs w:val="17"/>
                <w:color w:val="auto"/>
              </w:rPr>
            </w:pPr>
          </w:p>
        </w:tc>
        <w:tc>
          <w:tcPr>
            <w:tcW w:w="96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440" w:type="dxa"/>
            <w:vAlign w:val="bottom"/>
            <w:shd w:val="clear" w:color="auto" w:fill="BFE4FF"/>
          </w:tcPr>
          <w:p>
            <w:pPr>
              <w:spacing w:after="0"/>
              <w:rPr>
                <w:sz w:val="17"/>
                <w:szCs w:val="17"/>
                <w:color w:val="auto"/>
              </w:rPr>
            </w:pPr>
          </w:p>
        </w:tc>
        <w:tc>
          <w:tcPr>
            <w:tcW w:w="82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20"/>
              <w:spacing w:after="0"/>
              <w:rPr>
                <w:sz w:val="20"/>
                <w:szCs w:val="20"/>
                <w:color w:val="auto"/>
              </w:rPr>
            </w:pPr>
            <w:r>
              <w:rPr>
                <w:rFonts w:ascii="Arial" w:cs="Arial" w:eastAsia="Arial" w:hAnsi="Arial"/>
                <w:sz w:val="16"/>
                <w:szCs w:val="16"/>
                <w:color w:val="auto"/>
              </w:rPr>
              <w:t>Foreign currency translation gain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(2,612)</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6,712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(6,636)</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20"/>
              <w:spacing w:after="0"/>
              <w:rPr>
                <w:sz w:val="20"/>
                <w:szCs w:val="20"/>
                <w:color w:val="auto"/>
              </w:rPr>
            </w:pPr>
            <w:r>
              <w:rPr>
                <w:rFonts w:ascii="Arial" w:cs="Arial" w:eastAsia="Arial" w:hAnsi="Arial"/>
                <w:sz w:val="16"/>
                <w:szCs w:val="16"/>
                <w:color w:val="auto"/>
              </w:rPr>
              <w:t>Interest rate swap:</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8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440"/>
              <w:spacing w:after="0"/>
              <w:rPr>
                <w:sz w:val="20"/>
                <w:szCs w:val="20"/>
                <w:color w:val="auto"/>
              </w:rPr>
            </w:pPr>
            <w:r>
              <w:rPr>
                <w:rFonts w:ascii="Arial" w:cs="Arial" w:eastAsia="Arial" w:hAnsi="Arial"/>
                <w:sz w:val="16"/>
                <w:szCs w:val="16"/>
                <w:color w:val="auto"/>
              </w:rPr>
              <w:t>Change in fair value, net of tax</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(12,443)</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440"/>
              <w:spacing w:after="0"/>
              <w:rPr>
                <w:sz w:val="20"/>
                <w:szCs w:val="20"/>
                <w:color w:val="auto"/>
              </w:rPr>
            </w:pPr>
            <w:r>
              <w:rPr>
                <w:rFonts w:ascii="Arial" w:cs="Arial" w:eastAsia="Arial" w:hAnsi="Arial"/>
                <w:sz w:val="16"/>
                <w:szCs w:val="16"/>
                <w:color w:val="auto"/>
                <w:w w:val="99"/>
              </w:rPr>
              <w:t>Reclassification adjustment for losses included in net income (loss), net of tax</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BFE4FF"/>
          </w:tcPr>
          <w:p>
            <w:pPr>
              <w:spacing w:after="0"/>
              <w:rPr>
                <w:sz w:val="19"/>
                <w:szCs w:val="19"/>
                <w:color w:val="auto"/>
              </w:rPr>
            </w:pPr>
          </w:p>
        </w:tc>
        <w:tc>
          <w:tcPr>
            <w:tcW w:w="42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3,148</w:t>
            </w:r>
          </w:p>
        </w:tc>
        <w:tc>
          <w:tcPr>
            <w:tcW w:w="100" w:type="dxa"/>
            <w:vAlign w:val="bottom"/>
            <w:shd w:val="clear" w:color="auto" w:fill="BFE4FF"/>
          </w:tcPr>
          <w:p>
            <w:pPr>
              <w:spacing w:after="0"/>
              <w:rPr>
                <w:sz w:val="19"/>
                <w:szCs w:val="19"/>
                <w:color w:val="auto"/>
              </w:rPr>
            </w:pPr>
          </w:p>
        </w:tc>
        <w:tc>
          <w:tcPr>
            <w:tcW w:w="30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2,873</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6,838</w:t>
            </w:r>
          </w:p>
        </w:tc>
        <w:tc>
          <w:tcPr>
            <w:tcW w:w="0" w:type="dxa"/>
            <w:vAlign w:val="bottom"/>
          </w:tcPr>
          <w:p>
            <w:pPr>
              <w:spacing w:after="0"/>
              <w:rPr>
                <w:sz w:val="1"/>
                <w:szCs w:val="1"/>
                <w:color w:val="auto"/>
              </w:rPr>
            </w:pPr>
          </w:p>
        </w:tc>
      </w:tr>
      <w:tr>
        <w:trPr>
          <w:trHeight w:val="207"/>
        </w:trPr>
        <w:tc>
          <w:tcPr>
            <w:tcW w:w="592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w:t>
            </w:r>
          </w:p>
        </w:tc>
        <w:tc>
          <w:tcPr>
            <w:tcW w:w="120" w:type="dxa"/>
            <w:vAlign w:val="bottom"/>
            <w:tcBorders>
              <w:bottom w:val="single" w:sz="8" w:color="BFE4FF"/>
            </w:tcBorders>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9,881</w:t>
            </w:r>
          </w:p>
        </w:tc>
        <w:tc>
          <w:tcPr>
            <w:tcW w:w="100" w:type="dxa"/>
            <w:vAlign w:val="bottom"/>
            <w:tcBorders>
              <w:bottom w:val="single" w:sz="8" w:color="BFE4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Borders>
              <w:bottom w:val="single" w:sz="8" w:color="BFE4FF"/>
            </w:tcBorders>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(12,241)</w:t>
            </w:r>
          </w:p>
        </w:tc>
        <w:tc>
          <w:tcPr>
            <w:tcW w:w="0" w:type="dxa"/>
            <w:vAlign w:val="bottom"/>
          </w:tcPr>
          <w:p>
            <w:pPr>
              <w:spacing w:after="0"/>
              <w:rPr>
                <w:sz w:val="1"/>
                <w:szCs w:val="1"/>
                <w:color w:val="auto"/>
              </w:rPr>
            </w:pPr>
          </w:p>
        </w:tc>
      </w:tr>
      <w:tr>
        <w:trPr>
          <w:trHeight w:val="238"/>
        </w:trPr>
        <w:tc>
          <w:tcPr>
            <w:tcW w:w="5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(6,143)</w:t>
            </w:r>
          </w:p>
        </w:tc>
        <w:tc>
          <w:tcPr>
            <w:tcW w:w="120" w:type="dxa"/>
            <w:vAlign w:val="bottom"/>
            <w:tcBorders>
              <w:bottom w:val="single" w:sz="8" w:color="BFE4FF"/>
            </w:tcBorders>
            <w:shd w:val="clear" w:color="auto" w:fill="BFE4FF"/>
          </w:tcPr>
          <w:p>
            <w:pPr>
              <w:spacing w:after="0"/>
              <w:rPr>
                <w:sz w:val="20"/>
                <w:szCs w:val="20"/>
                <w:color w:val="auto"/>
              </w:rPr>
            </w:pPr>
          </w:p>
        </w:tc>
        <w:tc>
          <w:tcPr>
            <w:tcW w:w="420" w:type="dxa"/>
            <w:vAlign w:val="bottom"/>
            <w:tcBorders>
              <w:bottom w:val="single" w:sz="8" w:color="auto"/>
            </w:tcBorders>
            <w:shd w:val="clear" w:color="auto" w:fill="BFE4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31,851</w:t>
            </w:r>
          </w:p>
        </w:tc>
        <w:tc>
          <w:tcPr>
            <w:tcW w:w="10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(12,534)</w:t>
            </w:r>
          </w:p>
        </w:tc>
        <w:tc>
          <w:tcPr>
            <w:tcW w:w="100" w:type="dxa"/>
            <w:vAlign w:val="bottom"/>
            <w:tcBorders>
              <w:bottom w:val="single" w:sz="8" w:color="BFE4FF"/>
            </w:tcBorders>
            <w:shd w:val="clear" w:color="auto" w:fill="BFE4FF"/>
          </w:tcPr>
          <w:p>
            <w:pPr>
              <w:spacing w:after="0"/>
              <w:rPr>
                <w:sz w:val="20"/>
                <w:szCs w:val="20"/>
                <w:color w:val="auto"/>
              </w:rPr>
            </w:pPr>
          </w:p>
        </w:tc>
        <w:tc>
          <w:tcPr>
            <w:tcW w:w="440" w:type="dxa"/>
            <w:vAlign w:val="bottom"/>
            <w:tcBorders>
              <w:bottom w:val="single" w:sz="8" w:color="auto"/>
            </w:tcBorders>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(260,210)</w:t>
            </w:r>
          </w:p>
        </w:tc>
        <w:tc>
          <w:tcPr>
            <w:tcW w:w="0" w:type="dxa"/>
            <w:vAlign w:val="bottom"/>
          </w:tcPr>
          <w:p>
            <w:pPr>
              <w:spacing w:after="0"/>
              <w:rPr>
                <w:sz w:val="1"/>
                <w:szCs w:val="1"/>
                <w:color w:val="auto"/>
              </w:rPr>
            </w:pPr>
          </w:p>
        </w:tc>
      </w:tr>
      <w:tr>
        <w:trPr>
          <w:trHeight w:val="20"/>
        </w:trPr>
        <w:tc>
          <w:tcPr>
            <w:tcW w:w="592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6"/>
                <w:szCs w:val="16"/>
                <w:b w:val="1"/>
                <w:bCs w:val="1"/>
                <w:color w:val="auto"/>
              </w:rPr>
              <w:t>Basic net income (loss) per common share:</w:t>
            </w: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BFE4FF"/>
              <w:bottom w:val="single" w:sz="8" w:color="auto"/>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BFE4FF"/>
              <w:bottom w:val="single" w:sz="8" w:color="auto"/>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20"/>
              <w:spacing w:after="0"/>
              <w:rPr>
                <w:sz w:val="20"/>
                <w:szCs w:val="20"/>
                <w:color w:val="auto"/>
              </w:rPr>
            </w:pPr>
            <w:r>
              <w:rPr>
                <w:rFonts w:ascii="Arial" w:cs="Arial" w:eastAsia="Arial" w:hAnsi="Arial"/>
                <w:sz w:val="16"/>
                <w:szCs w:val="16"/>
                <w:color w:val="auto"/>
              </w:rPr>
              <w:t>Income (loss) from continuing operations per common share</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BFE4FF"/>
          </w:tcPr>
          <w:p>
            <w:pPr>
              <w:spacing w:after="0"/>
              <w:rPr>
                <w:sz w:val="19"/>
                <w:szCs w:val="19"/>
                <w:color w:val="auto"/>
              </w:rPr>
            </w:pPr>
          </w:p>
        </w:tc>
        <w:tc>
          <w:tcPr>
            <w:tcW w:w="420" w:type="dxa"/>
            <w:vAlign w:val="bottom"/>
            <w:shd w:val="clear" w:color="auto" w:fill="BFE4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(0.75)</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3"/>
        </w:trPr>
        <w:tc>
          <w:tcPr>
            <w:tcW w:w="5920" w:type="dxa"/>
            <w:vAlign w:val="bottom"/>
          </w:tcPr>
          <w:p>
            <w:pPr>
              <w:ind w:left="220"/>
              <w:spacing w:after="0"/>
              <w:rPr>
                <w:sz w:val="20"/>
                <w:szCs w:val="20"/>
                <w:color w:val="auto"/>
              </w:rPr>
            </w:pPr>
            <w:r>
              <w:rPr>
                <w:rFonts w:ascii="Arial" w:cs="Arial" w:eastAsia="Arial" w:hAnsi="Arial"/>
                <w:sz w:val="16"/>
                <w:szCs w:val="16"/>
                <w:color w:val="auto"/>
              </w:rPr>
              <w:t>Income (loss) from discontinued operations per common share</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38"/>
        </w:trPr>
        <w:tc>
          <w:tcPr>
            <w:tcW w:w="5920" w:type="dxa"/>
            <w:vAlign w:val="bottom"/>
            <w:tcBorders>
              <w:top w:val="single" w:sz="8" w:color="BFE4FF"/>
              <w:bottom w:val="single" w:sz="8" w:color="BFE4FF"/>
            </w:tcBorders>
            <w:shd w:val="clear" w:color="auto" w:fill="BFE4FF"/>
          </w:tcPr>
          <w:p>
            <w:pPr>
              <w:ind w:left="220"/>
              <w:spacing w:after="0"/>
              <w:rPr>
                <w:sz w:val="20"/>
                <w:szCs w:val="20"/>
                <w:color w:val="auto"/>
              </w:rPr>
            </w:pPr>
            <w:r>
              <w:rPr>
                <w:rFonts w:ascii="Arial" w:cs="Arial" w:eastAsia="Arial" w:hAnsi="Arial"/>
                <w:sz w:val="16"/>
                <w:szCs w:val="16"/>
                <w:color w:val="auto"/>
              </w:rPr>
              <w:t>Net income (loss) per common share</w:t>
            </w:r>
          </w:p>
        </w:tc>
        <w:tc>
          <w:tcPr>
            <w:tcW w:w="280" w:type="dxa"/>
            <w:vAlign w:val="bottom"/>
            <w:tcBorders>
              <w:top w:val="single" w:sz="8" w:color="auto"/>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420" w:type="dxa"/>
            <w:vAlign w:val="bottom"/>
            <w:tcBorders>
              <w:top w:val="single" w:sz="8" w:color="auto"/>
              <w:bottom w:val="single" w:sz="8" w:color="auto"/>
            </w:tcBorders>
            <w:shd w:val="clear" w:color="auto" w:fill="BFE4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00" w:type="dxa"/>
            <w:vAlign w:val="bottom"/>
            <w:tcBorders>
              <w:top w:val="single" w:sz="8" w:color="auto"/>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440" w:type="dxa"/>
            <w:vAlign w:val="bottom"/>
            <w:tcBorders>
              <w:top w:val="single" w:sz="8" w:color="auto"/>
              <w:bottom w:val="single" w:sz="8" w:color="auto"/>
            </w:tcBorders>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0"/>
        </w:trPr>
        <w:tc>
          <w:tcPr>
            <w:tcW w:w="5920" w:type="dxa"/>
            <w:vAlign w:val="bottom"/>
            <w:tcBorders>
              <w:top w:val="single" w:sz="8" w:color="BFE4FF"/>
              <w:bottom w:val="single" w:sz="8" w:color="BFE4FF"/>
            </w:tcBorders>
            <w:vMerge w:val="restart"/>
          </w:tcPr>
          <w:p>
            <w:pPr>
              <w:ind w:left="22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BFE4FF"/>
              <w:bottom w:val="single" w:sz="8" w:color="auto"/>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BFE4FF"/>
              <w:bottom w:val="single" w:sz="8" w:color="auto"/>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44,455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42,202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43,862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42,170</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Diluted net income (loss) per common share:</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8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20"/>
              <w:spacing w:after="0"/>
              <w:rPr>
                <w:sz w:val="20"/>
                <w:szCs w:val="20"/>
                <w:color w:val="auto"/>
              </w:rPr>
            </w:pPr>
            <w:r>
              <w:rPr>
                <w:rFonts w:ascii="Arial" w:cs="Arial" w:eastAsia="Arial" w:hAnsi="Arial"/>
                <w:sz w:val="16"/>
                <w:szCs w:val="16"/>
                <w:color w:val="auto"/>
              </w:rPr>
              <w:t>Income (loss) from continuing operations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6"/>
        </w:trPr>
        <w:tc>
          <w:tcPr>
            <w:tcW w:w="5920" w:type="dxa"/>
            <w:vAlign w:val="bottom"/>
            <w:shd w:val="clear" w:color="auto" w:fill="BFE4FF"/>
          </w:tcPr>
          <w:p>
            <w:pPr>
              <w:ind w:left="220"/>
              <w:spacing w:after="0"/>
              <w:rPr>
                <w:sz w:val="20"/>
                <w:szCs w:val="20"/>
                <w:color w:val="auto"/>
              </w:rPr>
            </w:pPr>
            <w:r>
              <w:rPr>
                <w:rFonts w:ascii="Arial" w:cs="Arial" w:eastAsia="Arial" w:hAnsi="Arial"/>
                <w:sz w:val="16"/>
                <w:szCs w:val="16"/>
                <w:color w:val="auto"/>
              </w:rPr>
              <w:t>Income (loss) from discontinued operations per common share</w:t>
            </w:r>
          </w:p>
        </w:tc>
        <w:tc>
          <w:tcPr>
            <w:tcW w:w="280" w:type="dxa"/>
            <w:vAlign w:val="bottom"/>
            <w:shd w:val="clear" w:color="auto" w:fill="BFE4FF"/>
          </w:tcPr>
          <w:p>
            <w:pPr>
              <w:spacing w:after="0"/>
              <w:rPr>
                <w:sz w:val="18"/>
                <w:szCs w:val="18"/>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3"/>
        </w:trPr>
        <w:tc>
          <w:tcPr>
            <w:tcW w:w="5920" w:type="dxa"/>
            <w:vAlign w:val="bottom"/>
          </w:tcPr>
          <w:p>
            <w:pPr>
              <w:ind w:left="220"/>
              <w:spacing w:after="0"/>
              <w:rPr>
                <w:sz w:val="20"/>
                <w:szCs w:val="20"/>
                <w:color w:val="auto"/>
              </w:rPr>
            </w:pPr>
            <w:r>
              <w:rPr>
                <w:rFonts w:ascii="Arial" w:cs="Arial" w:eastAsia="Arial" w:hAnsi="Arial"/>
                <w:sz w:val="16"/>
                <w:szCs w:val="16"/>
                <w:color w:val="auto"/>
              </w:rPr>
              <w:t>Net income (loss) per common share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0"/>
        </w:trPr>
        <w:tc>
          <w:tcPr>
            <w:tcW w:w="592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BFE4FF"/>
          </w:tcPr>
          <w:p>
            <w:pPr>
              <w:ind w:left="22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44,455</w:t>
            </w:r>
          </w:p>
        </w:tc>
        <w:tc>
          <w:tcPr>
            <w:tcW w:w="12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42,202</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43,862</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42,170</w:t>
            </w:r>
          </w:p>
        </w:tc>
        <w:tc>
          <w:tcPr>
            <w:tcW w:w="0" w:type="dxa"/>
            <w:vAlign w:val="bottom"/>
          </w:tcPr>
          <w:p>
            <w:pPr>
              <w:spacing w:after="0"/>
              <w:rPr>
                <w:sz w:val="1"/>
                <w:szCs w:val="1"/>
                <w:color w:val="auto"/>
              </w:rPr>
            </w:pPr>
          </w:p>
        </w:tc>
      </w:tr>
      <w:tr>
        <w:trPr>
          <w:trHeight w:val="598"/>
        </w:trPr>
        <w:tc>
          <w:tcPr>
            <w:tcW w:w="5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90" w:right="339" w:bottom="1440" w:gutter="0" w:footer="0" w:header="0"/>
        </w:sectPr>
      </w:pPr>
    </w:p>
    <w:bookmarkStart w:id="7" w:name="page8"/>
    <w:bookmarkEnd w:id="7"/>
    <w:p>
      <w:pPr>
        <w:ind w:left="5300"/>
        <w:spacing w:after="0"/>
        <w:rPr>
          <w:sz w:val="20"/>
          <w:szCs w:val="20"/>
          <w:color w:val="auto"/>
        </w:rPr>
      </w:pPr>
      <w:r>
        <w:rPr>
          <w:rFonts w:ascii="Arial" w:cs="Arial" w:eastAsia="Arial" w:hAnsi="Arial"/>
          <w:sz w:val="18"/>
          <w:szCs w:val="18"/>
          <w:b w:val="1"/>
          <w:bCs w:val="1"/>
          <w:color w:val="auto"/>
        </w:rPr>
        <w:t>NN, Inc.</w:t>
      </w:r>
    </w:p>
    <w:p>
      <w:pPr>
        <w:spacing w:after="0" w:line="5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02"/>
        </w:trPr>
        <w:tc>
          <w:tcPr>
            <w:tcW w:w="860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BFE4FF"/>
          </w:tcPr>
          <w:p>
            <w:pPr>
              <w:spacing w:after="0"/>
              <w:rPr>
                <w:sz w:val="17"/>
                <w:szCs w:val="17"/>
                <w:color w:val="auto"/>
              </w:rPr>
            </w:pPr>
          </w:p>
        </w:tc>
        <w:tc>
          <w:tcPr>
            <w:tcW w:w="900" w:type="dxa"/>
            <w:vAlign w:val="bottom"/>
            <w:tcBorders>
              <w:top w:val="single" w:sz="8" w:color="auto"/>
            </w:tcBorders>
            <w:shd w:val="clear" w:color="auto" w:fill="BFE4FF"/>
          </w:tcPr>
          <w:p>
            <w:pPr>
              <w:spacing w:after="0"/>
              <w:rPr>
                <w:sz w:val="17"/>
                <w:szCs w:val="17"/>
                <w:color w:val="auto"/>
              </w:rPr>
            </w:pPr>
          </w:p>
        </w:tc>
        <w:tc>
          <w:tcPr>
            <w:tcW w:w="120" w:type="dxa"/>
            <w:vAlign w:val="bottom"/>
            <w:tcBorders>
              <w:top w:val="single" w:sz="8" w:color="BFE4FF"/>
            </w:tcBorders>
            <w:shd w:val="clear" w:color="auto" w:fill="BFE4FF"/>
          </w:tcPr>
          <w:p>
            <w:pPr>
              <w:spacing w:after="0"/>
              <w:rPr>
                <w:sz w:val="17"/>
                <w:szCs w:val="17"/>
                <w:color w:val="auto"/>
              </w:rPr>
            </w:pPr>
          </w:p>
        </w:tc>
        <w:tc>
          <w:tcPr>
            <w:tcW w:w="340" w:type="dxa"/>
            <w:vAlign w:val="bottom"/>
            <w:tcBorders>
              <w:top w:val="single" w:sz="8" w:color="auto"/>
            </w:tcBorders>
            <w:shd w:val="clear" w:color="auto" w:fill="BFE4FF"/>
          </w:tcPr>
          <w:p>
            <w:pPr>
              <w:spacing w:after="0"/>
              <w:rPr>
                <w:sz w:val="17"/>
                <w:szCs w:val="17"/>
                <w:color w:val="auto"/>
              </w:rPr>
            </w:pPr>
          </w:p>
        </w:tc>
        <w:tc>
          <w:tcPr>
            <w:tcW w:w="920" w:type="dxa"/>
            <w:vAlign w:val="bottom"/>
            <w:tcBorders>
              <w:top w:val="single" w:sz="8" w:color="auto"/>
            </w:tcBorders>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BFE4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24,611</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6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48,138</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83,990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84,615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75,321</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62,517</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8,800</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11,837</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11,148</w:t>
            </w:r>
          </w:p>
        </w:tc>
        <w:tc>
          <w:tcPr>
            <w:tcW w:w="0" w:type="dxa"/>
            <w:vAlign w:val="bottom"/>
          </w:tcPr>
          <w:p>
            <w:pPr>
              <w:spacing w:after="0"/>
              <w:rPr>
                <w:sz w:val="1"/>
                <w:szCs w:val="1"/>
                <w:color w:val="auto"/>
              </w:rPr>
            </w:pPr>
          </w:p>
        </w:tc>
      </w:tr>
      <w:tr>
        <w:trPr>
          <w:trHeight w:val="207"/>
        </w:trPr>
        <w:tc>
          <w:tcPr>
            <w:tcW w:w="86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207,501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215,218</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212,468</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223,690</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47,449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50,264</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92,305</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103,065</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Investment in joint venture</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26,983</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4,053</w:t>
            </w:r>
          </w:p>
        </w:tc>
        <w:tc>
          <w:tcPr>
            <w:tcW w:w="12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5,742</w:t>
            </w:r>
          </w:p>
        </w:tc>
        <w:tc>
          <w:tcPr>
            <w:tcW w:w="0" w:type="dxa"/>
            <w:vAlign w:val="bottom"/>
          </w:tcPr>
          <w:p>
            <w:pPr>
              <w:spacing w:after="0"/>
              <w:rPr>
                <w:sz w:val="1"/>
                <w:szCs w:val="1"/>
                <w:color w:val="auto"/>
              </w:rPr>
            </w:pPr>
          </w:p>
        </w:tc>
      </w:tr>
      <w:tr>
        <w:trPr>
          <w:trHeight w:val="235"/>
        </w:trPr>
        <w:tc>
          <w:tcPr>
            <w:tcW w:w="8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594,706</w:t>
            </w:r>
          </w:p>
        </w:tc>
        <w:tc>
          <w:tcPr>
            <w:tcW w:w="120" w:type="dxa"/>
            <w:vAlign w:val="bottom"/>
            <w:tcBorders>
              <w:bottom w:val="single" w:sz="8" w:color="BFE4FF"/>
            </w:tcBorders>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jc w:val="right"/>
              <w:ind w:right="1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624,962</w:t>
            </w:r>
          </w:p>
        </w:tc>
        <w:tc>
          <w:tcPr>
            <w:tcW w:w="0" w:type="dxa"/>
            <w:vAlign w:val="bottom"/>
          </w:tcPr>
          <w:p>
            <w:pPr>
              <w:spacing w:after="0"/>
              <w:rPr>
                <w:sz w:val="1"/>
                <w:szCs w:val="1"/>
                <w:color w:val="auto"/>
              </w:rPr>
            </w:pPr>
          </w:p>
        </w:tc>
      </w:tr>
      <w:tr>
        <w:trPr>
          <w:trHeight w:val="20"/>
        </w:trPr>
        <w:tc>
          <w:tcPr>
            <w:tcW w:w="860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6"/>
                <w:szCs w:val="16"/>
                <w:b w:val="1"/>
                <w:bCs w:val="1"/>
                <w:color w:val="auto"/>
              </w:rPr>
              <w:t>Liabilities, Preferred Stock, and Stockholders’ Equity</w:t>
            </w: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44,033</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37,435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Accrued salaries, wages and benefits</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18,858</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21,296</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3,557</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Current maturities of long-term debt</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3,355</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4,885</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Current portion of operating lease liabilities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4,797</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11,983</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31,261</w:t>
            </w:r>
          </w:p>
        </w:tc>
        <w:tc>
          <w:tcPr>
            <w:tcW w:w="0" w:type="dxa"/>
            <w:vAlign w:val="bottom"/>
          </w:tcPr>
          <w:p>
            <w:pPr>
              <w:spacing w:after="0"/>
              <w:rPr>
                <w:sz w:val="1"/>
                <w:szCs w:val="1"/>
                <w:color w:val="auto"/>
              </w:rPr>
            </w:pPr>
          </w:p>
        </w:tc>
      </w:tr>
      <w:tr>
        <w:trPr>
          <w:trHeight w:val="206"/>
        </w:trPr>
        <w:tc>
          <w:tcPr>
            <w:tcW w:w="86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85,073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103,231</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liabilities</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8,344</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11,178</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Long-term debt, net of current portion</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151,323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79,025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Operating lease liabilities, net of current portion</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52,417</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55,053</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21,337</w:t>
            </w:r>
          </w:p>
        </w:tc>
        <w:tc>
          <w:tcPr>
            <w:tcW w:w="12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17,237</w:t>
            </w:r>
          </w:p>
        </w:tc>
        <w:tc>
          <w:tcPr>
            <w:tcW w:w="0" w:type="dxa"/>
            <w:vAlign w:val="bottom"/>
          </w:tcPr>
          <w:p>
            <w:pPr>
              <w:spacing w:after="0"/>
              <w:rPr>
                <w:sz w:val="1"/>
                <w:szCs w:val="1"/>
                <w:color w:val="auto"/>
              </w:rPr>
            </w:pPr>
          </w:p>
        </w:tc>
      </w:tr>
      <w:tr>
        <w:trPr>
          <w:trHeight w:val="213"/>
        </w:trPr>
        <w:tc>
          <w:tcPr>
            <w:tcW w:w="8600" w:type="dxa"/>
            <w:vAlign w:val="bottom"/>
            <w:shd w:val="clear" w:color="auto" w:fill="BFE4FF"/>
          </w:tcPr>
          <w:p>
            <w:pPr>
              <w:ind w:left="68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BFE4FF"/>
          </w:tcPr>
          <w:p>
            <w:pPr>
              <w:spacing w:after="0"/>
              <w:rPr>
                <w:sz w:val="18"/>
                <w:szCs w:val="18"/>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318,494</w:t>
            </w:r>
          </w:p>
        </w:tc>
        <w:tc>
          <w:tcPr>
            <w:tcW w:w="120" w:type="dxa"/>
            <w:vAlign w:val="bottom"/>
            <w:shd w:val="clear" w:color="auto" w:fill="BFE4FF"/>
          </w:tcPr>
          <w:p>
            <w:pPr>
              <w:spacing w:after="0"/>
              <w:rPr>
                <w:sz w:val="18"/>
                <w:szCs w:val="18"/>
                <w:color w:val="auto"/>
              </w:rPr>
            </w:pPr>
          </w:p>
        </w:tc>
        <w:tc>
          <w:tcPr>
            <w:tcW w:w="340" w:type="dxa"/>
            <w:vAlign w:val="bottom"/>
            <w:tcBorders>
              <w:bottom w:val="single" w:sz="8" w:color="auto"/>
            </w:tcBorders>
            <w:shd w:val="clear" w:color="auto" w:fill="BFE4FF"/>
          </w:tcPr>
          <w:p>
            <w:pPr>
              <w:spacing w:after="0"/>
              <w:rPr>
                <w:sz w:val="18"/>
                <w:szCs w:val="18"/>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265,724</w:t>
            </w:r>
          </w:p>
        </w:tc>
        <w:tc>
          <w:tcPr>
            <w:tcW w:w="0" w:type="dxa"/>
            <w:vAlign w:val="bottom"/>
          </w:tcPr>
          <w:p>
            <w:pPr>
              <w:spacing w:after="0"/>
              <w:rPr>
                <w:sz w:val="1"/>
                <w:szCs w:val="1"/>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600" w:type="dxa"/>
            <w:vAlign w:val="bottom"/>
            <w:shd w:val="clear" w:color="auto" w:fill="BFE4FF"/>
          </w:tcPr>
          <w:p>
            <w:pPr>
              <w:ind w:left="140"/>
              <w:spacing w:after="0" w:line="169" w:lineRule="exact"/>
              <w:rPr>
                <w:sz w:val="20"/>
                <w:szCs w:val="20"/>
                <w:color w:val="auto"/>
              </w:rPr>
            </w:pPr>
            <w:r>
              <w:rPr>
                <w:rFonts w:ascii="Arial" w:cs="Arial" w:eastAsia="Arial" w:hAnsi="Arial"/>
                <w:sz w:val="16"/>
                <w:szCs w:val="16"/>
                <w:color w:val="auto"/>
                <w:w w:val="93"/>
              </w:rPr>
              <w:t>Series D perpetual preferred stock - $0.01 par value per share, 65 shares authorized, issued and outstanding at September 30,</w:t>
            </w:r>
          </w:p>
        </w:tc>
        <w:tc>
          <w:tcPr>
            <w:tcW w:w="340" w:type="dxa"/>
            <w:vAlign w:val="bottom"/>
            <w:shd w:val="clear" w:color="auto" w:fill="BFE4FF"/>
          </w:tcPr>
          <w:p>
            <w:pPr>
              <w:spacing w:after="0"/>
              <w:rPr>
                <w:sz w:val="14"/>
                <w:szCs w:val="14"/>
                <w:color w:val="auto"/>
              </w:rPr>
            </w:pPr>
          </w:p>
        </w:tc>
        <w:tc>
          <w:tcPr>
            <w:tcW w:w="9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51,383</w:t>
            </w:r>
          </w:p>
        </w:tc>
        <w:tc>
          <w:tcPr>
            <w:tcW w:w="12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9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2021</w:t>
            </w:r>
          </w:p>
        </w:tc>
        <w:tc>
          <w:tcPr>
            <w:tcW w:w="340" w:type="dxa"/>
            <w:vAlign w:val="bottom"/>
            <w:shd w:val="clear" w:color="auto" w:fill="BFE4FF"/>
          </w:tcPr>
          <w:p>
            <w:pPr>
              <w:spacing w:after="0"/>
              <w:rPr>
                <w:sz w:val="18"/>
                <w:szCs w:val="18"/>
                <w:color w:val="auto"/>
              </w:rPr>
            </w:pPr>
          </w:p>
        </w:tc>
        <w:tc>
          <w:tcPr>
            <w:tcW w:w="90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92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600" w:type="dxa"/>
            <w:vAlign w:val="bottom"/>
          </w:tcPr>
          <w:p>
            <w:pPr>
              <w:ind w:left="140"/>
              <w:spacing w:after="0" w:line="166" w:lineRule="exact"/>
              <w:rPr>
                <w:sz w:val="20"/>
                <w:szCs w:val="20"/>
                <w:color w:val="auto"/>
              </w:rPr>
            </w:pPr>
            <w:r>
              <w:rPr>
                <w:rFonts w:ascii="Arial" w:cs="Arial" w:eastAsia="Arial" w:hAnsi="Arial"/>
                <w:sz w:val="16"/>
                <w:szCs w:val="16"/>
                <w:color w:val="auto"/>
                <w:w w:val="92"/>
              </w:rPr>
              <w:t>Series B convertible preferred stock - $0.01 par value per share, 100 shares authorized, issued and outstanding at December 31,</w:t>
            </w:r>
          </w:p>
        </w:tc>
        <w:tc>
          <w:tcPr>
            <w:tcW w:w="3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105,086</w:t>
            </w:r>
          </w:p>
        </w:tc>
        <w:tc>
          <w:tcPr>
            <w:tcW w:w="0" w:type="dxa"/>
            <w:vAlign w:val="bottom"/>
          </w:tcPr>
          <w:p>
            <w:pPr>
              <w:spacing w:after="0"/>
              <w:rPr>
                <w:sz w:val="1"/>
                <w:szCs w:val="1"/>
                <w:color w:val="auto"/>
              </w:rPr>
            </w:pPr>
          </w:p>
        </w:tc>
      </w:tr>
      <w:tr>
        <w:trPr>
          <w:trHeight w:val="209"/>
        </w:trPr>
        <w:tc>
          <w:tcPr>
            <w:tcW w:w="8600" w:type="dxa"/>
            <w:vAlign w:val="bottom"/>
          </w:tcPr>
          <w:p>
            <w:pPr>
              <w:ind w:left="140"/>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600" w:type="dxa"/>
            <w:vAlign w:val="bottom"/>
          </w:tcPr>
          <w:p>
            <w:pPr>
              <w:ind w:left="360"/>
              <w:spacing w:after="0" w:line="166" w:lineRule="exact"/>
              <w:rPr>
                <w:sz w:val="20"/>
                <w:szCs w:val="20"/>
                <w:color w:val="auto"/>
              </w:rPr>
            </w:pPr>
            <w:r>
              <w:rPr>
                <w:rFonts w:ascii="Arial" w:cs="Arial" w:eastAsia="Arial" w:hAnsi="Arial"/>
                <w:sz w:val="16"/>
                <w:szCs w:val="16"/>
                <w:color w:val="auto"/>
                <w:w w:val="94"/>
              </w:rPr>
              <w:t>Common stock - $0.01 par value per share, 90,000 shares authorized, 42,686 and 43,034 shares issued and outstanding at</w:t>
            </w:r>
          </w:p>
        </w:tc>
        <w:tc>
          <w:tcPr>
            <w:tcW w:w="3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9"/>
        </w:trPr>
        <w:tc>
          <w:tcPr>
            <w:tcW w:w="8600" w:type="dxa"/>
            <w:vAlign w:val="bottom"/>
          </w:tcPr>
          <w:p>
            <w:pPr>
              <w:ind w:left="360"/>
              <w:spacing w:after="0"/>
              <w:rPr>
                <w:sz w:val="20"/>
                <w:szCs w:val="20"/>
                <w:color w:val="auto"/>
              </w:rPr>
            </w:pPr>
            <w:r>
              <w:rPr>
                <w:rFonts w:ascii="Arial" w:cs="Arial" w:eastAsia="Arial" w:hAnsi="Arial"/>
                <w:sz w:val="16"/>
                <w:szCs w:val="16"/>
                <w:color w:val="auto"/>
              </w:rPr>
              <w:t>December 31, 2020, and September 30, 2021, respectively</w:t>
            </w:r>
          </w:p>
        </w:tc>
        <w:tc>
          <w:tcPr>
            <w:tcW w:w="3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476,540</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493,332</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Accumulated deficit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(219,556)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(205,875)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(32,585)</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(33,732)</w:t>
            </w:r>
          </w:p>
        </w:tc>
        <w:tc>
          <w:tcPr>
            <w:tcW w:w="0" w:type="dxa"/>
            <w:vAlign w:val="bottom"/>
          </w:tcPr>
          <w:p>
            <w:pPr>
              <w:spacing w:after="0"/>
              <w:rPr>
                <w:sz w:val="1"/>
                <w:szCs w:val="1"/>
                <w:color w:val="auto"/>
              </w:rPr>
            </w:pPr>
          </w:p>
        </w:tc>
      </w:tr>
      <w:tr>
        <w:trPr>
          <w:trHeight w:val="206"/>
        </w:trPr>
        <w:tc>
          <w:tcPr>
            <w:tcW w:w="8600" w:type="dxa"/>
            <w:vAlign w:val="bottom"/>
            <w:tcBorders>
              <w:bottom w:val="single" w:sz="8" w:color="BFE4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224,829</w:t>
            </w:r>
          </w:p>
        </w:tc>
        <w:tc>
          <w:tcPr>
            <w:tcW w:w="120" w:type="dxa"/>
            <w:vAlign w:val="bottom"/>
            <w:tcBorders>
              <w:bottom w:val="single" w:sz="8" w:color="BFE4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254,152</w:t>
            </w:r>
          </w:p>
        </w:tc>
        <w:tc>
          <w:tcPr>
            <w:tcW w:w="0" w:type="dxa"/>
            <w:vAlign w:val="bottom"/>
          </w:tcPr>
          <w:p>
            <w:pPr>
              <w:spacing w:after="0"/>
              <w:rPr>
                <w:sz w:val="1"/>
                <w:szCs w:val="1"/>
                <w:color w:val="auto"/>
              </w:rPr>
            </w:pPr>
          </w:p>
        </w:tc>
      </w:tr>
      <w:tr>
        <w:trPr>
          <w:trHeight w:val="235"/>
        </w:trPr>
        <w:tc>
          <w:tcPr>
            <w:tcW w:w="8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Total liabilities, preferred stock, and stockholders’ equity</w:t>
            </w:r>
          </w:p>
        </w:tc>
        <w:tc>
          <w:tcPr>
            <w:tcW w:w="34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594,706</w:t>
            </w:r>
          </w:p>
        </w:tc>
        <w:tc>
          <w:tcPr>
            <w:tcW w:w="120" w:type="dxa"/>
            <w:vAlign w:val="bottom"/>
            <w:tcBorders>
              <w:bottom w:val="single" w:sz="8" w:color="BFE4FF"/>
            </w:tcBorders>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jc w:val="right"/>
              <w:ind w:right="1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624,962</w:t>
            </w:r>
          </w:p>
        </w:tc>
        <w:tc>
          <w:tcPr>
            <w:tcW w:w="0" w:type="dxa"/>
            <w:vAlign w:val="bottom"/>
          </w:tcPr>
          <w:p>
            <w:pPr>
              <w:spacing w:after="0"/>
              <w:rPr>
                <w:sz w:val="1"/>
                <w:szCs w:val="1"/>
                <w:color w:val="auto"/>
              </w:rPr>
            </w:pPr>
          </w:p>
        </w:tc>
      </w:tr>
      <w:tr>
        <w:trPr>
          <w:trHeight w:val="20"/>
        </w:trPr>
        <w:tc>
          <w:tcPr>
            <w:tcW w:w="86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4"/>
          </w:tcPr>
          <w:p>
            <w:pPr>
              <w:jc w:val="right"/>
              <w:ind w:right="739"/>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8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4"/>
        </w:trPr>
        <w:tc>
          <w:tcPr>
            <w:tcW w:w="838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BFE4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r>
      <w:tr>
        <w:trPr>
          <w:trHeight w:val="197"/>
        </w:trPr>
        <w:tc>
          <w:tcPr>
            <w:tcW w:w="83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BFE4FF"/>
          </w:tcPr>
          <w:p>
            <w:pPr>
              <w:spacing w:after="0"/>
              <w:rPr>
                <w:sz w:val="17"/>
                <w:szCs w:val="17"/>
                <w:color w:val="auto"/>
              </w:rPr>
            </w:pPr>
          </w:p>
        </w:tc>
        <w:tc>
          <w:tcPr>
            <w:tcW w:w="104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460" w:type="dxa"/>
            <w:vAlign w:val="bottom"/>
            <w:shd w:val="clear" w:color="auto" w:fill="BFE4FF"/>
          </w:tcPr>
          <w:p>
            <w:pPr>
              <w:spacing w:after="0"/>
              <w:rPr>
                <w:sz w:val="17"/>
                <w:szCs w:val="17"/>
                <w:color w:val="auto"/>
              </w:rPr>
            </w:pPr>
          </w:p>
        </w:tc>
        <w:tc>
          <w:tcPr>
            <w:tcW w:w="900" w:type="dxa"/>
            <w:vAlign w:val="bottom"/>
            <w:shd w:val="clear" w:color="auto" w:fill="BFE4FF"/>
          </w:tcPr>
          <w:p>
            <w:pPr>
              <w:spacing w:after="0"/>
              <w:rPr>
                <w:sz w:val="17"/>
                <w:szCs w:val="17"/>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(13,681)</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(247,969)</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Depreciation and amortization of continuing operations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34,860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34,119</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Depreciation and amortization of discontinued operations</w:t>
            </w:r>
          </w:p>
        </w:tc>
        <w:tc>
          <w:tcPr>
            <w:tcW w:w="320" w:type="dxa"/>
            <w:vAlign w:val="bottom"/>
            <w:shd w:val="clear" w:color="auto" w:fill="BFE4FF"/>
          </w:tcPr>
          <w:p>
            <w:pPr>
              <w:spacing w:after="0"/>
              <w:rPr>
                <w:sz w:val="19"/>
                <w:szCs w:val="19"/>
                <w:color w:val="auto"/>
              </w:rPr>
            </w:pPr>
          </w:p>
        </w:tc>
        <w:tc>
          <w:tcPr>
            <w:tcW w:w="118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35,731</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Amortization of debt issuance costs and discount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4,981</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Goodwill impairment of continuing operations</w:t>
            </w:r>
          </w:p>
        </w:tc>
        <w:tc>
          <w:tcPr>
            <w:tcW w:w="320" w:type="dxa"/>
            <w:vAlign w:val="bottom"/>
            <w:shd w:val="clear" w:color="auto" w:fill="BFE4FF"/>
          </w:tcPr>
          <w:p>
            <w:pPr>
              <w:spacing w:after="0"/>
              <w:rPr>
                <w:sz w:val="19"/>
                <w:szCs w:val="19"/>
                <w:color w:val="auto"/>
              </w:rPr>
            </w:pPr>
          </w:p>
        </w:tc>
        <w:tc>
          <w:tcPr>
            <w:tcW w:w="118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92,942</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Goodwill impairment of discontinued operations</w:t>
            </w:r>
          </w:p>
        </w:tc>
        <w:tc>
          <w:tcPr>
            <w:tcW w:w="3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146,757</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2,390</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1,532</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Total derivative loss, net of cash settlements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Share of net income from joint venture</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(3,456)</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(1,792)</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Compensation expense from issuance of share-based awards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3,565</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(3,720)</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(61,889)</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(1,516)</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r>
      <w:tr>
        <w:trPr>
          <w:trHeight w:val="213"/>
        </w:trPr>
        <w:tc>
          <w:tcPr>
            <w:tcW w:w="8380" w:type="dxa"/>
            <w:vAlign w:val="bottom"/>
          </w:tcPr>
          <w:p>
            <w:pPr>
              <w:ind w:left="88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4,894</w:t>
            </w: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(13,252)</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4,149</w:t>
            </w:r>
          </w:p>
        </w:tc>
      </w:tr>
      <w:tr>
        <w:trPr>
          <w:trHeight w:val="213"/>
        </w:trPr>
        <w:tc>
          <w:tcPr>
            <w:tcW w:w="8380" w:type="dxa"/>
            <w:vAlign w:val="bottom"/>
          </w:tcPr>
          <w:p>
            <w:pPr>
              <w:ind w:left="88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7,982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(1,702)</w:t>
            </w: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Income taxes receivable and payable, net</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(5,171)</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(10,753)</w:t>
            </w:r>
          </w:p>
        </w:tc>
      </w:tr>
      <w:tr>
        <w:trPr>
          <w:trHeight w:val="213"/>
        </w:trPr>
        <w:tc>
          <w:tcPr>
            <w:tcW w:w="8380" w:type="dxa"/>
            <w:vAlign w:val="bottom"/>
            <w:tcBorders>
              <w:bottom w:val="single" w:sz="8" w:color="BFE4FF"/>
            </w:tcBorders>
          </w:tcPr>
          <w:p>
            <w:pPr>
              <w:ind w:left="8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(5,942)</w:t>
            </w:r>
          </w:p>
        </w:tc>
        <w:tc>
          <w:tcPr>
            <w:tcW w:w="14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16,295</w:t>
            </w:r>
          </w:p>
        </w:tc>
      </w:tr>
      <w:tr>
        <w:trPr>
          <w:trHeight w:val="212"/>
        </w:trPr>
        <w:tc>
          <w:tcPr>
            <w:tcW w:w="8380" w:type="dxa"/>
            <w:vAlign w:val="bottom"/>
            <w:shd w:val="clear" w:color="auto" w:fill="BFE4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BFE4FF"/>
          </w:tcPr>
          <w:p>
            <w:pPr>
              <w:spacing w:after="0"/>
              <w:rPr>
                <w:sz w:val="18"/>
                <w:szCs w:val="18"/>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5,691</w:t>
            </w:r>
          </w:p>
        </w:tc>
        <w:tc>
          <w:tcPr>
            <w:tcW w:w="140" w:type="dxa"/>
            <w:vAlign w:val="bottom"/>
            <w:shd w:val="clear" w:color="auto" w:fill="BFE4FF"/>
          </w:tcPr>
          <w:p>
            <w:pPr>
              <w:spacing w:after="0"/>
              <w:rPr>
                <w:sz w:val="18"/>
                <w:szCs w:val="18"/>
                <w:color w:val="auto"/>
              </w:rPr>
            </w:pPr>
          </w:p>
        </w:tc>
        <w:tc>
          <w:tcPr>
            <w:tcW w:w="460" w:type="dxa"/>
            <w:vAlign w:val="bottom"/>
            <w:tcBorders>
              <w:bottom w:val="single" w:sz="8" w:color="auto"/>
            </w:tcBorders>
            <w:shd w:val="clear" w:color="auto" w:fill="BFE4FF"/>
          </w:tcPr>
          <w:p>
            <w:pPr>
              <w:spacing w:after="0"/>
              <w:rPr>
                <w:sz w:val="18"/>
                <w:szCs w:val="18"/>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19,344</w:t>
            </w:r>
          </w:p>
        </w:tc>
      </w:tr>
      <w:tr>
        <w:trPr>
          <w:trHeight w:val="193"/>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Acquisition of property, plant and equipment</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(14,556)</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(20,518)</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3,153</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Cash paid for post-closing adjustments on sale of business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(3,880)</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Cash settlements of interest rate swap</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(15,420)</w:t>
            </w:r>
          </w:p>
        </w:tc>
        <w:tc>
          <w:tcPr>
            <w:tcW w:w="14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80" w:type="dxa"/>
            <w:vAlign w:val="bottom"/>
            <w:shd w:val="clear" w:color="auto" w:fill="BFE4FF"/>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BFE4FF"/>
          </w:tcPr>
          <w:p>
            <w:pPr>
              <w:spacing w:after="0"/>
              <w:rPr>
                <w:sz w:val="18"/>
                <w:szCs w:val="18"/>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(28,799)</w:t>
            </w:r>
          </w:p>
        </w:tc>
        <w:tc>
          <w:tcPr>
            <w:tcW w:w="140" w:type="dxa"/>
            <w:vAlign w:val="bottom"/>
            <w:shd w:val="clear" w:color="auto" w:fill="BFE4FF"/>
          </w:tcPr>
          <w:p>
            <w:pPr>
              <w:spacing w:after="0"/>
              <w:rPr>
                <w:sz w:val="18"/>
                <w:szCs w:val="18"/>
                <w:color w:val="auto"/>
              </w:rPr>
            </w:pPr>
          </w:p>
        </w:tc>
        <w:tc>
          <w:tcPr>
            <w:tcW w:w="460" w:type="dxa"/>
            <w:vAlign w:val="bottom"/>
            <w:tcBorders>
              <w:bottom w:val="single" w:sz="8" w:color="auto"/>
            </w:tcBorders>
            <w:shd w:val="clear" w:color="auto" w:fill="BFE4FF"/>
          </w:tcPr>
          <w:p>
            <w:pPr>
              <w:spacing w:after="0"/>
              <w:rPr>
                <w:sz w:val="18"/>
                <w:szCs w:val="18"/>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(17,365)</w:t>
            </w:r>
          </w:p>
        </w:tc>
      </w:tr>
      <w:tr>
        <w:trPr>
          <w:trHeight w:val="193"/>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Cash paid for debt issuance costs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(7,360)</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(661)</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Proceeds from issuance of preferred stock</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61,793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Redemption of preferred stock</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(122,434)</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Proceeds from long-term debt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166,000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64,716</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Repayments of long-term debt</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(88,058)</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(17,123)</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Repayments of short-term debt,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BFE4FF"/>
          </w:tcPr>
          <w:p>
            <w:pPr>
              <w:spacing w:after="0"/>
              <w:rPr>
                <w:sz w:val="19"/>
                <w:szCs w:val="19"/>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(3,859)</w:t>
            </w:r>
          </w:p>
        </w:tc>
        <w:tc>
          <w:tcPr>
            <w:tcW w:w="14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(2,142)</w:t>
            </w:r>
          </w:p>
        </w:tc>
      </w:tr>
      <w:tr>
        <w:trPr>
          <w:trHeight w:val="206"/>
        </w:trPr>
        <w:tc>
          <w:tcPr>
            <w:tcW w:w="8380" w:type="dxa"/>
            <w:vAlign w:val="bottom"/>
            <w:tcBorders>
              <w:bottom w:val="single" w:sz="8" w:color="BFE4FF"/>
            </w:tcBorders>
          </w:tcPr>
          <w:p>
            <w:pPr>
              <w:ind w:left="11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w:t>
            </w:r>
          </w:p>
        </w:tc>
        <w:tc>
          <w:tcPr>
            <w:tcW w:w="140" w:type="dxa"/>
            <w:vAlign w:val="bottom"/>
            <w:tcBorders>
              <w:bottom w:val="single" w:sz="8" w:color="BFE4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43,941</w:t>
            </w:r>
          </w:p>
        </w:tc>
      </w:tr>
      <w:tr>
        <w:trPr>
          <w:trHeight w:val="213"/>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Effect of exchange rate changes on cash flows</w:t>
            </w:r>
          </w:p>
        </w:tc>
        <w:tc>
          <w:tcPr>
            <w:tcW w:w="320" w:type="dxa"/>
            <w:vAlign w:val="bottom"/>
            <w:shd w:val="clear" w:color="auto" w:fill="BFE4FF"/>
          </w:tcPr>
          <w:p>
            <w:pPr>
              <w:spacing w:after="0"/>
              <w:rPr>
                <w:sz w:val="18"/>
                <w:szCs w:val="18"/>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(1,058)</w:t>
            </w:r>
          </w:p>
        </w:tc>
        <w:tc>
          <w:tcPr>
            <w:tcW w:w="14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(5,506)</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(19,647)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40,414</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Cash and cash equivalents at beginning of period (1)</w:t>
            </w:r>
          </w:p>
        </w:tc>
        <w:tc>
          <w:tcPr>
            <w:tcW w:w="320" w:type="dxa"/>
            <w:vAlign w:val="bottom"/>
            <w:tcBorders>
              <w:bottom w:val="single" w:sz="8" w:color="auto"/>
            </w:tcBorders>
            <w:shd w:val="clear" w:color="auto" w:fill="BFE4FF"/>
          </w:tcPr>
          <w:p>
            <w:pPr>
              <w:spacing w:after="0"/>
              <w:rPr>
                <w:sz w:val="19"/>
                <w:szCs w:val="19"/>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48,138</w:t>
            </w:r>
          </w:p>
        </w:tc>
        <w:tc>
          <w:tcPr>
            <w:tcW w:w="14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31,703</w:t>
            </w:r>
          </w:p>
        </w:tc>
      </w:tr>
      <w:tr>
        <w:trPr>
          <w:trHeight w:val="206"/>
        </w:trPr>
        <w:tc>
          <w:tcPr>
            <w:tcW w:w="8380" w:type="dxa"/>
            <w:vAlign w:val="bottom"/>
          </w:tcPr>
          <w:p>
            <w:pPr>
              <w:ind w:left="140"/>
              <w:spacing w:after="0"/>
              <w:rPr>
                <w:sz w:val="20"/>
                <w:szCs w:val="20"/>
                <w:color w:val="auto"/>
              </w:rPr>
            </w:pPr>
            <w:r>
              <w:rPr>
                <w:rFonts w:ascii="Arial" w:cs="Arial" w:eastAsia="Arial" w:hAnsi="Arial"/>
                <w:sz w:val="16"/>
                <w:szCs w:val="16"/>
                <w:color w:val="auto"/>
              </w:rPr>
              <w:t>Cash and cash equivalents at end of period (1)</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28,491</w:t>
            </w:r>
          </w:p>
        </w:tc>
        <w:tc>
          <w:tcPr>
            <w:tcW w:w="14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72,117</w:t>
            </w:r>
          </w:p>
        </w:tc>
      </w:tr>
      <w:tr>
        <w:trPr>
          <w:trHeight w:val="24"/>
        </w:trPr>
        <w:tc>
          <w:tcPr>
            <w:tcW w:w="8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74" w:lineRule="exact"/>
        <w:rPr>
          <w:sz w:val="20"/>
          <w:szCs w:val="20"/>
          <w:color w:val="auto"/>
        </w:rPr>
      </w:pPr>
    </w:p>
    <w:p>
      <w:pPr>
        <w:ind w:left="900" w:right="60" w:hanging="244"/>
        <w:spacing w:after="0" w:line="258" w:lineRule="auto"/>
        <w:tabs>
          <w:tab w:leader="none" w:pos="873"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Cash and cash equivalents include $16.0 million and $13.8 million of cash and cash equivalents that were included in current assets of discontinued operations as of September 30, 2020, and December 31, 2019, respectively.</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Reconciliation of GAAP Income (Loss) from Operations to Non-GAAP Adjusted Income (Loss) from Operations</w:t>
      </w:r>
    </w:p>
    <w:p>
      <w:pPr>
        <w:spacing w:after="0" w:line="200" w:lineRule="exact"/>
        <w:rPr>
          <w:sz w:val="20"/>
          <w:szCs w:val="20"/>
          <w:color w:val="auto"/>
        </w:rPr>
      </w:pPr>
    </w:p>
    <w:p>
      <w:pPr>
        <w:spacing w:after="0" w:line="331"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2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$000s</w:t>
            </w:r>
          </w:p>
        </w:tc>
        <w:tc>
          <w:tcPr>
            <w:tcW w:w="120" w:type="dxa"/>
            <w:vAlign w:val="bottom"/>
          </w:tcPr>
          <w:p>
            <w:pPr>
              <w:spacing w:after="0"/>
              <w:rPr>
                <w:sz w:val="16"/>
                <w:szCs w:val="16"/>
                <w:color w:val="auto"/>
              </w:rPr>
            </w:pPr>
          </w:p>
        </w:tc>
        <w:tc>
          <w:tcPr>
            <w:tcW w:w="2440" w:type="dxa"/>
            <w:vAlign w:val="bottom"/>
            <w:gridSpan w:val="4"/>
          </w:tcPr>
          <w:p>
            <w:pPr>
              <w:jc w:val="right"/>
              <w:ind w:right="109"/>
              <w:spacing w:after="0"/>
              <w:rPr>
                <w:sz w:val="20"/>
                <w:szCs w:val="20"/>
                <w:color w:val="auto"/>
              </w:rPr>
            </w:pPr>
            <w:r>
              <w:rPr>
                <w:rFonts w:ascii="Arial" w:cs="Arial" w:eastAsia="Arial" w:hAnsi="Arial"/>
                <w:sz w:val="14"/>
                <w:szCs w:val="14"/>
                <w:b w:val="1"/>
                <w:bCs w:val="1"/>
                <w:color w:val="auto"/>
                <w:w w:val="94"/>
              </w:rPr>
              <w:t>Three Months Ended September 30,</w:t>
            </w:r>
          </w:p>
        </w:tc>
        <w:tc>
          <w:tcPr>
            <w:tcW w:w="60" w:type="dxa"/>
            <w:vAlign w:val="bottom"/>
          </w:tcPr>
          <w:p>
            <w:pPr>
              <w:spacing w:after="0"/>
              <w:rPr>
                <w:sz w:val="16"/>
                <w:szCs w:val="16"/>
                <w:color w:val="auto"/>
              </w:rPr>
            </w:pPr>
          </w:p>
        </w:tc>
        <w:tc>
          <w:tcPr>
            <w:tcW w:w="2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$000s</w:t>
            </w:r>
          </w:p>
        </w:tc>
        <w:tc>
          <w:tcPr>
            <w:tcW w:w="120" w:type="dxa"/>
            <w:vAlign w:val="bottom"/>
          </w:tcPr>
          <w:p>
            <w:pPr>
              <w:spacing w:after="0"/>
              <w:rPr>
                <w:sz w:val="16"/>
                <w:szCs w:val="16"/>
                <w:color w:val="auto"/>
              </w:rPr>
            </w:pPr>
          </w:p>
        </w:tc>
        <w:tc>
          <w:tcPr>
            <w:tcW w:w="242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w w:val="94"/>
              </w:rPr>
              <w:t>Three Months Ended September 30,</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NN, Inc. Consolidated</w:t>
            </w:r>
          </w:p>
        </w:tc>
        <w:tc>
          <w:tcPr>
            <w:tcW w:w="120" w:type="dxa"/>
            <w:vAlign w:val="bottom"/>
          </w:tcPr>
          <w:p>
            <w:pPr>
              <w:spacing w:after="0"/>
              <w:rPr>
                <w:sz w:val="2"/>
                <w:szCs w:val="2"/>
                <w:color w:val="auto"/>
              </w:rPr>
            </w:pPr>
          </w:p>
        </w:tc>
        <w:tc>
          <w:tcPr>
            <w:tcW w:w="110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780" w:type="dxa"/>
            <w:vAlign w:val="bottom"/>
            <w:vMerge w:val="restart"/>
          </w:tcPr>
          <w:p>
            <w:pPr>
              <w:spacing w:after="0" w:line="155" w:lineRule="exact"/>
              <w:rPr>
                <w:sz w:val="20"/>
                <w:szCs w:val="20"/>
                <w:color w:val="auto"/>
              </w:rPr>
            </w:pPr>
            <w:r>
              <w:rPr>
                <w:rFonts w:ascii="Arial" w:cs="Arial" w:eastAsia="Arial" w:hAnsi="Arial"/>
                <w:sz w:val="14"/>
                <w:szCs w:val="14"/>
                <w:b w:val="1"/>
                <w:bCs w:val="1"/>
                <w:color w:val="auto"/>
              </w:rPr>
              <w:t>Mobile Solutions</w:t>
            </w:r>
          </w:p>
        </w:tc>
        <w:tc>
          <w:tcPr>
            <w:tcW w:w="120" w:type="dxa"/>
            <w:vAlign w:val="bottom"/>
          </w:tcPr>
          <w:p>
            <w:pPr>
              <w:spacing w:after="0"/>
              <w:rPr>
                <w:sz w:val="11"/>
                <w:szCs w:val="11"/>
                <w:color w:val="auto"/>
              </w:rPr>
            </w:pPr>
          </w:p>
        </w:tc>
        <w:tc>
          <w:tcPr>
            <w:tcW w:w="1080" w:type="dxa"/>
            <w:vAlign w:val="bottom"/>
            <w:vMerge w:val="restart"/>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80"/>
        </w:trPr>
        <w:tc>
          <w:tcPr>
            <w:tcW w:w="2780" w:type="dxa"/>
            <w:vAlign w:val="bottom"/>
            <w:tcBorders>
              <w:bottom w:val="single" w:sz="8" w:color="BFE4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780" w:type="dxa"/>
            <w:vAlign w:val="bottom"/>
            <w:tcBorders>
              <w:top w:val="single" w:sz="8" w:color="BFE4FF"/>
            </w:tcBorders>
            <w:shd w:val="clear" w:color="auto" w:fill="BFE4FF"/>
          </w:tcPr>
          <w:p>
            <w:pPr>
              <w:ind w:left="20"/>
              <w:spacing w:after="0" w:line="117" w:lineRule="exact"/>
              <w:rPr>
                <w:sz w:val="20"/>
                <w:szCs w:val="20"/>
                <w:color w:val="auto"/>
              </w:rPr>
            </w:pPr>
            <w:r>
              <w:rPr>
                <w:rFonts w:ascii="Arial" w:cs="Arial" w:eastAsia="Arial" w:hAnsi="Arial"/>
                <w:sz w:val="13"/>
                <w:szCs w:val="13"/>
                <w:color w:val="auto"/>
              </w:rPr>
              <w:t>GAAP income (loss) from operations</w:t>
            </w:r>
          </w:p>
        </w:tc>
        <w:tc>
          <w:tcPr>
            <w:tcW w:w="120" w:type="dxa"/>
            <w:vAlign w:val="bottom"/>
            <w:tcBorders>
              <w:top w:val="single" w:sz="8" w:color="BFE4FF"/>
            </w:tcBorders>
            <w:shd w:val="clear" w:color="auto" w:fill="BFE4FF"/>
          </w:tcPr>
          <w:p>
            <w:pPr>
              <w:jc w:val="right"/>
              <w:spacing w:after="0" w:line="130"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BFE4FF"/>
            </w:tcBorders>
            <w:shd w:val="clear" w:color="auto" w:fill="BFE4FF"/>
          </w:tcPr>
          <w:p>
            <w:pPr>
              <w:jc w:val="right"/>
              <w:ind w:right="69"/>
              <w:spacing w:after="0" w:line="130" w:lineRule="exact"/>
              <w:rPr>
                <w:sz w:val="20"/>
                <w:szCs w:val="20"/>
                <w:color w:val="auto"/>
              </w:rPr>
            </w:pPr>
            <w:r>
              <w:rPr>
                <w:rFonts w:ascii="Arial" w:cs="Arial" w:eastAsia="Arial" w:hAnsi="Arial"/>
                <w:sz w:val="14"/>
                <w:szCs w:val="14"/>
                <w:color w:val="auto"/>
              </w:rPr>
              <w:t>(4,612)</w:t>
            </w:r>
          </w:p>
        </w:tc>
        <w:tc>
          <w:tcPr>
            <w:tcW w:w="100" w:type="dxa"/>
            <w:vAlign w:val="bottom"/>
            <w:tcBorders>
              <w:top w:val="single" w:sz="8" w:color="BFE4FF"/>
            </w:tcBorders>
            <w:shd w:val="clear" w:color="auto" w:fill="BFE4FF"/>
          </w:tcPr>
          <w:p>
            <w:pPr>
              <w:spacing w:after="0"/>
              <w:rPr>
                <w:sz w:val="15"/>
                <w:szCs w:val="15"/>
                <w:color w:val="auto"/>
              </w:rPr>
            </w:pPr>
          </w:p>
        </w:tc>
        <w:tc>
          <w:tcPr>
            <w:tcW w:w="300" w:type="dxa"/>
            <w:vAlign w:val="bottom"/>
            <w:tcBorders>
              <w:top w:val="single" w:sz="8" w:color="BFE4FF"/>
            </w:tcBorders>
            <w:shd w:val="clear" w:color="auto" w:fill="BFE4FF"/>
          </w:tcPr>
          <w:p>
            <w:pPr>
              <w:jc w:val="right"/>
              <w:ind w:right="130"/>
              <w:spacing w:after="0" w:line="130"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BFE4FF"/>
            </w:tcBorders>
            <w:shd w:val="clear" w:color="auto" w:fill="BFE4FF"/>
          </w:tcPr>
          <w:p>
            <w:pPr>
              <w:jc w:val="right"/>
              <w:ind w:right="69"/>
              <w:spacing w:after="0" w:line="130" w:lineRule="exact"/>
              <w:rPr>
                <w:sz w:val="20"/>
                <w:szCs w:val="20"/>
                <w:color w:val="auto"/>
              </w:rPr>
            </w:pPr>
            <w:r>
              <w:rPr>
                <w:rFonts w:ascii="Arial" w:cs="Arial" w:eastAsia="Arial" w:hAnsi="Arial"/>
                <w:sz w:val="14"/>
                <w:szCs w:val="14"/>
                <w:color w:val="auto"/>
              </w:rPr>
              <w:t>(1,456)</w:t>
            </w:r>
          </w:p>
        </w:tc>
        <w:tc>
          <w:tcPr>
            <w:tcW w:w="60" w:type="dxa"/>
            <w:vAlign w:val="bottom"/>
          </w:tcPr>
          <w:p>
            <w:pPr>
              <w:spacing w:after="0"/>
              <w:rPr>
                <w:sz w:val="15"/>
                <w:szCs w:val="15"/>
                <w:color w:val="auto"/>
              </w:rPr>
            </w:pPr>
          </w:p>
        </w:tc>
        <w:tc>
          <w:tcPr>
            <w:tcW w:w="2780" w:type="dxa"/>
            <w:vAlign w:val="bottom"/>
            <w:tcBorders>
              <w:top w:val="single" w:sz="8" w:color="BFE4FF"/>
              <w:bottom w:val="single" w:sz="8" w:color="BFE4FF"/>
            </w:tcBorders>
            <w:shd w:val="clear" w:color="auto" w:fill="BFE4FF"/>
          </w:tcPr>
          <w:p>
            <w:pPr>
              <w:spacing w:after="0" w:line="122" w:lineRule="exact"/>
              <w:rPr>
                <w:sz w:val="20"/>
                <w:szCs w:val="20"/>
                <w:color w:val="auto"/>
              </w:rPr>
            </w:pPr>
            <w:r>
              <w:rPr>
                <w:rFonts w:ascii="Arial" w:cs="Arial" w:eastAsia="Arial" w:hAnsi="Arial"/>
                <w:sz w:val="14"/>
                <w:szCs w:val="14"/>
                <w:color w:val="auto"/>
              </w:rPr>
              <w:t>GAAP income (loss) from operations</w:t>
            </w:r>
          </w:p>
        </w:tc>
        <w:tc>
          <w:tcPr>
            <w:tcW w:w="120" w:type="dxa"/>
            <w:vAlign w:val="bottom"/>
            <w:tcBorders>
              <w:top w:val="single" w:sz="8" w:color="auto"/>
              <w:bottom w:val="single" w:sz="8" w:color="BFE4FF"/>
            </w:tcBorders>
            <w:shd w:val="clear" w:color="auto" w:fill="BFE4FF"/>
          </w:tcPr>
          <w:p>
            <w:pPr>
              <w:jc w:val="right"/>
              <w:spacing w:after="0" w:line="129"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BFE4FF"/>
            </w:tcBorders>
            <w:shd w:val="clear" w:color="auto" w:fill="BFE4FF"/>
          </w:tcPr>
          <w:p>
            <w:pPr>
              <w:jc w:val="right"/>
              <w:ind w:right="68"/>
              <w:spacing w:after="0" w:line="129" w:lineRule="exact"/>
              <w:rPr>
                <w:sz w:val="20"/>
                <w:szCs w:val="20"/>
                <w:color w:val="auto"/>
              </w:rPr>
            </w:pPr>
            <w:r>
              <w:rPr>
                <w:rFonts w:ascii="Arial" w:cs="Arial" w:eastAsia="Arial" w:hAnsi="Arial"/>
                <w:sz w:val="14"/>
                <w:szCs w:val="14"/>
                <w:color w:val="auto"/>
              </w:rPr>
              <w:t>(257)</w:t>
            </w:r>
          </w:p>
        </w:tc>
        <w:tc>
          <w:tcPr>
            <w:tcW w:w="120" w:type="dxa"/>
            <w:vAlign w:val="bottom"/>
            <w:tcBorders>
              <w:top w:val="single" w:sz="8" w:color="BFE4FF"/>
              <w:bottom w:val="single" w:sz="8" w:color="BFE4FF"/>
            </w:tcBorders>
            <w:shd w:val="clear" w:color="auto" w:fill="BFE4FF"/>
          </w:tcPr>
          <w:p>
            <w:pPr>
              <w:spacing w:after="0"/>
              <w:rPr>
                <w:sz w:val="15"/>
                <w:szCs w:val="15"/>
                <w:color w:val="auto"/>
              </w:rPr>
            </w:pPr>
          </w:p>
        </w:tc>
        <w:tc>
          <w:tcPr>
            <w:tcW w:w="280" w:type="dxa"/>
            <w:vAlign w:val="bottom"/>
            <w:tcBorders>
              <w:top w:val="single" w:sz="8" w:color="auto"/>
              <w:bottom w:val="single" w:sz="8" w:color="BFE4FF"/>
            </w:tcBorders>
            <w:shd w:val="clear" w:color="auto" w:fill="BFE4FF"/>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BFE4FF"/>
            </w:tcBorders>
            <w:shd w:val="clear" w:color="auto" w:fill="BFE4FF"/>
          </w:tcPr>
          <w:p>
            <w:pPr>
              <w:jc w:val="right"/>
              <w:ind w:right="108"/>
              <w:spacing w:after="0" w:line="129" w:lineRule="exact"/>
              <w:rPr>
                <w:sz w:val="20"/>
                <w:szCs w:val="20"/>
                <w:color w:val="auto"/>
              </w:rPr>
            </w:pPr>
            <w:r>
              <w:rPr>
                <w:rFonts w:ascii="Arial" w:cs="Arial" w:eastAsia="Arial" w:hAnsi="Arial"/>
                <w:sz w:val="14"/>
                <w:szCs w:val="14"/>
                <w:color w:val="auto"/>
              </w:rPr>
              <w:t>4,954</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BFE4FF"/>
            </w:tcBorders>
          </w:tcPr>
          <w:p>
            <w:pPr>
              <w:ind w:left="20"/>
              <w:spacing w:after="0" w:line="137" w:lineRule="exact"/>
              <w:rPr>
                <w:sz w:val="20"/>
                <w:szCs w:val="20"/>
                <w:color w:val="auto"/>
              </w:rPr>
            </w:pPr>
            <w:r>
              <w:rPr>
                <w:rFonts w:ascii="Arial" w:cs="Arial" w:eastAsia="Arial" w:hAnsi="Arial"/>
                <w:sz w:val="14"/>
                <w:szCs w:val="14"/>
                <w:color w:val="auto"/>
              </w:rPr>
              <w:t>Acquisition and transition expense*</w:t>
            </w:r>
          </w:p>
        </w:tc>
        <w:tc>
          <w:tcPr>
            <w:tcW w:w="120" w:type="dxa"/>
            <w:vAlign w:val="bottom"/>
            <w:tcBorders>
              <w:bottom w:val="single" w:sz="8" w:color="BFE4FF"/>
            </w:tcBorders>
          </w:tcPr>
          <w:p>
            <w:pPr>
              <w:spacing w:after="0"/>
              <w:rPr>
                <w:sz w:val="17"/>
                <w:szCs w:val="17"/>
                <w:color w:val="auto"/>
              </w:rPr>
            </w:pPr>
          </w:p>
        </w:tc>
        <w:tc>
          <w:tcPr>
            <w:tcW w:w="1100" w:type="dxa"/>
            <w:vAlign w:val="bottom"/>
            <w:tcBorders>
              <w:bottom w:val="single" w:sz="8" w:color="BFE4FF"/>
            </w:tcBorders>
          </w:tcPr>
          <w:p>
            <w:pPr>
              <w:jc w:val="right"/>
              <w:ind w:right="109"/>
              <w:spacing w:after="0" w:line="150" w:lineRule="exact"/>
              <w:rPr>
                <w:sz w:val="20"/>
                <w:szCs w:val="20"/>
                <w:color w:val="auto"/>
              </w:rPr>
            </w:pPr>
            <w:r>
              <w:rPr>
                <w:rFonts w:ascii="Arial" w:cs="Arial" w:eastAsia="Arial" w:hAnsi="Arial"/>
                <w:sz w:val="14"/>
                <w:szCs w:val="14"/>
                <w:color w:val="auto"/>
              </w:rPr>
              <w:t>832</w:t>
            </w:r>
          </w:p>
        </w:tc>
        <w:tc>
          <w:tcPr>
            <w:tcW w:w="100" w:type="dxa"/>
            <w:vAlign w:val="bottom"/>
            <w:tcBorders>
              <w:bottom w:val="single" w:sz="8" w:color="BFE4FF"/>
            </w:tcBorders>
          </w:tcPr>
          <w:p>
            <w:pPr>
              <w:spacing w:after="0"/>
              <w:rPr>
                <w:sz w:val="17"/>
                <w:szCs w:val="17"/>
                <w:color w:val="auto"/>
              </w:rPr>
            </w:pPr>
          </w:p>
        </w:tc>
        <w:tc>
          <w:tcPr>
            <w:tcW w:w="300" w:type="dxa"/>
            <w:vAlign w:val="bottom"/>
            <w:tcBorders>
              <w:bottom w:val="single" w:sz="8" w:color="BFE4FF"/>
            </w:tcBorders>
          </w:tcPr>
          <w:p>
            <w:pPr>
              <w:spacing w:after="0"/>
              <w:rPr>
                <w:sz w:val="17"/>
                <w:szCs w:val="17"/>
                <w:color w:val="auto"/>
              </w:rPr>
            </w:pPr>
          </w:p>
        </w:tc>
        <w:tc>
          <w:tcPr>
            <w:tcW w:w="940" w:type="dxa"/>
            <w:vAlign w:val="bottom"/>
            <w:tcBorders>
              <w:bottom w:val="single" w:sz="8" w:color="BFE4FF"/>
            </w:tcBorders>
          </w:tcPr>
          <w:p>
            <w:pPr>
              <w:jc w:val="right"/>
              <w:ind w:right="109"/>
              <w:spacing w:after="0" w:line="150" w:lineRule="exact"/>
              <w:rPr>
                <w:sz w:val="20"/>
                <w:szCs w:val="20"/>
                <w:color w:val="auto"/>
              </w:rPr>
            </w:pPr>
            <w:r>
              <w:rPr>
                <w:rFonts w:ascii="Arial" w:cs="Arial" w:eastAsia="Arial" w:hAnsi="Arial"/>
                <w:sz w:val="14"/>
                <w:szCs w:val="14"/>
                <w:color w:val="auto"/>
              </w:rPr>
              <w:t>2,762</w:t>
            </w:r>
          </w:p>
        </w:tc>
        <w:tc>
          <w:tcPr>
            <w:tcW w:w="60" w:type="dxa"/>
            <w:vAlign w:val="bottom"/>
          </w:tcPr>
          <w:p>
            <w:pPr>
              <w:spacing w:after="0"/>
              <w:rPr>
                <w:sz w:val="17"/>
                <w:szCs w:val="17"/>
                <w:color w:val="auto"/>
              </w:rPr>
            </w:pPr>
          </w:p>
        </w:tc>
        <w:tc>
          <w:tcPr>
            <w:tcW w:w="2780" w:type="dxa"/>
            <w:vAlign w:val="bottom"/>
          </w:tcPr>
          <w:p>
            <w:pPr>
              <w:spacing w:after="0" w:line="142" w:lineRule="exact"/>
              <w:rPr>
                <w:sz w:val="20"/>
                <w:szCs w:val="20"/>
                <w:color w:val="auto"/>
              </w:rPr>
            </w:pPr>
            <w:r>
              <w:rPr>
                <w:rFonts w:ascii="Arial" w:cs="Arial" w:eastAsia="Arial" w:hAnsi="Arial"/>
                <w:sz w:val="14"/>
                <w:szCs w:val="14"/>
                <w:color w:val="auto"/>
              </w:rPr>
              <w:t>Acquisition and transition expense*</w:t>
            </w:r>
          </w:p>
        </w:tc>
        <w:tc>
          <w:tcPr>
            <w:tcW w:w="120" w:type="dxa"/>
            <w:vAlign w:val="bottom"/>
          </w:tcPr>
          <w:p>
            <w:pPr>
              <w:spacing w:after="0"/>
              <w:rPr>
                <w:sz w:val="17"/>
                <w:szCs w:val="17"/>
                <w:color w:val="auto"/>
              </w:rPr>
            </w:pPr>
          </w:p>
        </w:tc>
        <w:tc>
          <w:tcPr>
            <w:tcW w:w="108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404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16"/>
        </w:trPr>
        <w:tc>
          <w:tcPr>
            <w:tcW w:w="2780" w:type="dxa"/>
            <w:vAlign w:val="bottom"/>
            <w:shd w:val="clear" w:color="auto" w:fill="BFE4FF"/>
          </w:tcPr>
          <w:p>
            <w:pPr>
              <w:ind w:left="20"/>
              <w:spacing w:after="0" w:line="137" w:lineRule="exact"/>
              <w:rPr>
                <w:sz w:val="20"/>
                <w:szCs w:val="20"/>
                <w:color w:val="auto"/>
              </w:rPr>
            </w:pPr>
            <w:r>
              <w:rPr>
                <w:rFonts w:ascii="Arial" w:cs="Arial" w:eastAsia="Arial" w:hAnsi="Arial"/>
                <w:sz w:val="14"/>
                <w:szCs w:val="14"/>
                <w:color w:val="auto"/>
              </w:rPr>
              <w:t>Amortization of intangibles</w:t>
            </w:r>
          </w:p>
        </w:tc>
        <w:tc>
          <w:tcPr>
            <w:tcW w:w="120" w:type="dxa"/>
            <w:vAlign w:val="bottom"/>
            <w:tcBorders>
              <w:bottom w:val="single" w:sz="8" w:color="auto"/>
            </w:tcBorders>
            <w:shd w:val="clear" w:color="auto" w:fill="BFE4FF"/>
          </w:tcPr>
          <w:p>
            <w:pPr>
              <w:spacing w:after="0"/>
              <w:rPr>
                <w:sz w:val="18"/>
                <w:szCs w:val="18"/>
                <w:color w:val="auto"/>
              </w:rPr>
            </w:pPr>
          </w:p>
        </w:tc>
        <w:tc>
          <w:tcPr>
            <w:tcW w:w="1100" w:type="dxa"/>
            <w:vAlign w:val="bottom"/>
            <w:tcBorders>
              <w:bottom w:val="single" w:sz="8" w:color="auto"/>
            </w:tcBorders>
            <w:shd w:val="clear" w:color="auto" w:fill="BFE4FF"/>
          </w:tcPr>
          <w:p>
            <w:pPr>
              <w:jc w:val="right"/>
              <w:ind w:right="109"/>
              <w:spacing w:after="0" w:line="150" w:lineRule="exact"/>
              <w:rPr>
                <w:sz w:val="20"/>
                <w:szCs w:val="20"/>
                <w:color w:val="auto"/>
              </w:rPr>
            </w:pPr>
            <w:r>
              <w:rPr>
                <w:rFonts w:ascii="Arial" w:cs="Arial" w:eastAsia="Arial" w:hAnsi="Arial"/>
                <w:sz w:val="14"/>
                <w:szCs w:val="14"/>
                <w:color w:val="auto"/>
              </w:rPr>
              <w:t>3,586</w:t>
            </w:r>
          </w:p>
        </w:tc>
        <w:tc>
          <w:tcPr>
            <w:tcW w:w="100" w:type="dxa"/>
            <w:vAlign w:val="bottom"/>
            <w:shd w:val="clear" w:color="auto" w:fill="BFE4FF"/>
          </w:tcPr>
          <w:p>
            <w:pPr>
              <w:spacing w:after="0"/>
              <w:rPr>
                <w:sz w:val="18"/>
                <w:szCs w:val="18"/>
                <w:color w:val="auto"/>
              </w:rPr>
            </w:pPr>
          </w:p>
        </w:tc>
        <w:tc>
          <w:tcPr>
            <w:tcW w:w="300" w:type="dxa"/>
            <w:vAlign w:val="bottom"/>
            <w:tcBorders>
              <w:bottom w:val="single" w:sz="8" w:color="auto"/>
            </w:tcBorders>
            <w:shd w:val="clear" w:color="auto" w:fill="BFE4FF"/>
          </w:tcPr>
          <w:p>
            <w:pPr>
              <w:spacing w:after="0"/>
              <w:rPr>
                <w:sz w:val="18"/>
                <w:szCs w:val="18"/>
                <w:color w:val="auto"/>
              </w:rPr>
            </w:pPr>
          </w:p>
        </w:tc>
        <w:tc>
          <w:tcPr>
            <w:tcW w:w="940" w:type="dxa"/>
            <w:vAlign w:val="bottom"/>
            <w:tcBorders>
              <w:bottom w:val="single" w:sz="8" w:color="auto"/>
            </w:tcBorders>
            <w:shd w:val="clear" w:color="auto" w:fill="BFE4FF"/>
          </w:tcPr>
          <w:p>
            <w:pPr>
              <w:jc w:val="right"/>
              <w:ind w:right="109"/>
              <w:spacing w:after="0" w:line="150" w:lineRule="exact"/>
              <w:rPr>
                <w:sz w:val="20"/>
                <w:szCs w:val="20"/>
                <w:color w:val="auto"/>
              </w:rPr>
            </w:pPr>
            <w:r>
              <w:rPr>
                <w:rFonts w:ascii="Arial" w:cs="Arial" w:eastAsia="Arial" w:hAnsi="Arial"/>
                <w:sz w:val="14"/>
                <w:szCs w:val="14"/>
                <w:color w:val="auto"/>
              </w:rPr>
              <w:t>3,587</w:t>
            </w:r>
          </w:p>
        </w:tc>
        <w:tc>
          <w:tcPr>
            <w:tcW w:w="60" w:type="dxa"/>
            <w:vAlign w:val="bottom"/>
          </w:tcPr>
          <w:p>
            <w:pPr>
              <w:spacing w:after="0"/>
              <w:rPr>
                <w:sz w:val="18"/>
                <w:szCs w:val="18"/>
                <w:color w:val="auto"/>
              </w:rPr>
            </w:pPr>
          </w:p>
        </w:tc>
        <w:tc>
          <w:tcPr>
            <w:tcW w:w="2780" w:type="dxa"/>
            <w:vAlign w:val="bottom"/>
            <w:tcBorders>
              <w:bottom w:val="single" w:sz="8" w:color="BFE4FF"/>
            </w:tcBorders>
            <w:shd w:val="clear" w:color="auto" w:fill="BFE4FF"/>
          </w:tcPr>
          <w:p>
            <w:pPr>
              <w:spacing w:after="0" w:line="142" w:lineRule="exact"/>
              <w:rPr>
                <w:sz w:val="20"/>
                <w:szCs w:val="20"/>
                <w:color w:val="auto"/>
              </w:rPr>
            </w:pPr>
            <w:r>
              <w:rPr>
                <w:rFonts w:ascii="Arial" w:cs="Arial" w:eastAsia="Arial" w:hAnsi="Arial"/>
                <w:sz w:val="14"/>
                <w:szCs w:val="14"/>
                <w:color w:val="auto"/>
              </w:rPr>
              <w:t>Amortization of intangibles</w:t>
            </w:r>
          </w:p>
        </w:tc>
        <w:tc>
          <w:tcPr>
            <w:tcW w:w="120" w:type="dxa"/>
            <w:vAlign w:val="bottom"/>
            <w:tcBorders>
              <w:bottom w:val="single" w:sz="8" w:color="BFE4FF"/>
            </w:tcBorders>
            <w:shd w:val="clear" w:color="auto" w:fill="BFE4FF"/>
          </w:tcPr>
          <w:p>
            <w:pPr>
              <w:spacing w:after="0"/>
              <w:rPr>
                <w:sz w:val="18"/>
                <w:szCs w:val="18"/>
                <w:color w:val="auto"/>
              </w:rPr>
            </w:pPr>
          </w:p>
        </w:tc>
        <w:tc>
          <w:tcPr>
            <w:tcW w:w="1080" w:type="dxa"/>
            <w:vAlign w:val="bottom"/>
            <w:tcBorders>
              <w:bottom w:val="single" w:sz="8" w:color="BFE4FF"/>
            </w:tcBorders>
            <w:shd w:val="clear" w:color="auto" w:fill="BFE4FF"/>
          </w:tcPr>
          <w:p>
            <w:pPr>
              <w:jc w:val="right"/>
              <w:ind w:right="108"/>
              <w:spacing w:after="0" w:line="142" w:lineRule="exact"/>
              <w:rPr>
                <w:sz w:val="20"/>
                <w:szCs w:val="20"/>
                <w:color w:val="auto"/>
              </w:rPr>
            </w:pPr>
            <w:r>
              <w:rPr>
                <w:rFonts w:ascii="Arial" w:cs="Arial" w:eastAsia="Arial" w:hAnsi="Arial"/>
                <w:sz w:val="14"/>
                <w:szCs w:val="14"/>
                <w:color w:val="auto"/>
              </w:rPr>
              <w:t>838</w:t>
            </w:r>
          </w:p>
        </w:tc>
        <w:tc>
          <w:tcPr>
            <w:tcW w:w="120" w:type="dxa"/>
            <w:vAlign w:val="bottom"/>
            <w:tcBorders>
              <w:bottom w:val="single" w:sz="8" w:color="BFE4FF"/>
            </w:tcBorders>
            <w:shd w:val="clear" w:color="auto" w:fill="BFE4FF"/>
          </w:tcPr>
          <w:p>
            <w:pPr>
              <w:spacing w:after="0"/>
              <w:rPr>
                <w:sz w:val="18"/>
                <w:szCs w:val="18"/>
                <w:color w:val="auto"/>
              </w:rPr>
            </w:pPr>
          </w:p>
        </w:tc>
        <w:tc>
          <w:tcPr>
            <w:tcW w:w="280" w:type="dxa"/>
            <w:vAlign w:val="bottom"/>
            <w:tcBorders>
              <w:bottom w:val="single" w:sz="8" w:color="BFE4FF"/>
            </w:tcBorders>
            <w:shd w:val="clear" w:color="auto" w:fill="BFE4FF"/>
          </w:tcPr>
          <w:p>
            <w:pPr>
              <w:spacing w:after="0"/>
              <w:rPr>
                <w:sz w:val="18"/>
                <w:szCs w:val="18"/>
                <w:color w:val="auto"/>
              </w:rPr>
            </w:pPr>
          </w:p>
        </w:tc>
        <w:tc>
          <w:tcPr>
            <w:tcW w:w="940" w:type="dxa"/>
            <w:vAlign w:val="bottom"/>
            <w:tcBorders>
              <w:bottom w:val="single" w:sz="8" w:color="BFE4FF"/>
            </w:tcBorders>
            <w:shd w:val="clear" w:color="auto" w:fill="BFE4FF"/>
          </w:tcPr>
          <w:p>
            <w:pPr>
              <w:jc w:val="right"/>
              <w:ind w:right="108"/>
              <w:spacing w:after="0" w:line="142" w:lineRule="exact"/>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96"/>
        </w:trPr>
        <w:tc>
          <w:tcPr>
            <w:tcW w:w="2780" w:type="dxa"/>
            <w:vAlign w:val="bottom"/>
          </w:tcPr>
          <w:p>
            <w:pPr>
              <w:ind w:left="20"/>
              <w:spacing w:after="0" w:line="96" w:lineRule="exact"/>
              <w:rPr>
                <w:sz w:val="20"/>
                <w:szCs w:val="20"/>
                <w:color w:val="auto"/>
              </w:rPr>
            </w:pPr>
            <w:r>
              <w:rPr>
                <w:rFonts w:ascii="Arial" w:cs="Arial" w:eastAsia="Arial" w:hAnsi="Arial"/>
                <w:sz w:val="11"/>
                <w:szCs w:val="11"/>
                <w:color w:val="auto"/>
              </w:rPr>
              <w:t>Non-GAAP adjusted income (loss) from</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ind w:right="69"/>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8"/>
                <w:szCs w:val="8"/>
                <w:color w:val="auto"/>
              </w:rPr>
            </w:pPr>
          </w:p>
        </w:tc>
        <w:tc>
          <w:tcPr>
            <w:tcW w:w="30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09"/>
              <w:spacing w:after="0"/>
              <w:rPr>
                <w:sz w:val="20"/>
                <w:szCs w:val="20"/>
                <w:color w:val="auto"/>
              </w:rPr>
            </w:pPr>
            <w:r>
              <w:rPr>
                <w:rFonts w:ascii="Arial" w:cs="Arial" w:eastAsia="Arial" w:hAnsi="Arial"/>
                <w:sz w:val="14"/>
                <w:szCs w:val="14"/>
                <w:color w:val="auto"/>
              </w:rPr>
              <w:t>4,893</w:t>
            </w:r>
          </w:p>
        </w:tc>
        <w:tc>
          <w:tcPr>
            <w:tcW w:w="60" w:type="dxa"/>
            <w:vAlign w:val="bottom"/>
          </w:tcPr>
          <w:p>
            <w:pPr>
              <w:spacing w:after="0"/>
              <w:rPr>
                <w:sz w:val="8"/>
                <w:szCs w:val="8"/>
                <w:color w:val="auto"/>
              </w:rPr>
            </w:pPr>
          </w:p>
        </w:tc>
        <w:tc>
          <w:tcPr>
            <w:tcW w:w="2780" w:type="dxa"/>
            <w:vAlign w:val="bottom"/>
            <w:vMerge w:val="restart"/>
          </w:tcPr>
          <w:p>
            <w:pPr>
              <w:spacing w:after="0" w:line="151" w:lineRule="exact"/>
              <w:rPr>
                <w:sz w:val="20"/>
                <w:szCs w:val="20"/>
                <w:color w:val="auto"/>
              </w:rPr>
            </w:pPr>
            <w:r>
              <w:rPr>
                <w:rFonts w:ascii="Arial" w:cs="Arial" w:eastAsia="Arial" w:hAnsi="Arial"/>
                <w:sz w:val="14"/>
                <w:szCs w:val="14"/>
                <w:color w:val="auto"/>
              </w:rPr>
              <w:t>Non-GAAP adjusted income (loss) from</w:t>
            </w:r>
          </w:p>
        </w:tc>
        <w:tc>
          <w:tcPr>
            <w:tcW w:w="1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780" w:type="dxa"/>
            <w:vAlign w:val="bottom"/>
            <w:vMerge w:val="restart"/>
          </w:tcPr>
          <w:p>
            <w:pPr>
              <w:ind w:left="20"/>
              <w:spacing w:after="0"/>
              <w:rPr>
                <w:sz w:val="20"/>
                <w:szCs w:val="20"/>
                <w:color w:val="auto"/>
              </w:rPr>
            </w:pPr>
            <w:r>
              <w:rPr>
                <w:rFonts w:ascii="Arial" w:cs="Arial" w:eastAsia="Arial" w:hAnsi="Arial"/>
                <w:sz w:val="14"/>
                <w:szCs w:val="14"/>
                <w:color w:val="auto"/>
              </w:rPr>
              <w:t>operations (a)</w:t>
            </w:r>
          </w:p>
        </w:tc>
        <w:tc>
          <w:tcPr>
            <w:tcW w:w="1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7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780" w:type="dxa"/>
            <w:vAlign w:val="bottom"/>
            <w:vMerge w:val="continue"/>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780" w:type="dxa"/>
            <w:vAlign w:val="bottom"/>
            <w:vMerge w:val="restart"/>
          </w:tcPr>
          <w:p>
            <w:pPr>
              <w:spacing w:after="0" w:line="134" w:lineRule="exact"/>
              <w:rPr>
                <w:sz w:val="20"/>
                <w:szCs w:val="20"/>
                <w:color w:val="auto"/>
              </w:rPr>
            </w:pPr>
            <w:r>
              <w:rPr>
                <w:rFonts w:ascii="Arial" w:cs="Arial" w:eastAsia="Arial" w:hAnsi="Arial"/>
                <w:sz w:val="14"/>
                <w:szCs w:val="14"/>
                <w:color w:val="auto"/>
              </w:rPr>
              <w:t>operations (a)</w:t>
            </w:r>
          </w:p>
        </w:tc>
        <w:tc>
          <w:tcPr>
            <w:tcW w:w="120" w:type="dxa"/>
            <w:vAlign w:val="bottom"/>
          </w:tcPr>
          <w:p>
            <w:pPr>
              <w:spacing w:after="0"/>
              <w:rPr>
                <w:sz w:val="11"/>
                <w:szCs w:val="11"/>
                <w:color w:val="auto"/>
              </w:rPr>
            </w:pPr>
          </w:p>
        </w:tc>
        <w:tc>
          <w:tcPr>
            <w:tcW w:w="1080" w:type="dxa"/>
            <w:vAlign w:val="bottom"/>
            <w:vMerge w:val="restart"/>
          </w:tcPr>
          <w:p>
            <w:pPr>
              <w:jc w:val="right"/>
              <w:ind w:right="108"/>
              <w:spacing w:after="0" w:line="134" w:lineRule="exact"/>
              <w:rPr>
                <w:sz w:val="20"/>
                <w:szCs w:val="20"/>
                <w:color w:val="auto"/>
              </w:rPr>
            </w:pPr>
            <w:r>
              <w:rPr>
                <w:rFonts w:ascii="Arial" w:cs="Arial" w:eastAsia="Arial" w:hAnsi="Arial"/>
                <w:sz w:val="14"/>
                <w:szCs w:val="14"/>
                <w:color w:val="auto"/>
              </w:rPr>
              <w:t>985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108"/>
              <w:spacing w:after="0" w:line="134" w:lineRule="exact"/>
              <w:rPr>
                <w:sz w:val="20"/>
                <w:szCs w:val="20"/>
                <w:color w:val="auto"/>
              </w:rPr>
            </w:pPr>
            <w:r>
              <w:rPr>
                <w:rFonts w:ascii="Arial" w:cs="Arial" w:eastAsia="Arial" w:hAnsi="Arial"/>
                <w:sz w:val="14"/>
                <w:szCs w:val="14"/>
                <w:color w:val="auto"/>
              </w:rPr>
              <w:t>6,299</w:t>
            </w:r>
          </w:p>
        </w:tc>
        <w:tc>
          <w:tcPr>
            <w:tcW w:w="0" w:type="dxa"/>
            <w:vAlign w:val="bottom"/>
          </w:tcPr>
          <w:p>
            <w:pPr>
              <w:spacing w:after="0"/>
              <w:rPr>
                <w:sz w:val="1"/>
                <w:szCs w:val="1"/>
                <w:color w:val="auto"/>
              </w:rPr>
            </w:pPr>
          </w:p>
        </w:tc>
      </w:tr>
      <w:tr>
        <w:trPr>
          <w:trHeight w:val="61"/>
        </w:trPr>
        <w:tc>
          <w:tcPr>
            <w:tcW w:w="2780" w:type="dxa"/>
            <w:vAlign w:val="bottom"/>
            <w:tcBorders>
              <w:bottom w:val="single" w:sz="8" w:color="BFE4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780" w:type="dxa"/>
            <w:vAlign w:val="bottom"/>
            <w:tcBorders>
              <w:top w:val="single" w:sz="8" w:color="BFE4FF"/>
            </w:tcBorders>
            <w:shd w:val="clear" w:color="auto" w:fill="BFE4FF"/>
          </w:tcPr>
          <w:p>
            <w:pPr>
              <w:spacing w:after="0"/>
              <w:rPr>
                <w:sz w:val="15"/>
                <w:szCs w:val="15"/>
                <w:color w:val="auto"/>
              </w:rPr>
            </w:pPr>
          </w:p>
        </w:tc>
        <w:tc>
          <w:tcPr>
            <w:tcW w:w="120" w:type="dxa"/>
            <w:vAlign w:val="bottom"/>
            <w:tcBorders>
              <w:top w:val="single" w:sz="8" w:color="BFE4FF"/>
            </w:tcBorders>
            <w:shd w:val="clear" w:color="auto" w:fill="BFE4FF"/>
          </w:tcPr>
          <w:p>
            <w:pPr>
              <w:spacing w:after="0"/>
              <w:rPr>
                <w:sz w:val="15"/>
                <w:szCs w:val="15"/>
                <w:color w:val="auto"/>
              </w:rPr>
            </w:pPr>
          </w:p>
        </w:tc>
        <w:tc>
          <w:tcPr>
            <w:tcW w:w="1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BFE4FF"/>
            </w:tcBorders>
            <w:shd w:val="clear" w:color="auto" w:fill="BFE4FF"/>
          </w:tcPr>
          <w:p>
            <w:pPr>
              <w:spacing w:after="0"/>
              <w:rPr>
                <w:sz w:val="15"/>
                <w:szCs w:val="15"/>
                <w:color w:val="auto"/>
              </w:rPr>
            </w:pPr>
          </w:p>
        </w:tc>
        <w:tc>
          <w:tcPr>
            <w:tcW w:w="300" w:type="dxa"/>
            <w:vAlign w:val="bottom"/>
            <w:tcBorders>
              <w:top w:val="single" w:sz="8" w:color="BFE4FF"/>
            </w:tcBorders>
            <w:shd w:val="clear" w:color="auto" w:fill="BFE4FF"/>
          </w:tcPr>
          <w:p>
            <w:pPr>
              <w:spacing w:after="0"/>
              <w:rPr>
                <w:sz w:val="15"/>
                <w:szCs w:val="15"/>
                <w:color w:val="auto"/>
              </w:rPr>
            </w:pPr>
          </w:p>
        </w:tc>
        <w:tc>
          <w:tcPr>
            <w:tcW w:w="940" w:type="dxa"/>
            <w:vAlign w:val="bottom"/>
            <w:tcBorders>
              <w:top w:val="single" w:sz="8" w:color="BFE4FF"/>
            </w:tcBorders>
            <w:shd w:val="clear" w:color="auto" w:fill="BFE4FF"/>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tcBorders>
              <w:top w:val="single" w:sz="8" w:color="BFE4FF"/>
              <w:bottom w:val="single" w:sz="8" w:color="BFE4FF"/>
            </w:tcBorders>
            <w:shd w:val="clear" w:color="auto" w:fill="BFE4FF"/>
          </w:tcPr>
          <w:p>
            <w:pPr>
              <w:spacing w:after="0"/>
              <w:rPr>
                <w:sz w:val="15"/>
                <w:szCs w:val="15"/>
                <w:color w:val="auto"/>
              </w:rPr>
            </w:pPr>
          </w:p>
        </w:tc>
        <w:tc>
          <w:tcPr>
            <w:tcW w:w="120" w:type="dxa"/>
            <w:vAlign w:val="bottom"/>
            <w:tcBorders>
              <w:top w:val="single" w:sz="8" w:color="auto"/>
              <w:bottom w:val="single" w:sz="8" w:color="BFE4FF"/>
            </w:tcBorders>
            <w:shd w:val="clear" w:color="auto" w:fill="BFE4FF"/>
          </w:tcPr>
          <w:p>
            <w:pPr>
              <w:spacing w:after="0"/>
              <w:rPr>
                <w:sz w:val="15"/>
                <w:szCs w:val="15"/>
                <w:color w:val="auto"/>
              </w:rPr>
            </w:pPr>
          </w:p>
        </w:tc>
        <w:tc>
          <w:tcPr>
            <w:tcW w:w="1080" w:type="dxa"/>
            <w:vAlign w:val="bottom"/>
            <w:tcBorders>
              <w:top w:val="single" w:sz="8" w:color="auto"/>
              <w:bottom w:val="single" w:sz="8" w:color="BFE4FF"/>
            </w:tcBorders>
            <w:shd w:val="clear" w:color="auto" w:fill="BFE4FF"/>
          </w:tcPr>
          <w:p>
            <w:pPr>
              <w:spacing w:after="0"/>
              <w:rPr>
                <w:sz w:val="15"/>
                <w:szCs w:val="15"/>
                <w:color w:val="auto"/>
              </w:rPr>
            </w:pPr>
          </w:p>
        </w:tc>
        <w:tc>
          <w:tcPr>
            <w:tcW w:w="120" w:type="dxa"/>
            <w:vAlign w:val="bottom"/>
            <w:tcBorders>
              <w:top w:val="single" w:sz="8" w:color="BFE4FF"/>
              <w:bottom w:val="single" w:sz="8" w:color="BFE4FF"/>
            </w:tcBorders>
            <w:shd w:val="clear" w:color="auto" w:fill="BFE4FF"/>
          </w:tcPr>
          <w:p>
            <w:pPr>
              <w:spacing w:after="0"/>
              <w:rPr>
                <w:sz w:val="15"/>
                <w:szCs w:val="15"/>
                <w:color w:val="auto"/>
              </w:rPr>
            </w:pPr>
          </w:p>
        </w:tc>
        <w:tc>
          <w:tcPr>
            <w:tcW w:w="280" w:type="dxa"/>
            <w:vAlign w:val="bottom"/>
            <w:tcBorders>
              <w:top w:val="single" w:sz="8" w:color="auto"/>
              <w:bottom w:val="single" w:sz="8" w:color="BFE4FF"/>
            </w:tcBorders>
            <w:shd w:val="clear" w:color="auto" w:fill="BFE4FF"/>
          </w:tcPr>
          <w:p>
            <w:pPr>
              <w:spacing w:after="0"/>
              <w:rPr>
                <w:sz w:val="15"/>
                <w:szCs w:val="15"/>
                <w:color w:val="auto"/>
              </w:rPr>
            </w:pPr>
          </w:p>
        </w:tc>
        <w:tc>
          <w:tcPr>
            <w:tcW w:w="940" w:type="dxa"/>
            <w:vAlign w:val="bottom"/>
            <w:tcBorders>
              <w:top w:val="single" w:sz="8" w:color="auto"/>
              <w:bottom w:val="single" w:sz="8" w:color="BFE4FF"/>
            </w:tcBorders>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Borders>
              <w:bottom w:val="single" w:sz="8" w:color="BFE4FF"/>
            </w:tcBorders>
          </w:tcPr>
          <w:p>
            <w:pPr>
              <w:ind w:left="20"/>
              <w:spacing w:after="0" w:line="137" w:lineRule="exact"/>
              <w:rPr>
                <w:sz w:val="20"/>
                <w:szCs w:val="20"/>
                <w:color w:val="auto"/>
              </w:rPr>
            </w:pPr>
            <w:r>
              <w:rPr>
                <w:rFonts w:ascii="Arial" w:cs="Arial" w:eastAsia="Arial" w:hAnsi="Arial"/>
                <w:sz w:val="14"/>
                <w:szCs w:val="14"/>
                <w:color w:val="auto"/>
              </w:rPr>
              <w:t>Non-GAAP adjusted operating margin (1)</w:t>
            </w:r>
          </w:p>
        </w:tc>
        <w:tc>
          <w:tcPr>
            <w:tcW w:w="120" w:type="dxa"/>
            <w:vAlign w:val="bottom"/>
            <w:tcBorders>
              <w:bottom w:val="single" w:sz="8" w:color="BFE4FF"/>
            </w:tcBorders>
          </w:tcPr>
          <w:p>
            <w:pPr>
              <w:spacing w:after="0"/>
              <w:rPr>
                <w:sz w:val="16"/>
                <w:szCs w:val="16"/>
                <w:color w:val="auto"/>
              </w:rPr>
            </w:pPr>
          </w:p>
        </w:tc>
        <w:tc>
          <w:tcPr>
            <w:tcW w:w="1100" w:type="dxa"/>
            <w:vAlign w:val="bottom"/>
            <w:tcBorders>
              <w:bottom w:val="single" w:sz="8" w:color="BFE4FF"/>
            </w:tcBorders>
          </w:tcPr>
          <w:p>
            <w:pPr>
              <w:jc w:val="right"/>
              <w:spacing w:after="0" w:line="137" w:lineRule="exact"/>
              <w:rPr>
                <w:sz w:val="20"/>
                <w:szCs w:val="20"/>
                <w:color w:val="auto"/>
              </w:rPr>
            </w:pPr>
            <w:r>
              <w:rPr>
                <w:rFonts w:ascii="Arial" w:cs="Arial" w:eastAsia="Arial" w:hAnsi="Arial"/>
                <w:sz w:val="14"/>
                <w:szCs w:val="14"/>
                <w:color w:val="auto"/>
              </w:rPr>
              <w:t>(0.2)%</w:t>
            </w:r>
          </w:p>
        </w:tc>
        <w:tc>
          <w:tcPr>
            <w:tcW w:w="100" w:type="dxa"/>
            <w:vAlign w:val="bottom"/>
            <w:tcBorders>
              <w:bottom w:val="single" w:sz="8" w:color="BFE4FF"/>
            </w:tcBorders>
          </w:tcPr>
          <w:p>
            <w:pPr>
              <w:spacing w:after="0"/>
              <w:rPr>
                <w:sz w:val="16"/>
                <w:szCs w:val="16"/>
                <w:color w:val="auto"/>
              </w:rPr>
            </w:pPr>
          </w:p>
        </w:tc>
        <w:tc>
          <w:tcPr>
            <w:tcW w:w="300" w:type="dxa"/>
            <w:vAlign w:val="bottom"/>
            <w:tcBorders>
              <w:bottom w:val="single" w:sz="8" w:color="BFE4FF"/>
            </w:tcBorders>
          </w:tcPr>
          <w:p>
            <w:pPr>
              <w:spacing w:after="0"/>
              <w:rPr>
                <w:sz w:val="16"/>
                <w:szCs w:val="16"/>
                <w:color w:val="auto"/>
              </w:rPr>
            </w:pPr>
          </w:p>
        </w:tc>
        <w:tc>
          <w:tcPr>
            <w:tcW w:w="940" w:type="dxa"/>
            <w:vAlign w:val="bottom"/>
            <w:tcBorders>
              <w:bottom w:val="single" w:sz="8" w:color="BFE4FF"/>
            </w:tcBorders>
          </w:tcPr>
          <w:p>
            <w:pPr>
              <w:jc w:val="right"/>
              <w:spacing w:after="0" w:line="137" w:lineRule="exact"/>
              <w:rPr>
                <w:sz w:val="20"/>
                <w:szCs w:val="20"/>
                <w:color w:val="auto"/>
              </w:rPr>
            </w:pPr>
            <w:r>
              <w:rPr>
                <w:rFonts w:ascii="Arial" w:cs="Arial" w:eastAsia="Arial" w:hAnsi="Arial"/>
                <w:sz w:val="14"/>
                <w:szCs w:val="14"/>
                <w:color w:val="auto"/>
              </w:rPr>
              <w:t>4.3 %</w:t>
            </w:r>
          </w:p>
        </w:tc>
        <w:tc>
          <w:tcPr>
            <w:tcW w:w="60" w:type="dxa"/>
            <w:vAlign w:val="bottom"/>
          </w:tcPr>
          <w:p>
            <w:pPr>
              <w:spacing w:after="0"/>
              <w:rPr>
                <w:sz w:val="16"/>
                <w:szCs w:val="16"/>
                <w:color w:val="auto"/>
              </w:rPr>
            </w:pPr>
          </w:p>
        </w:tc>
        <w:tc>
          <w:tcPr>
            <w:tcW w:w="2780" w:type="dxa"/>
            <w:vAlign w:val="bottom"/>
            <w:tcBorders>
              <w:bottom w:val="single" w:sz="8" w:color="BFE4FF"/>
            </w:tcBorders>
          </w:tcPr>
          <w:p>
            <w:pPr>
              <w:spacing w:after="0"/>
              <w:rPr>
                <w:sz w:val="20"/>
                <w:szCs w:val="20"/>
                <w:color w:val="auto"/>
              </w:rPr>
            </w:pPr>
            <w:r>
              <w:rPr>
                <w:rFonts w:ascii="Arial" w:cs="Arial" w:eastAsia="Arial" w:hAnsi="Arial"/>
                <w:sz w:val="14"/>
                <w:szCs w:val="14"/>
                <w:color w:val="auto"/>
              </w:rPr>
              <w:t>Share of net income from joint venture</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842</w:t>
            </w:r>
          </w:p>
        </w:tc>
        <w:tc>
          <w:tcPr>
            <w:tcW w:w="120" w:type="dxa"/>
            <w:vAlign w:val="bottom"/>
            <w:tcBorders>
              <w:bottom w:val="single" w:sz="8" w:color="BFE4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1,137</w:t>
            </w:r>
          </w:p>
        </w:tc>
        <w:tc>
          <w:tcPr>
            <w:tcW w:w="0" w:type="dxa"/>
            <w:vAlign w:val="bottom"/>
          </w:tcPr>
          <w:p>
            <w:pPr>
              <w:spacing w:after="0"/>
              <w:rPr>
                <w:sz w:val="1"/>
                <w:szCs w:val="1"/>
                <w:color w:val="auto"/>
              </w:rPr>
            </w:pPr>
          </w:p>
        </w:tc>
      </w:tr>
      <w:tr>
        <w:trPr>
          <w:trHeight w:val="149"/>
        </w:trPr>
        <w:tc>
          <w:tcPr>
            <w:tcW w:w="2780" w:type="dxa"/>
            <w:vAlign w:val="bottom"/>
            <w:tcBorders>
              <w:bottom w:val="single" w:sz="8" w:color="BFE4FF"/>
            </w:tcBorders>
            <w:shd w:val="clear" w:color="auto" w:fill="BFE4FF"/>
          </w:tcPr>
          <w:p>
            <w:pPr>
              <w:ind w:left="20"/>
              <w:spacing w:after="0" w:line="115" w:lineRule="exact"/>
              <w:rPr>
                <w:sz w:val="20"/>
                <w:szCs w:val="20"/>
                <w:color w:val="auto"/>
              </w:rPr>
            </w:pPr>
            <w:r>
              <w:rPr>
                <w:rFonts w:ascii="Arial" w:cs="Arial" w:eastAsia="Arial" w:hAnsi="Arial"/>
                <w:sz w:val="13"/>
                <w:szCs w:val="13"/>
                <w:color w:val="auto"/>
              </w:rPr>
              <w:t>GAAP net sales</w:t>
            </w:r>
          </w:p>
        </w:tc>
        <w:tc>
          <w:tcPr>
            <w:tcW w:w="120" w:type="dxa"/>
            <w:vAlign w:val="bottom"/>
            <w:tcBorders>
              <w:bottom w:val="single" w:sz="8" w:color="BFE4FF"/>
            </w:tcBorders>
            <w:shd w:val="clear" w:color="auto" w:fill="BFE4FF"/>
          </w:tcPr>
          <w:p>
            <w:pPr>
              <w:jc w:val="right"/>
              <w:spacing w:after="0" w:line="115" w:lineRule="exact"/>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BFE4FF"/>
            </w:tcBorders>
            <w:shd w:val="clear" w:color="auto" w:fill="BFE4FF"/>
          </w:tcPr>
          <w:p>
            <w:pPr>
              <w:jc w:val="right"/>
              <w:ind w:right="109"/>
              <w:spacing w:after="0" w:line="115" w:lineRule="exact"/>
              <w:rPr>
                <w:sz w:val="20"/>
                <w:szCs w:val="20"/>
                <w:color w:val="auto"/>
              </w:rPr>
            </w:pPr>
            <w:r>
              <w:rPr>
                <w:rFonts w:ascii="Arial" w:cs="Arial" w:eastAsia="Arial" w:hAnsi="Arial"/>
                <w:sz w:val="13"/>
                <w:szCs w:val="13"/>
                <w:color w:val="auto"/>
              </w:rPr>
              <w:t>117,244</w:t>
            </w:r>
          </w:p>
        </w:tc>
        <w:tc>
          <w:tcPr>
            <w:tcW w:w="100" w:type="dxa"/>
            <w:vAlign w:val="bottom"/>
            <w:tcBorders>
              <w:bottom w:val="single" w:sz="8" w:color="BFE4FF"/>
            </w:tcBorders>
            <w:shd w:val="clear" w:color="auto" w:fill="BFE4FF"/>
          </w:tcPr>
          <w:p>
            <w:pPr>
              <w:spacing w:after="0"/>
              <w:rPr>
                <w:sz w:val="12"/>
                <w:szCs w:val="12"/>
                <w:color w:val="auto"/>
              </w:rPr>
            </w:pPr>
          </w:p>
        </w:tc>
        <w:tc>
          <w:tcPr>
            <w:tcW w:w="300" w:type="dxa"/>
            <w:vAlign w:val="bottom"/>
            <w:tcBorders>
              <w:bottom w:val="single" w:sz="8" w:color="BFE4FF"/>
            </w:tcBorders>
            <w:shd w:val="clear" w:color="auto" w:fill="BFE4FF"/>
          </w:tcPr>
          <w:p>
            <w:pPr>
              <w:jc w:val="right"/>
              <w:ind w:right="130"/>
              <w:spacing w:after="0" w:line="115"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BFE4FF"/>
            </w:tcBorders>
            <w:shd w:val="clear" w:color="auto" w:fill="BFE4FF"/>
          </w:tcPr>
          <w:p>
            <w:pPr>
              <w:jc w:val="right"/>
              <w:ind w:right="109"/>
              <w:spacing w:after="0" w:line="115" w:lineRule="exact"/>
              <w:rPr>
                <w:sz w:val="20"/>
                <w:szCs w:val="20"/>
                <w:color w:val="auto"/>
              </w:rPr>
            </w:pPr>
            <w:r>
              <w:rPr>
                <w:rFonts w:ascii="Arial" w:cs="Arial" w:eastAsia="Arial" w:hAnsi="Arial"/>
                <w:sz w:val="13"/>
                <w:szCs w:val="13"/>
                <w:color w:val="auto"/>
              </w:rPr>
              <w:t>113,761</w:t>
            </w:r>
          </w:p>
        </w:tc>
        <w:tc>
          <w:tcPr>
            <w:tcW w:w="60" w:type="dxa"/>
            <w:vAlign w:val="bottom"/>
          </w:tcPr>
          <w:p>
            <w:pPr>
              <w:spacing w:after="0"/>
              <w:rPr>
                <w:sz w:val="12"/>
                <w:szCs w:val="12"/>
                <w:color w:val="auto"/>
              </w:rPr>
            </w:pPr>
          </w:p>
        </w:tc>
        <w:tc>
          <w:tcPr>
            <w:tcW w:w="2780" w:type="dxa"/>
            <w:vAlign w:val="bottom"/>
            <w:tcBorders>
              <w:bottom w:val="single" w:sz="8" w:color="BFE4FF"/>
            </w:tcBorders>
            <w:shd w:val="clear" w:color="auto" w:fill="BFE4FF"/>
          </w:tcPr>
          <w:p>
            <w:pPr>
              <w:spacing w:after="0" w:line="115" w:lineRule="exact"/>
              <w:rPr>
                <w:sz w:val="20"/>
                <w:szCs w:val="20"/>
                <w:color w:val="auto"/>
              </w:rPr>
            </w:pPr>
            <w:r>
              <w:rPr>
                <w:rFonts w:ascii="Arial" w:cs="Arial" w:eastAsia="Arial" w:hAnsi="Arial"/>
                <w:sz w:val="13"/>
                <w:szCs w:val="13"/>
                <w:color w:val="auto"/>
              </w:rPr>
              <w:t>Non-GAAP adjusted income (loss) from</w:t>
            </w:r>
          </w:p>
        </w:tc>
        <w:tc>
          <w:tcPr>
            <w:tcW w:w="120" w:type="dxa"/>
            <w:vAlign w:val="bottom"/>
            <w:tcBorders>
              <w:bottom w:val="single" w:sz="8" w:color="BFE4FF"/>
            </w:tcBorders>
            <w:vMerge w:val="restart"/>
            <w:shd w:val="clear" w:color="auto" w:fill="BFE4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BFE4FF"/>
            </w:tcBorders>
            <w:vMerge w:val="restart"/>
            <w:shd w:val="clear" w:color="auto" w:fill="BFE4FF"/>
          </w:tcPr>
          <w:p>
            <w:pPr>
              <w:jc w:val="right"/>
              <w:ind w:right="108"/>
              <w:spacing w:after="0"/>
              <w:rPr>
                <w:sz w:val="20"/>
                <w:szCs w:val="20"/>
                <w:color w:val="auto"/>
              </w:rPr>
            </w:pPr>
            <w:r>
              <w:rPr>
                <w:rFonts w:ascii="Arial" w:cs="Arial" w:eastAsia="Arial" w:hAnsi="Arial"/>
                <w:sz w:val="14"/>
                <w:szCs w:val="14"/>
                <w:color w:val="auto"/>
              </w:rPr>
              <w:t>1,827</w:t>
            </w:r>
          </w:p>
        </w:tc>
        <w:tc>
          <w:tcPr>
            <w:tcW w:w="120" w:type="dxa"/>
            <w:vAlign w:val="bottom"/>
            <w:tcBorders>
              <w:bottom w:val="single" w:sz="8" w:color="BFE4FF"/>
            </w:tcBorders>
            <w:shd w:val="clear" w:color="auto" w:fill="BFE4FF"/>
          </w:tcPr>
          <w:p>
            <w:pPr>
              <w:spacing w:after="0"/>
              <w:rPr>
                <w:sz w:val="12"/>
                <w:szCs w:val="12"/>
                <w:color w:val="auto"/>
              </w:rPr>
            </w:pPr>
          </w:p>
        </w:tc>
        <w:tc>
          <w:tcPr>
            <w:tcW w:w="280" w:type="dxa"/>
            <w:vAlign w:val="bottom"/>
            <w:tcBorders>
              <w:bottom w:val="single" w:sz="8" w:color="BFE4FF"/>
            </w:tcBorders>
            <w:vMerge w:val="restart"/>
            <w:shd w:val="clear" w:color="auto" w:fill="BFE4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BFE4FF"/>
            </w:tcBorders>
            <w:vMerge w:val="restart"/>
            <w:shd w:val="clear" w:color="auto" w:fill="BFE4FF"/>
          </w:tcPr>
          <w:p>
            <w:pPr>
              <w:jc w:val="right"/>
              <w:ind w:right="108"/>
              <w:spacing w:after="0"/>
              <w:rPr>
                <w:sz w:val="20"/>
                <w:szCs w:val="20"/>
                <w:color w:val="auto"/>
              </w:rPr>
            </w:pPr>
            <w:r>
              <w:rPr>
                <w:rFonts w:ascii="Arial" w:cs="Arial" w:eastAsia="Arial" w:hAnsi="Arial"/>
                <w:sz w:val="14"/>
                <w:szCs w:val="14"/>
                <w:color w:val="auto"/>
              </w:rPr>
              <w:t>7,436</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80" w:type="dxa"/>
            <w:vAlign w:val="bottom"/>
            <w:tcBorders>
              <w:bottom w:val="single" w:sz="8" w:color="BFE4FF"/>
            </w:tcBorders>
            <w:shd w:val="clear" w:color="auto" w:fill="BFE4FF"/>
          </w:tcPr>
          <w:p>
            <w:pPr>
              <w:spacing w:after="0" w:line="108" w:lineRule="exact"/>
              <w:rPr>
                <w:sz w:val="20"/>
                <w:szCs w:val="20"/>
                <w:color w:val="auto"/>
              </w:rPr>
            </w:pPr>
            <w:r>
              <w:rPr>
                <w:rFonts w:ascii="Arial" w:cs="Arial" w:eastAsia="Arial" w:hAnsi="Arial"/>
                <w:sz w:val="12"/>
                <w:szCs w:val="12"/>
                <w:color w:val="auto"/>
              </w:rPr>
              <w:t>operations with JV</w:t>
            </w:r>
          </w:p>
        </w:tc>
        <w:tc>
          <w:tcPr>
            <w:tcW w:w="120" w:type="dxa"/>
            <w:vAlign w:val="bottom"/>
            <w:tcBorders>
              <w:bottom w:val="single" w:sz="8" w:color="auto"/>
            </w:tcBorders>
            <w:vMerge w:val="continue"/>
            <w:shd w:val="clear" w:color="auto" w:fill="BFE4FF"/>
          </w:tcPr>
          <w:p>
            <w:pPr>
              <w:spacing w:after="0"/>
              <w:rPr>
                <w:sz w:val="11"/>
                <w:szCs w:val="11"/>
                <w:color w:val="auto"/>
              </w:rPr>
            </w:pPr>
          </w:p>
        </w:tc>
        <w:tc>
          <w:tcPr>
            <w:tcW w:w="1080" w:type="dxa"/>
            <w:vAlign w:val="bottom"/>
            <w:tcBorders>
              <w:bottom w:val="single" w:sz="8" w:color="auto"/>
            </w:tcBorders>
            <w:vMerge w:val="continue"/>
            <w:shd w:val="clear" w:color="auto" w:fill="BFE4FF"/>
          </w:tcPr>
          <w:p>
            <w:pPr>
              <w:spacing w:after="0"/>
              <w:rPr>
                <w:sz w:val="11"/>
                <w:szCs w:val="11"/>
                <w:color w:val="auto"/>
              </w:rPr>
            </w:pPr>
          </w:p>
        </w:tc>
        <w:tc>
          <w:tcPr>
            <w:tcW w:w="120" w:type="dxa"/>
            <w:vAlign w:val="bottom"/>
            <w:tcBorders>
              <w:bottom w:val="single" w:sz="8" w:color="BFE4FF"/>
            </w:tcBorders>
            <w:shd w:val="clear" w:color="auto" w:fill="BFE4FF"/>
          </w:tcPr>
          <w:p>
            <w:pPr>
              <w:spacing w:after="0"/>
              <w:rPr>
                <w:sz w:val="11"/>
                <w:szCs w:val="11"/>
                <w:color w:val="auto"/>
              </w:rPr>
            </w:pPr>
          </w:p>
        </w:tc>
        <w:tc>
          <w:tcPr>
            <w:tcW w:w="280" w:type="dxa"/>
            <w:vAlign w:val="bottom"/>
            <w:tcBorders>
              <w:bottom w:val="single" w:sz="8" w:color="auto"/>
            </w:tcBorders>
            <w:vMerge w:val="continue"/>
            <w:shd w:val="clear" w:color="auto" w:fill="BFE4FF"/>
          </w:tcPr>
          <w:p>
            <w:pPr>
              <w:spacing w:after="0"/>
              <w:rPr>
                <w:sz w:val="11"/>
                <w:szCs w:val="11"/>
                <w:color w:val="auto"/>
              </w:rPr>
            </w:pPr>
          </w:p>
        </w:tc>
        <w:tc>
          <w:tcPr>
            <w:tcW w:w="940" w:type="dxa"/>
            <w:vAlign w:val="bottom"/>
            <w:tcBorders>
              <w:bottom w:val="single" w:sz="8" w:color="auto"/>
            </w:tcBorders>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108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1">
            <w:col w:w="11240"/>
          </w:cols>
          <w:pgMar w:left="320" w:top="1390" w:right="339" w:bottom="1440" w:gutter="0" w:footer="0" w:header="0"/>
        </w:sectPr>
      </w:pPr>
    </w:p>
    <w:p>
      <w:pPr>
        <w:spacing w:after="0" w:line="251"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$000s</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Power Solutions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GAAP income (loss) from operations</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 and transition expense*</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Amortization of intangibles</w:t>
      </w:r>
    </w:p>
    <w:p>
      <w:pPr>
        <w:spacing w:after="0" w:line="55" w:lineRule="exact"/>
        <w:rPr>
          <w:sz w:val="20"/>
          <w:szCs w:val="20"/>
          <w:color w:val="auto"/>
        </w:rPr>
      </w:pPr>
    </w:p>
    <w:p>
      <w:pPr>
        <w:ind w:left="280" w:right="100"/>
        <w:spacing w:after="0" w:line="273" w:lineRule="auto"/>
        <w:rPr>
          <w:sz w:val="20"/>
          <w:szCs w:val="20"/>
          <w:color w:val="auto"/>
        </w:rPr>
      </w:pPr>
      <w:r>
        <w:rPr>
          <w:rFonts w:ascii="Arial" w:cs="Arial" w:eastAsia="Arial" w:hAnsi="Arial"/>
          <w:sz w:val="14"/>
          <w:szCs w:val="14"/>
          <w:color w:val="auto"/>
        </w:rPr>
        <w:t>Non-GAAP adjusted income (loss) from operations (a)</w:t>
      </w:r>
    </w:p>
    <w:p>
      <w:pPr>
        <w:spacing w:after="0" w:line="228" w:lineRule="exact"/>
        <w:rPr>
          <w:sz w:val="20"/>
          <w:szCs w:val="20"/>
          <w:color w:val="auto"/>
        </w:rPr>
      </w:pPr>
    </w:p>
    <w:p>
      <w:pPr>
        <w:ind w:left="280"/>
        <w:spacing w:after="0" w:line="353" w:lineRule="auto"/>
        <w:rPr>
          <w:sz w:val="20"/>
          <w:szCs w:val="20"/>
          <w:color w:val="auto"/>
        </w:rPr>
      </w:pPr>
      <w:r>
        <w:rPr>
          <w:rFonts w:ascii="Arial" w:cs="Arial" w:eastAsia="Arial" w:hAnsi="Arial"/>
          <w:sz w:val="14"/>
          <w:szCs w:val="14"/>
          <w:color w:val="auto"/>
        </w:rPr>
        <w:t>Non-GAAP adjusted operating margin (1) GAAP net sales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16287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26"/>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1,252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1,143</w:t>
            </w:r>
          </w:p>
        </w:tc>
      </w:tr>
      <w:tr>
        <w:trPr>
          <w:trHeight w:val="216"/>
        </w:trPr>
        <w:tc>
          <w:tcPr>
            <w:tcW w:w="28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1,515</w:t>
            </w:r>
          </w:p>
        </w:tc>
      </w:tr>
      <w:tr>
        <w:trPr>
          <w:trHeight w:val="222"/>
        </w:trPr>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2,748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2,748</w:t>
            </w:r>
          </w:p>
        </w:tc>
      </w:tr>
      <w:tr>
        <w:trPr>
          <w:trHeight w:val="331"/>
        </w:trPr>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3,983</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5,406</w:t>
            </w:r>
          </w:p>
        </w:tc>
      </w:tr>
      <w:tr>
        <w:trPr>
          <w:trHeight w:val="27"/>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73"/>
        </w:trPr>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12.5 %</w:t>
            </w:r>
          </w:p>
        </w:tc>
      </w:tr>
      <w:tr>
        <w:trPr>
          <w:trHeight w:val="229"/>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48,680</w:t>
            </w:r>
          </w:p>
        </w:tc>
        <w:tc>
          <w:tcPr>
            <w:tcW w:w="100" w:type="dxa"/>
            <w:vAlign w:val="bottom"/>
          </w:tcPr>
          <w:p>
            <w:pPr>
              <w:spacing w:after="0"/>
              <w:rPr>
                <w:sz w:val="19"/>
                <w:szCs w:val="19"/>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43,415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-1054735</wp:posOffset>
            </wp:positionV>
            <wp:extent cx="33858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85820" cy="13716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-780415</wp:posOffset>
            </wp:positionV>
            <wp:extent cx="33858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85820" cy="13716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-403225</wp:posOffset>
            </wp:positionV>
            <wp:extent cx="33858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85820" cy="13716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-128905</wp:posOffset>
            </wp:positionV>
            <wp:extent cx="33858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858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BFE4FF"/>
          </w:tcPr>
          <w:p>
            <w:pPr>
              <w:spacing w:after="0"/>
              <w:rPr>
                <w:sz w:val="20"/>
                <w:szCs w:val="20"/>
                <w:color w:val="auto"/>
              </w:rPr>
            </w:pPr>
            <w:r>
              <w:rPr>
                <w:rFonts w:ascii="Arial" w:cs="Arial" w:eastAsia="Arial" w:hAnsi="Arial"/>
                <w:sz w:val="14"/>
                <w:szCs w:val="14"/>
                <w:color w:val="auto"/>
              </w:rPr>
              <w:t>Non-GAAP adjusted operating margin (1)</w:t>
            </w:r>
          </w:p>
        </w:tc>
        <w:tc>
          <w:tcPr>
            <w:tcW w:w="520" w:type="dxa"/>
            <w:vAlign w:val="bottom"/>
            <w:shd w:val="clear" w:color="auto" w:fill="BFE4FF"/>
          </w:tcPr>
          <w:p>
            <w:pPr>
              <w:spacing w:after="0"/>
              <w:rPr>
                <w:sz w:val="18"/>
                <w:szCs w:val="18"/>
                <w:color w:val="auto"/>
              </w:rPr>
            </w:pPr>
          </w:p>
        </w:tc>
        <w:tc>
          <w:tcPr>
            <w:tcW w:w="90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2.7 %</w:t>
            </w:r>
          </w:p>
        </w:tc>
        <w:tc>
          <w:tcPr>
            <w:tcW w:w="420" w:type="dxa"/>
            <w:vAlign w:val="bottom"/>
            <w:shd w:val="clear" w:color="auto" w:fill="BFE4FF"/>
          </w:tcPr>
          <w:p>
            <w:pPr>
              <w:spacing w:after="0"/>
              <w:rPr>
                <w:sz w:val="18"/>
                <w:szCs w:val="18"/>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10.6 %</w:t>
            </w: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GAAP net sales</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68,586</w:t>
            </w: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70,371</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20"/>
                <w:szCs w:val="20"/>
                <w:color w:val="auto"/>
              </w:rPr>
            </w:pPr>
            <w:r>
              <w:rPr>
                <w:rFonts w:ascii="Arial" w:cs="Arial" w:eastAsia="Arial" w:hAnsi="Arial"/>
                <w:sz w:val="14"/>
                <w:szCs w:val="14"/>
                <w:b w:val="1"/>
                <w:bCs w:val="1"/>
                <w:i w:val="1"/>
                <w:iCs w:val="1"/>
                <w:color w:val="auto"/>
              </w:rPr>
              <w:t>$000s</w:t>
            </w:r>
          </w:p>
        </w:tc>
        <w:tc>
          <w:tcPr>
            <w:tcW w:w="120" w:type="dxa"/>
            <w:vAlign w:val="bottom"/>
          </w:tcPr>
          <w:p>
            <w:pPr>
              <w:spacing w:after="0"/>
              <w:rPr>
                <w:sz w:val="16"/>
                <w:szCs w:val="16"/>
                <w:color w:val="auto"/>
              </w:rPr>
            </w:pPr>
          </w:p>
        </w:tc>
        <w:tc>
          <w:tcPr>
            <w:tcW w:w="242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4"/>
              </w:rPr>
              <w:t>Three Months Ended September 30,</w:t>
            </w:r>
          </w:p>
        </w:tc>
        <w:tc>
          <w:tcPr>
            <w:tcW w:w="0" w:type="dxa"/>
            <w:vAlign w:val="bottom"/>
          </w:tcPr>
          <w:p>
            <w:pPr>
              <w:spacing w:after="0"/>
              <w:rPr>
                <w:sz w:val="1"/>
                <w:szCs w:val="1"/>
                <w:color w:val="auto"/>
              </w:rPr>
            </w:pPr>
          </w:p>
        </w:tc>
      </w:tr>
      <w:tr>
        <w:trPr>
          <w:trHeight w:val="26"/>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278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BFE4FF"/>
          </w:tcPr>
          <w:p>
            <w:pPr>
              <w:spacing w:after="0"/>
              <w:rPr>
                <w:sz w:val="20"/>
                <w:szCs w:val="20"/>
                <w:color w:val="auto"/>
              </w:rPr>
            </w:pPr>
            <w:r>
              <w:rPr>
                <w:rFonts w:ascii="Arial" w:cs="Arial" w:eastAsia="Arial" w:hAnsi="Arial"/>
                <w:sz w:val="14"/>
                <w:szCs w:val="14"/>
                <w:color w:val="auto"/>
              </w:rPr>
              <w:t>GAAP net sales</w:t>
            </w:r>
          </w:p>
        </w:tc>
        <w:tc>
          <w:tcPr>
            <w:tcW w:w="120" w:type="dxa"/>
            <w:vAlign w:val="bottom"/>
            <w:shd w:val="clear" w:color="auto" w:fill="BFE4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BFE4FF"/>
          </w:tcPr>
          <w:p>
            <w:pPr>
              <w:spacing w:after="0"/>
              <w:rPr>
                <w:sz w:val="17"/>
                <w:szCs w:val="17"/>
                <w:color w:val="auto"/>
              </w:rPr>
            </w:pPr>
          </w:p>
        </w:tc>
        <w:tc>
          <w:tcPr>
            <w:tcW w:w="280" w:type="dxa"/>
            <w:vAlign w:val="bottom"/>
            <w:shd w:val="clear" w:color="auto" w:fill="BFE4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bl>
    <w:p>
      <w:pPr>
        <w:spacing w:after="0" w:line="736" w:lineRule="exact"/>
        <w:rPr>
          <w:sz w:val="20"/>
          <w:szCs w:val="20"/>
          <w:color w:val="auto"/>
        </w:rPr>
      </w:pPr>
    </w:p>
    <w:p>
      <w:pPr>
        <w:sectPr>
          <w:pgSz w:w="11900" w:h="16838" w:orient="portrait"/>
          <w:cols w:equalWidth="0" w:num="3">
            <w:col w:w="2720" w:space="320"/>
            <w:col w:w="2560" w:space="60"/>
            <w:col w:w="5580"/>
          </w:cols>
          <w:pgMar w:left="320" w:top="1390" w:right="339" w:bottom="1440" w:gutter="0" w:footer="0" w:header="0"/>
          <w:type w:val="continuous"/>
        </w:sectPr>
      </w:pPr>
    </w:p>
    <w:p>
      <w:pPr>
        <w:ind w:right="4900" w:firstLine="8"/>
        <w:spacing w:after="0" w:line="346" w:lineRule="auto"/>
        <w:tabs>
          <w:tab w:leader="none" w:pos="316" w:val="left"/>
        </w:tabs>
        <w:numPr>
          <w:ilvl w:val="0"/>
          <w:numId w:val="6"/>
        </w:numPr>
        <w:rPr>
          <w:rFonts w:ascii="Arial" w:cs="Arial" w:eastAsia="Arial" w:hAnsi="Arial"/>
          <w:sz w:val="13"/>
          <w:szCs w:val="13"/>
          <w:color w:val="auto"/>
        </w:rPr>
      </w:pPr>
      <w:r>
        <w:rPr>
          <w:rFonts w:ascii="Arial" w:cs="Arial" w:eastAsia="Arial" w:hAnsi="Arial"/>
          <w:sz w:val="13"/>
          <w:szCs w:val="13"/>
          <w:color w:val="auto"/>
        </w:rPr>
        <w:t>Non-GAAP adjusted operating margin = Non-GAAP adjusted income from operations / GAAP net sales * 2021 Includes Capacity &amp; Capabilities - / Professional Fees - $0.4 / Integration &amp; Transformation - $0.4</w:t>
      </w:r>
    </w:p>
    <w:p>
      <w:pPr>
        <w:spacing w:after="0"/>
        <w:rPr>
          <w:rFonts w:ascii="Arial" w:cs="Arial" w:eastAsia="Arial" w:hAnsi="Arial"/>
          <w:sz w:val="13"/>
          <w:szCs w:val="13"/>
          <w:color w:val="auto"/>
        </w:rPr>
      </w:pPr>
      <w:r>
        <w:rPr>
          <w:rFonts w:ascii="Arial" w:cs="Arial" w:eastAsia="Arial" w:hAnsi="Arial"/>
          <w:sz w:val="14"/>
          <w:szCs w:val="14"/>
          <w:color w:val="auto"/>
        </w:rPr>
        <w:t>*  2020 Includes Capacity &amp; Capabilities - $0.6 / Professional Fees - $0.3 / Integration &amp; Transformation - $1.8</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90" w:right="339" w:bottom="1440" w:gutter="0" w:footer="0" w:header="0"/>
          <w:type w:val="continuous"/>
        </w:sectPr>
      </w:pPr>
    </w:p>
    <w:bookmarkStart w:id="10" w:name="page11"/>
    <w:bookmarkEnd w:id="10"/>
    <w:p>
      <w:pPr>
        <w:ind w:left="1840"/>
        <w:spacing w:after="0"/>
        <w:rPr>
          <w:sz w:val="20"/>
          <w:szCs w:val="20"/>
          <w:color w:val="auto"/>
        </w:rPr>
      </w:pPr>
      <w:r>
        <w:rPr>
          <w:rFonts w:ascii="Arial" w:cs="Arial" w:eastAsia="Arial" w:hAnsi="Arial"/>
          <w:sz w:val="18"/>
          <w:szCs w:val="18"/>
          <w:b w:val="1"/>
          <w:bCs w:val="1"/>
          <w:color w:val="auto"/>
        </w:rPr>
        <w:t>Reconciliation of Net Income (Loss) to Non-GAAP Adjusted EBITDA</w:t>
      </w:r>
    </w:p>
    <w:p>
      <w:pPr>
        <w:spacing w:after="0" w:line="200" w:lineRule="exact"/>
        <w:rPr>
          <w:sz w:val="20"/>
          <w:szCs w:val="20"/>
          <w:color w:val="auto"/>
        </w:rPr>
      </w:pPr>
    </w:p>
    <w:p>
      <w:pPr>
        <w:spacing w:after="0" w:line="31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4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w w:val="96"/>
              </w:rPr>
              <w:t>Three Months Ended September 30,</w:t>
            </w:r>
          </w:p>
        </w:tc>
        <w:tc>
          <w:tcPr>
            <w:tcW w:w="0" w:type="dxa"/>
            <w:vAlign w:val="bottom"/>
          </w:tcPr>
          <w:p>
            <w:pPr>
              <w:spacing w:after="0"/>
              <w:rPr>
                <w:sz w:val="1"/>
                <w:szCs w:val="1"/>
                <w:color w:val="auto"/>
              </w:rPr>
            </w:pPr>
          </w:p>
        </w:tc>
      </w:tr>
      <w:tr>
        <w:trPr>
          <w:trHeight w:val="133"/>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000's</w:t>
            </w:r>
          </w:p>
        </w:tc>
        <w:tc>
          <w:tcPr>
            <w:tcW w:w="66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320" w:type="dxa"/>
            <w:vAlign w:val="bottom"/>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20"/>
                <w:szCs w:val="20"/>
                <w:color w:val="auto"/>
              </w:rPr>
            </w:pPr>
            <w:r>
              <w:rPr>
                <w:rFonts w:ascii="Arial" w:cs="Arial" w:eastAsia="Arial" w:hAnsi="Arial"/>
                <w:sz w:val="14"/>
                <w:szCs w:val="14"/>
                <w:color w:val="auto"/>
                <w:w w:val="76"/>
              </w:rPr>
              <w:t>GAAP</w:t>
            </w:r>
          </w:p>
        </w:tc>
        <w:tc>
          <w:tcPr>
            <w:tcW w:w="3700" w:type="dxa"/>
            <w:vAlign w:val="bottom"/>
            <w:tcBorders>
              <w:top w:val="single" w:sz="8" w:color="BFE4FF"/>
            </w:tcBorders>
            <w:shd w:val="clear" w:color="auto" w:fill="BFE4FF"/>
          </w:tcPr>
          <w:p>
            <w:pPr>
              <w:ind w:left="100"/>
              <w:spacing w:after="0"/>
              <w:rPr>
                <w:sz w:val="20"/>
                <w:szCs w:val="20"/>
                <w:color w:val="auto"/>
              </w:rPr>
            </w:pPr>
            <w:r>
              <w:rPr>
                <w:rFonts w:ascii="Arial" w:cs="Arial" w:eastAsia="Arial" w:hAnsi="Arial"/>
                <w:sz w:val="14"/>
                <w:szCs w:val="14"/>
                <w:color w:val="auto"/>
              </w:rPr>
              <w:t>net income (loss)</w:t>
            </w:r>
          </w:p>
        </w:tc>
        <w:tc>
          <w:tcPr>
            <w:tcW w:w="660" w:type="dxa"/>
            <w:vAlign w:val="bottom"/>
            <w:tcBorders>
              <w:top w:val="single" w:sz="8" w:color="BFE4FF"/>
            </w:tcBorders>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(3,377)$</w:t>
            </w:r>
          </w:p>
        </w:tc>
        <w:tc>
          <w:tcPr>
            <w:tcW w:w="100" w:type="dxa"/>
            <w:vAlign w:val="bottom"/>
            <w:tcBorders>
              <w:top w:val="single" w:sz="8" w:color="BFE4FF"/>
            </w:tcBorders>
            <w:shd w:val="clear" w:color="auto" w:fill="BFE4FF"/>
          </w:tcPr>
          <w:p>
            <w:pPr>
              <w:spacing w:after="0"/>
              <w:rPr>
                <w:sz w:val="15"/>
                <w:szCs w:val="15"/>
                <w:color w:val="auto"/>
              </w:rPr>
            </w:pPr>
          </w:p>
        </w:tc>
        <w:tc>
          <w:tcPr>
            <w:tcW w:w="13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21,970</w:t>
            </w:r>
          </w:p>
        </w:tc>
        <w:tc>
          <w:tcPr>
            <w:tcW w:w="0" w:type="dxa"/>
            <w:vAlign w:val="bottom"/>
          </w:tcPr>
          <w:p>
            <w:pPr>
              <w:spacing w:after="0"/>
              <w:rPr>
                <w:sz w:val="1"/>
                <w:szCs w:val="1"/>
                <w:color w:val="auto"/>
              </w:rPr>
            </w:pPr>
          </w:p>
        </w:tc>
      </w:tr>
      <w:tr>
        <w:trPr>
          <w:trHeight w:val="433"/>
        </w:trPr>
        <w:tc>
          <w:tcPr>
            <w:tcW w:w="4020" w:type="dxa"/>
            <w:vAlign w:val="bottom"/>
            <w:gridSpan w:val="2"/>
          </w:tcPr>
          <w:p>
            <w:pPr>
              <w:spacing w:after="0"/>
              <w:rPr>
                <w:sz w:val="20"/>
                <w:szCs w:val="20"/>
                <w:color w:val="auto"/>
              </w:rPr>
            </w:pPr>
            <w:r>
              <w:rPr>
                <w:rFonts w:ascii="Arial" w:cs="Arial" w:eastAsia="Arial" w:hAnsi="Arial"/>
                <w:sz w:val="14"/>
                <w:szCs w:val="14"/>
                <w:color w:val="auto"/>
              </w:rPr>
              <w:t>Provision (benefit) for income taxes</w:t>
            </w:r>
          </w:p>
        </w:tc>
        <w:tc>
          <w:tcPr>
            <w:tcW w:w="6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(8,715)</w:t>
            </w:r>
          </w:p>
        </w:tc>
        <w:tc>
          <w:tcPr>
            <w:tcW w:w="0" w:type="dxa"/>
            <w:vAlign w:val="bottom"/>
          </w:tcPr>
          <w:p>
            <w:pPr>
              <w:spacing w:after="0"/>
              <w:rPr>
                <w:sz w:val="1"/>
                <w:szCs w:val="1"/>
                <w:color w:val="auto"/>
              </w:rPr>
            </w:pPr>
          </w:p>
        </w:tc>
      </w:tr>
      <w:tr>
        <w:trPr>
          <w:trHeight w:val="189"/>
        </w:trPr>
        <w:tc>
          <w:tcPr>
            <w:tcW w:w="40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6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3,578</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6,873</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4"/>
                <w:szCs w:val="14"/>
                <w:color w:val="auto"/>
              </w:rPr>
              <w:t>Change in fair value of preferred stock derivatives and warrants</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(4,829)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402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6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11,605</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11,435</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4"/>
                <w:szCs w:val="14"/>
                <w:color w:val="auto"/>
              </w:rPr>
              <w:t>Acquisition and transition expense</w:t>
            </w:r>
          </w:p>
        </w:tc>
        <w:tc>
          <w:tcPr>
            <w:tcW w:w="6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4"/>
                <w:szCs w:val="14"/>
                <w:color w:val="auto"/>
              </w:rPr>
              <w:t>Non-cash stock compensation</w:t>
            </w:r>
          </w:p>
        </w:tc>
        <w:tc>
          <w:tcPr>
            <w:tcW w:w="660" w:type="dxa"/>
            <w:vAlign w:val="bottom"/>
          </w:tcPr>
          <w:p>
            <w:pPr>
              <w:spacing w:after="0"/>
              <w:rPr>
                <w:sz w:val="19"/>
                <w:szCs w:val="19"/>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20"/>
                <w:szCs w:val="20"/>
                <w:color w:val="auto"/>
              </w:rPr>
            </w:pPr>
            <w:r>
              <w:rPr>
                <w:rFonts w:ascii="Arial" w:cs="Arial" w:eastAsia="Arial" w:hAnsi="Arial"/>
                <w:sz w:val="14"/>
                <w:szCs w:val="14"/>
                <w:color w:val="auto"/>
                <w:w w:val="98"/>
              </w:rPr>
              <w:t>Non-</w:t>
            </w:r>
          </w:p>
        </w:tc>
        <w:tc>
          <w:tcPr>
            <w:tcW w:w="3700" w:type="dxa"/>
            <w:vAlign w:val="bottom"/>
            <w:shd w:val="clear" w:color="auto" w:fill="BFE4FF"/>
          </w:tcPr>
          <w:p>
            <w:pPr>
              <w:spacing w:after="0"/>
              <w:rPr>
                <w:sz w:val="20"/>
                <w:szCs w:val="20"/>
                <w:color w:val="auto"/>
              </w:rPr>
            </w:pPr>
            <w:r>
              <w:rPr>
                <w:rFonts w:ascii="Arial" w:cs="Arial" w:eastAsia="Arial" w:hAnsi="Arial"/>
                <w:sz w:val="14"/>
                <w:szCs w:val="14"/>
                <w:color w:val="auto"/>
              </w:rPr>
              <w:t>cash foreign exchange (gain) loss on inter-company loans</w:t>
            </w:r>
          </w:p>
        </w:tc>
        <w:tc>
          <w:tcPr>
            <w:tcW w:w="660" w:type="dxa"/>
            <w:vAlign w:val="bottom"/>
            <w:shd w:val="clear" w:color="auto" w:fill="BFE4FF"/>
          </w:tcPr>
          <w:p>
            <w:pPr>
              <w:spacing w:after="0"/>
              <w:rPr>
                <w:sz w:val="19"/>
                <w:szCs w:val="19"/>
                <w:color w:val="auto"/>
              </w:rPr>
            </w:pPr>
          </w:p>
        </w:tc>
        <w:tc>
          <w:tcPr>
            <w:tcW w:w="132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4"/>
                <w:szCs w:val="14"/>
                <w:color w:val="auto"/>
              </w:rPr>
              <w:t>Loss</w:t>
            </w:r>
          </w:p>
        </w:tc>
        <w:tc>
          <w:tcPr>
            <w:tcW w:w="3700" w:type="dxa"/>
            <w:vAlign w:val="bottom"/>
          </w:tcPr>
          <w:p>
            <w:pPr>
              <w:spacing w:after="0"/>
              <w:rPr>
                <w:sz w:val="20"/>
                <w:szCs w:val="20"/>
                <w:color w:val="auto"/>
              </w:rPr>
            </w:pPr>
            <w:r>
              <w:rPr>
                <w:rFonts w:ascii="Arial" w:cs="Arial" w:eastAsia="Arial" w:hAnsi="Arial"/>
                <w:sz w:val="14"/>
                <w:szCs w:val="14"/>
                <w:color w:val="auto"/>
              </w:rPr>
              <w:t>from discontinued operations, net of tax</w:t>
            </w:r>
          </w:p>
        </w:tc>
        <w:tc>
          <w:tcPr>
            <w:tcW w:w="66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(20,330)</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4"/>
                <w:szCs w:val="14"/>
                <w:color w:val="auto"/>
                <w:w w:val="98"/>
              </w:rPr>
              <w:t>Non-</w:t>
            </w:r>
          </w:p>
        </w:tc>
        <w:tc>
          <w:tcPr>
            <w:tcW w:w="3700" w:type="dxa"/>
            <w:vAlign w:val="bottom"/>
            <w:tcBorders>
              <w:top w:val="single" w:sz="8" w:color="BFE4FF"/>
              <w:bottom w:val="single" w:sz="8" w:color="BFE4FF"/>
            </w:tcBorders>
            <w:shd w:val="clear" w:color="auto" w:fill="BFE4FF"/>
          </w:tcPr>
          <w:p>
            <w:pPr>
              <w:spacing w:after="0"/>
              <w:rPr>
                <w:sz w:val="20"/>
                <w:szCs w:val="20"/>
                <w:color w:val="auto"/>
              </w:rPr>
            </w:pPr>
            <w:r>
              <w:rPr>
                <w:rFonts w:ascii="Arial" w:cs="Arial" w:eastAsia="Arial" w:hAnsi="Arial"/>
                <w:sz w:val="14"/>
                <w:szCs w:val="14"/>
                <w:color w:val="auto"/>
              </w:rPr>
              <w:t>GAAP adjusted EBITDA (b)</w:t>
            </w:r>
          </w:p>
        </w:tc>
        <w:tc>
          <w:tcPr>
            <w:tcW w:w="660" w:type="dxa"/>
            <w:vAlign w:val="bottom"/>
            <w:tcBorders>
              <w:top w:val="single" w:sz="8" w:color="BFE4FF"/>
              <w:bottom w:val="single" w:sz="8" w:color="BFE4FF"/>
            </w:tcBorders>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9,730$</w:t>
            </w:r>
          </w:p>
        </w:tc>
        <w:tc>
          <w:tcPr>
            <w:tcW w:w="100" w:type="dxa"/>
            <w:vAlign w:val="bottom"/>
            <w:tcBorders>
              <w:top w:val="single" w:sz="8" w:color="BFE4FF"/>
              <w:bottom w:val="single" w:sz="8" w:color="BFE4FF"/>
            </w:tcBorders>
            <w:shd w:val="clear" w:color="auto" w:fill="BFE4FF"/>
          </w:tcPr>
          <w:p>
            <w:pPr>
              <w:spacing w:after="0"/>
              <w:rPr>
                <w:sz w:val="17"/>
                <w:szCs w:val="17"/>
                <w:color w:val="auto"/>
              </w:rPr>
            </w:pPr>
          </w:p>
        </w:tc>
        <w:tc>
          <w:tcPr>
            <w:tcW w:w="13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14,658</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4"/>
                <w:szCs w:val="14"/>
                <w:color w:val="auto"/>
                <w:w w:val="98"/>
              </w:rPr>
              <w:t>Non-</w:t>
            </w:r>
          </w:p>
        </w:tc>
        <w:tc>
          <w:tcPr>
            <w:tcW w:w="3700" w:type="dxa"/>
            <w:vAlign w:val="bottom"/>
            <w:tcBorders>
              <w:top w:val="single" w:sz="8" w:color="BFE4FF"/>
            </w:tcBorders>
          </w:tcPr>
          <w:p>
            <w:pPr>
              <w:spacing w:after="0" w:line="20" w:lineRule="exact"/>
              <w:rPr>
                <w:sz w:val="1"/>
                <w:szCs w:val="1"/>
                <w:color w:val="auto"/>
              </w:rPr>
            </w:pPr>
          </w:p>
        </w:tc>
        <w:tc>
          <w:tcPr>
            <w:tcW w:w="660" w:type="dxa"/>
            <w:vAlign w:val="bottom"/>
            <w:tcBorders>
              <w:top w:val="single" w:sz="8" w:color="BFE4FF"/>
            </w:tcBorders>
          </w:tcPr>
          <w:p>
            <w:pPr>
              <w:spacing w:after="0" w:line="20" w:lineRule="exact"/>
              <w:rPr>
                <w:sz w:val="1"/>
                <w:szCs w:val="1"/>
                <w:color w:val="auto"/>
              </w:rPr>
            </w:pPr>
          </w:p>
        </w:tc>
        <w:tc>
          <w:tcPr>
            <w:tcW w:w="13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3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vMerge w:val="continue"/>
          </w:tcPr>
          <w:p>
            <w:pPr>
              <w:spacing w:after="0"/>
              <w:rPr>
                <w:sz w:val="17"/>
                <w:szCs w:val="17"/>
                <w:color w:val="auto"/>
              </w:rPr>
            </w:pPr>
          </w:p>
        </w:tc>
        <w:tc>
          <w:tcPr>
            <w:tcW w:w="3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 w:type="dxa"/>
            <w:vAlign w:val="bottom"/>
            <w:vMerge w:val="continue"/>
          </w:tcPr>
          <w:p>
            <w:pPr>
              <w:spacing w:after="0"/>
              <w:rPr>
                <w:sz w:val="16"/>
                <w:szCs w:val="16"/>
                <w:color w:val="auto"/>
              </w:rPr>
            </w:pPr>
          </w:p>
        </w:tc>
        <w:tc>
          <w:tcPr>
            <w:tcW w:w="3700" w:type="dxa"/>
            <w:vAlign w:val="bottom"/>
            <w:shd w:val="clear" w:color="auto" w:fill="BFE4FF"/>
          </w:tcPr>
          <w:p>
            <w:pPr>
              <w:spacing w:after="0"/>
              <w:rPr>
                <w:sz w:val="20"/>
                <w:szCs w:val="20"/>
                <w:color w:val="auto"/>
              </w:rPr>
            </w:pPr>
            <w:r>
              <w:rPr>
                <w:rFonts w:ascii="Arial" w:cs="Arial" w:eastAsia="Arial" w:hAnsi="Arial"/>
                <w:sz w:val="14"/>
                <w:szCs w:val="14"/>
                <w:color w:val="auto"/>
              </w:rPr>
              <w:t>GAAP adjusted EBITDA margin (2)</w:t>
            </w:r>
          </w:p>
        </w:tc>
        <w:tc>
          <w:tcPr>
            <w:tcW w:w="660" w:type="dxa"/>
            <w:vAlign w:val="bottom"/>
            <w:shd w:val="clear" w:color="auto" w:fill="BFE4FF"/>
          </w:tcPr>
          <w:p>
            <w:pPr>
              <w:spacing w:after="0"/>
              <w:rPr>
                <w:sz w:val="16"/>
                <w:szCs w:val="16"/>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BFE4FF"/>
          </w:tcPr>
          <w:p>
            <w:pPr>
              <w:spacing w:after="0"/>
              <w:rPr>
                <w:sz w:val="16"/>
                <w:szCs w:val="16"/>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4"/>
        </w:trPr>
        <w:tc>
          <w:tcPr>
            <w:tcW w:w="4020" w:type="dxa"/>
            <w:vAlign w:val="bottom"/>
            <w:gridSpan w:val="2"/>
          </w:tcPr>
          <w:p>
            <w:pPr>
              <w:spacing w:after="0"/>
              <w:rPr>
                <w:sz w:val="20"/>
                <w:szCs w:val="20"/>
                <w:color w:val="auto"/>
              </w:rPr>
            </w:pPr>
            <w:r>
              <w:rPr>
                <w:rFonts w:ascii="Arial" w:cs="Arial" w:eastAsia="Arial" w:hAnsi="Arial"/>
                <w:sz w:val="14"/>
                <w:szCs w:val="14"/>
                <w:color w:val="auto"/>
              </w:rPr>
              <w:t>GAAP net sales</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117,244$</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113,761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-1586230</wp:posOffset>
            </wp:positionV>
            <wp:extent cx="451739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17390" cy="12001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-1346200</wp:posOffset>
            </wp:positionV>
            <wp:extent cx="451739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17390" cy="13716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-1089025</wp:posOffset>
            </wp:positionV>
            <wp:extent cx="451739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spacing w:after="0" w:line="203" w:lineRule="exact"/>
        <w:rPr>
          <w:sz w:val="20"/>
          <w:szCs w:val="20"/>
          <w:color w:val="auto"/>
        </w:rPr>
      </w:pPr>
    </w:p>
    <w:p>
      <w:pPr>
        <w:ind w:left="820" w:hanging="312"/>
        <w:spacing w:after="0"/>
        <w:tabs>
          <w:tab w:leader="none" w:pos="8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Non-GAAP adjusted EBITDA margin = Non-GAAP adjusted EBITDA / GAAP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20"/>
          </w:cols>
          <w:pgMar w:left="1440" w:top="1390" w:right="339" w:bottom="1440" w:gutter="0" w:footer="0" w:header="0"/>
        </w:sectPr>
      </w:pPr>
    </w:p>
    <w:bookmarkStart w:id="11" w:name="page12"/>
    <w:bookmarkEnd w:id="11"/>
    <w:p>
      <w:pPr>
        <w:spacing w:after="0" w:line="36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Reconciliation of Net Income (Loss) to Non-GAAP Adjusted Net Income (Loss) and Net Income (Loss)</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per Diluted Share to Non-GAAP Adjusted Net Income (Loss) per Diluted Share</w:t>
      </w:r>
    </w:p>
    <w:p>
      <w:pPr>
        <w:spacing w:after="0" w:line="135"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w w:val="97"/>
              </w:rPr>
              <w:t>Three Months Ended September 30,</w:t>
            </w:r>
          </w:p>
        </w:tc>
        <w:tc>
          <w:tcPr>
            <w:tcW w:w="0" w:type="dxa"/>
            <w:vAlign w:val="bottom"/>
          </w:tcPr>
          <w:p>
            <w:pPr>
              <w:spacing w:after="0"/>
              <w:rPr>
                <w:sz w:val="1"/>
                <w:szCs w:val="1"/>
                <w:color w:val="auto"/>
              </w:rPr>
            </w:pPr>
          </w:p>
        </w:tc>
      </w:tr>
      <w:tr>
        <w:trPr>
          <w:trHeight w:val="188"/>
        </w:trPr>
        <w:tc>
          <w:tcPr>
            <w:tcW w:w="528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i w:val="1"/>
                <w:iCs w:val="1"/>
                <w:color w:val="auto"/>
              </w:rPr>
              <w:t>000's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GAAP net income (loss)</w:t>
            </w:r>
          </w:p>
        </w:tc>
        <w:tc>
          <w:tcPr>
            <w:tcW w:w="2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(3,377)</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21,970</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Pre-tax acquisition and transition expense</w:t>
            </w:r>
          </w:p>
        </w:tc>
        <w:tc>
          <w:tcPr>
            <w:tcW w:w="200" w:type="dxa"/>
            <w:vAlign w:val="bottom"/>
            <w:shd w:val="clear" w:color="auto" w:fill="BFE4FF"/>
          </w:tcPr>
          <w:p>
            <w:pPr>
              <w:spacing w:after="0"/>
              <w:rPr>
                <w:sz w:val="16"/>
                <w:szCs w:val="16"/>
                <w:color w:val="auto"/>
              </w:rPr>
            </w:pPr>
          </w:p>
        </w:tc>
        <w:tc>
          <w:tcPr>
            <w:tcW w:w="11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832</w:t>
            </w:r>
          </w:p>
        </w:tc>
        <w:tc>
          <w:tcPr>
            <w:tcW w:w="100" w:type="dxa"/>
            <w:vAlign w:val="bottom"/>
            <w:shd w:val="clear" w:color="auto" w:fill="BFE4FF"/>
          </w:tcPr>
          <w:p>
            <w:pPr>
              <w:spacing w:after="0"/>
              <w:rPr>
                <w:sz w:val="16"/>
                <w:szCs w:val="16"/>
                <w:color w:val="auto"/>
              </w:rPr>
            </w:pPr>
          </w:p>
        </w:tc>
        <w:tc>
          <w:tcPr>
            <w:tcW w:w="320" w:type="dxa"/>
            <w:vAlign w:val="bottom"/>
            <w:shd w:val="clear" w:color="auto" w:fill="BFE4FF"/>
          </w:tcPr>
          <w:p>
            <w:pPr>
              <w:spacing w:after="0"/>
              <w:rPr>
                <w:sz w:val="16"/>
                <w:szCs w:val="16"/>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Pre-tax foreign exchange (gain) loss on inter-company loans</w:t>
            </w: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92"/>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Pre-tax change in fair value of preferred stock derivatives and warrants</w:t>
            </w:r>
          </w:p>
        </w:tc>
        <w:tc>
          <w:tcPr>
            <w:tcW w:w="200" w:type="dxa"/>
            <w:vAlign w:val="bottom"/>
            <w:shd w:val="clear" w:color="auto" w:fill="BFE4FF"/>
          </w:tcPr>
          <w:p>
            <w:pPr>
              <w:spacing w:after="0"/>
              <w:rPr>
                <w:sz w:val="16"/>
                <w:szCs w:val="16"/>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(4,829)</w:t>
            </w:r>
          </w:p>
        </w:tc>
        <w:tc>
          <w:tcPr>
            <w:tcW w:w="100" w:type="dxa"/>
            <w:vAlign w:val="bottom"/>
            <w:shd w:val="clear" w:color="auto" w:fill="BFE4FF"/>
          </w:tcPr>
          <w:p>
            <w:pPr>
              <w:spacing w:after="0"/>
              <w:rPr>
                <w:sz w:val="16"/>
                <w:szCs w:val="16"/>
                <w:color w:val="auto"/>
              </w:rPr>
            </w:pPr>
          </w:p>
        </w:tc>
        <w:tc>
          <w:tcPr>
            <w:tcW w:w="320" w:type="dxa"/>
            <w:vAlign w:val="bottom"/>
            <w:shd w:val="clear" w:color="auto" w:fill="BFE4FF"/>
          </w:tcPr>
          <w:p>
            <w:pPr>
              <w:spacing w:after="0"/>
              <w:rPr>
                <w:sz w:val="16"/>
                <w:szCs w:val="16"/>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Pre-tax amortization of intangibles and deferred financing costs</w:t>
            </w: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3,918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4,007</w:t>
            </w:r>
          </w:p>
        </w:tc>
        <w:tc>
          <w:tcPr>
            <w:tcW w:w="0" w:type="dxa"/>
            <w:vAlign w:val="bottom"/>
          </w:tcPr>
          <w:p>
            <w:pPr>
              <w:spacing w:after="0"/>
              <w:rPr>
                <w:sz w:val="1"/>
                <w:szCs w:val="1"/>
                <w:color w:val="auto"/>
              </w:rPr>
            </w:pPr>
          </w:p>
        </w:tc>
      </w:tr>
      <w:tr>
        <w:trPr>
          <w:trHeight w:val="192"/>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Tax effect of adjustments reflected above (c)</w:t>
            </w:r>
          </w:p>
        </w:tc>
        <w:tc>
          <w:tcPr>
            <w:tcW w:w="200" w:type="dxa"/>
            <w:vAlign w:val="bottom"/>
            <w:shd w:val="clear" w:color="auto" w:fill="BFE4FF"/>
          </w:tcPr>
          <w:p>
            <w:pPr>
              <w:spacing w:after="0"/>
              <w:rPr>
                <w:sz w:val="16"/>
                <w:szCs w:val="16"/>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BFE4FF"/>
          </w:tcPr>
          <w:p>
            <w:pPr>
              <w:spacing w:after="0"/>
              <w:rPr>
                <w:sz w:val="16"/>
                <w:szCs w:val="16"/>
                <w:color w:val="auto"/>
              </w:rPr>
            </w:pPr>
          </w:p>
        </w:tc>
        <w:tc>
          <w:tcPr>
            <w:tcW w:w="320" w:type="dxa"/>
            <w:vAlign w:val="bottom"/>
            <w:shd w:val="clear" w:color="auto" w:fill="BFE4FF"/>
          </w:tcPr>
          <w:p>
            <w:pPr>
              <w:spacing w:after="0"/>
              <w:rPr>
                <w:sz w:val="16"/>
                <w:szCs w:val="16"/>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Non-GAAP discrete tax adjustments</w:t>
            </w: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3,469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(3,685)</w:t>
            </w:r>
          </w:p>
        </w:tc>
        <w:tc>
          <w:tcPr>
            <w:tcW w:w="0" w:type="dxa"/>
            <w:vAlign w:val="bottom"/>
          </w:tcPr>
          <w:p>
            <w:pPr>
              <w:spacing w:after="0"/>
              <w:rPr>
                <w:sz w:val="1"/>
                <w:szCs w:val="1"/>
                <w:color w:val="auto"/>
              </w:rPr>
            </w:pPr>
          </w:p>
        </w:tc>
      </w:tr>
      <w:tr>
        <w:trPr>
          <w:trHeight w:val="189"/>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(Income) loss from discontinued operations</w:t>
            </w:r>
          </w:p>
        </w:tc>
        <w:tc>
          <w:tcPr>
            <w:tcW w:w="200" w:type="dxa"/>
            <w:vAlign w:val="bottom"/>
            <w:shd w:val="clear" w:color="auto" w:fill="BFE4FF"/>
          </w:tcPr>
          <w:p>
            <w:pPr>
              <w:spacing w:after="0"/>
              <w:rPr>
                <w:sz w:val="16"/>
                <w:szCs w:val="16"/>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BFE4FF"/>
          </w:tcPr>
          <w:p>
            <w:pPr>
              <w:spacing w:after="0"/>
              <w:rPr>
                <w:sz w:val="16"/>
                <w:szCs w:val="16"/>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(20,330)</w:t>
            </w: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Non-GAAP adjusted net income (loss) (d)</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w w:val="97"/>
              </w:rPr>
              <w:t>Three Months Ended September 30,</w:t>
            </w:r>
          </w:p>
        </w:tc>
        <w:tc>
          <w:tcPr>
            <w:tcW w:w="0" w:type="dxa"/>
            <w:vAlign w:val="bottom"/>
          </w:tcPr>
          <w:p>
            <w:pPr>
              <w:spacing w:after="0"/>
              <w:rPr>
                <w:sz w:val="1"/>
                <w:szCs w:val="1"/>
                <w:color w:val="auto"/>
              </w:rPr>
            </w:pPr>
          </w:p>
        </w:tc>
      </w:tr>
      <w:tr>
        <w:trPr>
          <w:trHeight w:val="188"/>
        </w:trPr>
        <w:tc>
          <w:tcPr>
            <w:tcW w:w="528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i w:val="1"/>
                <w:iCs w:val="1"/>
                <w:color w:val="auto"/>
              </w:rPr>
              <w:t>Amounts per share, diluted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GAAP net income (loss) per diluted share</w:t>
            </w:r>
          </w:p>
        </w:tc>
        <w:tc>
          <w:tcPr>
            <w:tcW w:w="2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Pre-tax acquisition and transition expense</w:t>
            </w:r>
          </w:p>
        </w:tc>
        <w:tc>
          <w:tcPr>
            <w:tcW w:w="200" w:type="dxa"/>
            <w:vAlign w:val="bottom"/>
            <w:shd w:val="clear" w:color="auto" w:fill="BFE4FF"/>
          </w:tcPr>
          <w:p>
            <w:pPr>
              <w:spacing w:after="0"/>
              <w:rPr>
                <w:sz w:val="16"/>
                <w:szCs w:val="16"/>
                <w:color w:val="auto"/>
              </w:rPr>
            </w:pPr>
          </w:p>
        </w:tc>
        <w:tc>
          <w:tcPr>
            <w:tcW w:w="11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BFE4FF"/>
          </w:tcPr>
          <w:p>
            <w:pPr>
              <w:spacing w:after="0"/>
              <w:rPr>
                <w:sz w:val="16"/>
                <w:szCs w:val="16"/>
                <w:color w:val="auto"/>
              </w:rPr>
            </w:pPr>
          </w:p>
        </w:tc>
        <w:tc>
          <w:tcPr>
            <w:tcW w:w="320" w:type="dxa"/>
            <w:vAlign w:val="bottom"/>
            <w:shd w:val="clear" w:color="auto" w:fill="BFE4FF"/>
          </w:tcPr>
          <w:p>
            <w:pPr>
              <w:spacing w:after="0"/>
              <w:rPr>
                <w:sz w:val="16"/>
                <w:szCs w:val="16"/>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Pre-tax foreign exchange (gain) loss on inter-company loans</w:t>
            </w: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92"/>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Pre-tax change in fair value of preferred stock derivatives and warrants</w:t>
            </w:r>
          </w:p>
        </w:tc>
        <w:tc>
          <w:tcPr>
            <w:tcW w:w="200" w:type="dxa"/>
            <w:vAlign w:val="bottom"/>
            <w:shd w:val="clear" w:color="auto" w:fill="BFE4FF"/>
          </w:tcPr>
          <w:p>
            <w:pPr>
              <w:spacing w:after="0"/>
              <w:rPr>
                <w:sz w:val="16"/>
                <w:szCs w:val="16"/>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(0.11)</w:t>
            </w:r>
          </w:p>
        </w:tc>
        <w:tc>
          <w:tcPr>
            <w:tcW w:w="100" w:type="dxa"/>
            <w:vAlign w:val="bottom"/>
            <w:shd w:val="clear" w:color="auto" w:fill="BFE4FF"/>
          </w:tcPr>
          <w:p>
            <w:pPr>
              <w:spacing w:after="0"/>
              <w:rPr>
                <w:sz w:val="16"/>
                <w:szCs w:val="16"/>
                <w:color w:val="auto"/>
              </w:rPr>
            </w:pPr>
          </w:p>
        </w:tc>
        <w:tc>
          <w:tcPr>
            <w:tcW w:w="320" w:type="dxa"/>
            <w:vAlign w:val="bottom"/>
            <w:shd w:val="clear" w:color="auto" w:fill="BFE4FF"/>
          </w:tcPr>
          <w:p>
            <w:pPr>
              <w:spacing w:after="0"/>
              <w:rPr>
                <w:sz w:val="16"/>
                <w:szCs w:val="16"/>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Pre-tax amortization of intangibles and deferred financing costs</w:t>
            </w: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92"/>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Tax effect of adjustments reflected above (c)</w:t>
            </w:r>
          </w:p>
        </w:tc>
        <w:tc>
          <w:tcPr>
            <w:tcW w:w="200" w:type="dxa"/>
            <w:vAlign w:val="bottom"/>
            <w:shd w:val="clear" w:color="auto" w:fill="BFE4FF"/>
          </w:tcPr>
          <w:p>
            <w:pPr>
              <w:spacing w:after="0"/>
              <w:rPr>
                <w:sz w:val="16"/>
                <w:szCs w:val="16"/>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BFE4FF"/>
          </w:tcPr>
          <w:p>
            <w:pPr>
              <w:spacing w:after="0"/>
              <w:rPr>
                <w:sz w:val="16"/>
                <w:szCs w:val="16"/>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Non-GAAP discrete tax adjustments</w:t>
            </w: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92"/>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(Income) loss from discontinued operations</w:t>
            </w:r>
          </w:p>
        </w:tc>
        <w:tc>
          <w:tcPr>
            <w:tcW w:w="200" w:type="dxa"/>
            <w:vAlign w:val="bottom"/>
            <w:shd w:val="clear" w:color="auto" w:fill="BFE4FF"/>
          </w:tcPr>
          <w:p>
            <w:pPr>
              <w:spacing w:after="0"/>
              <w:rPr>
                <w:sz w:val="16"/>
                <w:szCs w:val="16"/>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BFE4FF"/>
          </w:tcPr>
          <w:p>
            <w:pPr>
              <w:spacing w:after="0"/>
              <w:rPr>
                <w:sz w:val="16"/>
                <w:szCs w:val="16"/>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86"/>
        </w:trPr>
        <w:tc>
          <w:tcPr>
            <w:tcW w:w="5280" w:type="dxa"/>
            <w:vAlign w:val="bottom"/>
            <w:tcBorders>
              <w:bottom w:val="single" w:sz="8" w:color="BFE4FF"/>
            </w:tcBorders>
          </w:tcPr>
          <w:p>
            <w:pPr>
              <w:ind w:left="20"/>
              <w:spacing w:after="0"/>
              <w:rPr>
                <w:sz w:val="20"/>
                <w:szCs w:val="20"/>
                <w:color w:val="auto"/>
              </w:rPr>
            </w:pPr>
            <w:r>
              <w:rPr>
                <w:rFonts w:ascii="Arial" w:cs="Arial" w:eastAsia="Arial" w:hAnsi="Arial"/>
                <w:sz w:val="14"/>
                <w:szCs w:val="14"/>
                <w:color w:val="auto"/>
              </w:rPr>
              <w:t>Preferred stock cumulative dividends and deemed dividends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11"/>
        </w:trPr>
        <w:tc>
          <w:tcPr>
            <w:tcW w:w="52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Non-GAAP adjusted net income (loss) per diluted share (d)</w:t>
            </w:r>
          </w:p>
        </w:tc>
        <w:tc>
          <w:tcPr>
            <w:tcW w:w="20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BFE4FF"/>
            </w:tcBorders>
            <w:shd w:val="clear" w:color="auto" w:fill="BFE4FF"/>
          </w:tcPr>
          <w:p>
            <w:pPr>
              <w:spacing w:after="0"/>
              <w:rPr>
                <w:sz w:val="17"/>
                <w:szCs w:val="17"/>
                <w:color w:val="auto"/>
              </w:rPr>
            </w:pPr>
          </w:p>
        </w:tc>
        <w:tc>
          <w:tcPr>
            <w:tcW w:w="320" w:type="dxa"/>
            <w:vAlign w:val="bottom"/>
            <w:tcBorders>
              <w:bottom w:val="single" w:sz="8" w:color="auto"/>
            </w:tcBorders>
            <w:shd w:val="clear" w:color="auto" w:fill="BFE4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528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1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06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8"/>
              <w:spacing w:after="0" w:line="156" w:lineRule="exact"/>
              <w:rPr>
                <w:sz w:val="20"/>
                <w:szCs w:val="20"/>
                <w:color w:val="auto"/>
              </w:rPr>
            </w:pPr>
            <w:r>
              <w:rPr>
                <w:rFonts w:ascii="Arial" w:cs="Arial" w:eastAsia="Arial" w:hAnsi="Arial"/>
                <w:sz w:val="14"/>
                <w:szCs w:val="14"/>
                <w:color w:val="auto"/>
              </w:rPr>
              <w:t>44,455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42,202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120"/>
          </w:cols>
          <w:pgMar w:left="1440" w:top="1440" w:right="339" w:bottom="1440" w:gutter="0" w:footer="0" w:header="0"/>
        </w:sectPr>
      </w:pPr>
    </w:p>
    <w:bookmarkStart w:id="12" w:name="page13"/>
    <w:bookmarkEnd w:id="12"/>
    <w:p>
      <w:pPr>
        <w:spacing w:after="0" w:line="19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Reconciliation of Operating Cash Flow to Free Cash Flow</w:t>
      </w:r>
    </w:p>
    <w:p>
      <w:pPr>
        <w:spacing w:after="0" w:line="271"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40" w:type="dxa"/>
            <w:vAlign w:val="bottom"/>
            <w:gridSpan w:val="3"/>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3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1040" w:type="dxa"/>
            <w:vAlign w:val="bottom"/>
          </w:tcPr>
          <w:p>
            <w:pPr>
              <w:spacing w:after="0"/>
              <w:rPr>
                <w:sz w:val="15"/>
                <w:szCs w:val="15"/>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78"/>
        </w:trPr>
        <w:tc>
          <w:tcPr>
            <w:tcW w:w="3640" w:type="dxa"/>
            <w:vAlign w:val="bottom"/>
            <w:gridSpan w:val="2"/>
          </w:tcPr>
          <w:p>
            <w:pPr>
              <w:spacing w:after="0"/>
              <w:rPr>
                <w:sz w:val="20"/>
                <w:szCs w:val="20"/>
                <w:color w:val="auto"/>
              </w:rPr>
            </w:pPr>
            <w:r>
              <w:rPr>
                <w:rFonts w:ascii="Arial" w:cs="Arial" w:eastAsia="Arial" w:hAnsi="Arial"/>
                <w:sz w:val="14"/>
                <w:szCs w:val="14"/>
                <w:color w:val="auto"/>
              </w:rPr>
              <w:t>Net cash provided by (used in) operating activities</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5"/>
                <w:szCs w:val="15"/>
                <w:color w:val="auto"/>
              </w:rPr>
            </w:pPr>
          </w:p>
        </w:tc>
        <w:tc>
          <w:tcPr>
            <w:tcW w:w="1320" w:type="dxa"/>
            <w:vAlign w:val="bottom"/>
          </w:tcPr>
          <w:p>
            <w:pPr>
              <w:jc w:val="center"/>
              <w:ind w:left="808"/>
              <w:spacing w:after="0"/>
              <w:rPr>
                <w:sz w:val="20"/>
                <w:szCs w:val="20"/>
                <w:color w:val="auto"/>
              </w:rPr>
            </w:pPr>
            <w:r>
              <w:rPr>
                <w:rFonts w:ascii="Arial" w:cs="Arial" w:eastAsia="Arial" w:hAnsi="Arial"/>
                <w:sz w:val="14"/>
                <w:szCs w:val="14"/>
                <w:color w:val="auto"/>
                <w:w w:val="91"/>
              </w:rPr>
              <w:t>3,482</w:t>
            </w:r>
          </w:p>
        </w:tc>
      </w:tr>
      <w:tr>
        <w:trPr>
          <w:trHeight w:val="190"/>
        </w:trPr>
        <w:tc>
          <w:tcPr>
            <w:tcW w:w="3640" w:type="dxa"/>
            <w:vAlign w:val="bottom"/>
            <w:gridSpan w:val="2"/>
          </w:tcPr>
          <w:p>
            <w:pPr>
              <w:spacing w:after="0"/>
              <w:rPr>
                <w:sz w:val="20"/>
                <w:szCs w:val="20"/>
                <w:color w:val="auto"/>
              </w:rPr>
            </w:pPr>
            <w:r>
              <w:rPr>
                <w:rFonts w:ascii="Arial" w:cs="Arial" w:eastAsia="Arial" w:hAnsi="Arial"/>
                <w:sz w:val="14"/>
                <w:szCs w:val="14"/>
                <w:color w:val="auto"/>
              </w:rPr>
              <w:t>Acquisition of property, plant and equipment</w:t>
            </w:r>
          </w:p>
        </w:tc>
        <w:tc>
          <w:tcPr>
            <w:tcW w:w="10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(3,541)</w:t>
            </w:r>
          </w:p>
        </w:tc>
        <w:tc>
          <w:tcPr>
            <w:tcW w:w="100" w:type="dxa"/>
            <w:vAlign w:val="bottom"/>
          </w:tcPr>
          <w:p>
            <w:pPr>
              <w:spacing w:after="0"/>
              <w:rPr>
                <w:sz w:val="16"/>
                <w:szCs w:val="16"/>
                <w:color w:val="auto"/>
              </w:rPr>
            </w:pPr>
          </w:p>
        </w:tc>
        <w:tc>
          <w:tcPr>
            <w:tcW w:w="1320" w:type="dxa"/>
            <w:vAlign w:val="bottom"/>
          </w:tcPr>
          <w:p>
            <w:pPr>
              <w:jc w:val="center"/>
              <w:ind w:left="788"/>
              <w:spacing w:after="0"/>
              <w:rPr>
                <w:sz w:val="20"/>
                <w:szCs w:val="20"/>
                <w:color w:val="auto"/>
              </w:rPr>
            </w:pPr>
            <w:r>
              <w:rPr>
                <w:rFonts w:ascii="Arial" w:cs="Arial" w:eastAsia="Arial" w:hAnsi="Arial"/>
                <w:sz w:val="14"/>
                <w:szCs w:val="14"/>
                <w:color w:val="auto"/>
                <w:w w:val="94"/>
              </w:rPr>
              <w:t>(4,894)</w:t>
            </w:r>
          </w:p>
        </w:tc>
      </w:tr>
      <w:tr>
        <w:trPr>
          <w:trHeight w:val="213"/>
        </w:trPr>
        <w:tc>
          <w:tcPr>
            <w:tcW w:w="320" w:type="dxa"/>
            <w:vAlign w:val="bottom"/>
          </w:tcPr>
          <w:p>
            <w:pPr>
              <w:spacing w:after="0"/>
              <w:rPr>
                <w:sz w:val="20"/>
                <w:szCs w:val="20"/>
                <w:color w:val="auto"/>
              </w:rPr>
            </w:pPr>
            <w:r>
              <w:rPr>
                <w:rFonts w:ascii="Arial" w:cs="Arial" w:eastAsia="Arial" w:hAnsi="Arial"/>
                <w:sz w:val="14"/>
                <w:szCs w:val="14"/>
                <w:color w:val="auto"/>
              </w:rPr>
              <w:t>Free</w:t>
            </w:r>
          </w:p>
        </w:tc>
        <w:tc>
          <w:tcPr>
            <w:tcW w:w="3320" w:type="dxa"/>
            <w:vAlign w:val="bottom"/>
            <w:tcBorders>
              <w:top w:val="single" w:sz="8" w:color="BFE4FF"/>
              <w:bottom w:val="single" w:sz="8" w:color="BFE4FF"/>
            </w:tcBorders>
            <w:shd w:val="clear" w:color="auto" w:fill="BFE4FF"/>
          </w:tcPr>
          <w:p>
            <w:pPr>
              <w:spacing w:after="0"/>
              <w:rPr>
                <w:sz w:val="20"/>
                <w:szCs w:val="20"/>
                <w:color w:val="auto"/>
              </w:rPr>
            </w:pPr>
            <w:r>
              <w:rPr>
                <w:rFonts w:ascii="Arial" w:cs="Arial" w:eastAsia="Arial" w:hAnsi="Arial"/>
                <w:sz w:val="14"/>
                <w:szCs w:val="14"/>
                <w:color w:val="auto"/>
              </w:rPr>
              <w:t>cash flow</w:t>
            </w:r>
          </w:p>
        </w:tc>
        <w:tc>
          <w:tcPr>
            <w:tcW w:w="1040" w:type="dxa"/>
            <w:vAlign w:val="bottom"/>
            <w:tcBorders>
              <w:top w:val="single" w:sz="8" w:color="BFE4FF"/>
              <w:bottom w:val="single" w:sz="8" w:color="BFE4FF"/>
            </w:tcBorders>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(3,748)$</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1320" w:type="dxa"/>
            <w:vAlign w:val="bottom"/>
            <w:tcBorders>
              <w:top w:val="single" w:sz="8" w:color="auto"/>
              <w:bottom w:val="single" w:sz="8" w:color="auto"/>
            </w:tcBorders>
            <w:shd w:val="clear" w:color="auto" w:fill="BFE4FF"/>
          </w:tcPr>
          <w:p>
            <w:pPr>
              <w:jc w:val="center"/>
              <w:ind w:left="788"/>
              <w:spacing w:after="0"/>
              <w:rPr>
                <w:sz w:val="20"/>
                <w:szCs w:val="20"/>
                <w:color w:val="auto"/>
              </w:rPr>
            </w:pPr>
            <w:r>
              <w:rPr>
                <w:rFonts w:ascii="Arial" w:cs="Arial" w:eastAsia="Arial" w:hAnsi="Arial"/>
                <w:sz w:val="14"/>
                <w:szCs w:val="14"/>
                <w:color w:val="auto"/>
                <w:w w:val="94"/>
              </w:rPr>
              <w:t>(1,412)</w:t>
            </w:r>
          </w:p>
        </w:tc>
      </w:tr>
      <w:tr>
        <w:trPr>
          <w:trHeight w:val="20"/>
        </w:trPr>
        <w:tc>
          <w:tcPr>
            <w:tcW w:w="320" w:type="dxa"/>
            <w:vAlign w:val="bottom"/>
          </w:tcPr>
          <w:p>
            <w:pPr>
              <w:spacing w:after="0" w:line="20" w:lineRule="exact"/>
              <w:rPr>
                <w:sz w:val="1"/>
                <w:szCs w:val="1"/>
                <w:color w:val="auto"/>
              </w:rPr>
            </w:pPr>
          </w:p>
        </w:tc>
        <w:tc>
          <w:tcPr>
            <w:tcW w:w="3320" w:type="dxa"/>
            <w:vAlign w:val="bottom"/>
            <w:tcBorders>
              <w:top w:val="single" w:sz="8" w:color="BFE4FF"/>
            </w:tcBorders>
          </w:tcPr>
          <w:p>
            <w:pPr>
              <w:spacing w:after="0" w:line="20" w:lineRule="exact"/>
              <w:rPr>
                <w:sz w:val="1"/>
                <w:szCs w:val="1"/>
                <w:color w:val="auto"/>
              </w:rPr>
            </w:pPr>
          </w:p>
        </w:tc>
        <w:tc>
          <w:tcPr>
            <w:tcW w:w="1040" w:type="dxa"/>
            <w:vAlign w:val="bottom"/>
            <w:tcBorders>
              <w:top w:val="single" w:sz="8" w:color="BFE4FF"/>
            </w:tcBorders>
          </w:tcPr>
          <w:p>
            <w:pPr>
              <w:spacing w:after="0" w:line="20" w:lineRule="exact"/>
              <w:rPr>
                <w:sz w:val="1"/>
                <w:szCs w:val="1"/>
                <w:color w:val="auto"/>
              </w:rPr>
            </w:pPr>
          </w:p>
        </w:tc>
        <w:tc>
          <w:tcPr>
            <w:tcW w:w="13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320" w:type="dxa"/>
            <w:vAlign w:val="bottom"/>
            <w:tcBorders>
              <w:top w:val="single" w:sz="8" w:color="BFE4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-410845</wp:posOffset>
            </wp:positionV>
            <wp:extent cx="451739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1739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120"/>
          </w:cols>
          <w:pgMar w:left="1440" w:top="1440" w:right="339" w:bottom="1440" w:gutter="0" w:footer="0" w:header="0"/>
        </w:sectPr>
      </w:pPr>
    </w:p>
    <w:bookmarkStart w:id="13" w:name="page14"/>
    <w:bookmarkEnd w:id="13"/>
    <w:p>
      <w:pPr>
        <w:spacing w:after="0" w:line="267" w:lineRule="auto"/>
        <w:rPr>
          <w:sz w:val="20"/>
          <w:szCs w:val="20"/>
          <w:color w:val="auto"/>
        </w:rPr>
      </w:pPr>
      <w:r>
        <w:rPr>
          <w:rFonts w:ascii="Arial" w:cs="Arial" w:eastAsia="Arial" w:hAnsi="Arial"/>
          <w:sz w:val="16"/>
          <w:szCs w:val="16"/>
          <w:i w:val="1"/>
          <w:iCs w:val="1"/>
          <w:color w:val="auto"/>
        </w:rPr>
        <w:t>The Company discloses in this presentation the non-GAAP financial measures of adjusted income (loss) from operations, adjusted EBITDA, adjusted net income (loss), adjusted net income (loss) per diluted share, free cash flow and net debt.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one of which was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share, free cash flow and net debt provides useful information in assessing our underlying business trends and facilitates comparison of our long-term performance over given periods.</w:t>
      </w:r>
    </w:p>
    <w:p>
      <w:pPr>
        <w:spacing w:after="0" w:line="151"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59" w:lineRule="exact"/>
        <w:rPr>
          <w:sz w:val="20"/>
          <w:szCs w:val="20"/>
          <w:color w:val="auto"/>
        </w:rPr>
      </w:pPr>
    </w:p>
    <w:p>
      <w:pPr>
        <w:ind w:right="140" w:firstLine="8"/>
        <w:spacing w:after="0" w:line="269" w:lineRule="auto"/>
        <w:tabs>
          <w:tab w:leader="none" w:pos="243"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spacing w:after="0" w:line="149" w:lineRule="exact"/>
        <w:rPr>
          <w:rFonts w:ascii="Arial" w:cs="Arial" w:eastAsia="Arial" w:hAnsi="Arial"/>
          <w:sz w:val="16"/>
          <w:szCs w:val="16"/>
          <w:i w:val="1"/>
          <w:iCs w:val="1"/>
          <w:color w:val="auto"/>
        </w:rPr>
      </w:pPr>
    </w:p>
    <w:p>
      <w:pPr>
        <w:ind w:right="100" w:firstLine="8"/>
        <w:spacing w:after="0" w:line="269" w:lineRule="auto"/>
        <w:tabs>
          <w:tab w:leader="none" w:pos="243"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EBITDA represents GAAP net income (loss), adjusted to include income taxes, interest expense, write-off of unamortized debt issuance costs, interest rate swap payments and change in fair value,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45" w:lineRule="exact"/>
        <w:rPr>
          <w:rFonts w:ascii="Arial" w:cs="Arial" w:eastAsia="Arial" w:hAnsi="Arial"/>
          <w:sz w:val="16"/>
          <w:szCs w:val="16"/>
          <w:i w:val="1"/>
          <w:iCs w:val="1"/>
          <w:color w:val="auto"/>
        </w:rPr>
      </w:pPr>
    </w:p>
    <w:p>
      <w:pPr>
        <w:ind w:right="340" w:firstLine="8"/>
        <w:spacing w:after="0" w:line="281" w:lineRule="auto"/>
        <w:tabs>
          <w:tab w:leader="none" w:pos="234"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50" w:lineRule="exact"/>
        <w:rPr>
          <w:rFonts w:ascii="Arial" w:cs="Arial" w:eastAsia="Arial" w:hAnsi="Arial"/>
          <w:sz w:val="16"/>
          <w:szCs w:val="16"/>
          <w:i w:val="1"/>
          <w:iCs w:val="1"/>
          <w:color w:val="auto"/>
        </w:rPr>
      </w:pPr>
    </w:p>
    <w:p>
      <w:pPr>
        <w:ind w:right="20" w:firstLine="8"/>
        <w:spacing w:after="0" w:line="268" w:lineRule="auto"/>
        <w:tabs>
          <w:tab w:leader="none" w:pos="243"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sectPr>
      <w:pgSz w:w="11900" w:h="16838" w:orient="portrait"/>
      <w:cols w:equalWidth="0" w:num="1">
        <w:col w:w="11240"/>
      </w:cols>
      <w:pgMar w:left="320" w:top="13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upperLetter"/>
      <w:start w:val="40"/>
    </w:lvl>
  </w:abstractNum>
  <w:abstractNum w:abstractNumId="3">
    <w:nsid w:val="507ED7AB"/>
    <w:multiLevelType w:val="hybridMultilevel"/>
    <w:lvl w:ilvl="0">
      <w:lvlJc w:val="left"/>
      <w:lvlText w:val="%1"/>
      <w:numFmt w:val="upperLetter"/>
      <w:start w:val="40"/>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2021-11-04T16:10:15Z</dcterms:created>
  <dcterms:modified xsi:type="dcterms:W3CDTF">2021-11-04T16:10:15Z</dcterms:modified>
</cp:coreProperties>
</file>