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May 10, 2018 (May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444500</wp:posOffset>
            </wp:positionV>
            <wp:extent cx="805815" cy="797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33" w:lineRule="exact"/>
        <w:rPr>
          <w:sz w:val="24"/>
          <w:szCs w:val="24"/>
          <w:color w:val="auto"/>
        </w:rPr>
      </w:pPr>
    </w:p>
    <w:p>
      <w:pPr>
        <w:ind w:left="324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32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080" w:space="720"/>
            <w:col w:w="2620"/>
          </w:cols>
          <w:pgMar w:left="240" w:top="368" w:right="239" w:bottom="1440" w:gutter="0" w:footer="0" w:header="0"/>
          <w:type w:val="continuous"/>
        </w:sectPr>
      </w:pPr>
    </w:p>
    <w:p>
      <w:pPr>
        <w:ind w:left="29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960" w:space="720"/>
            <w:col w:w="274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May 9, 2018, NN, Inc. (the “Company”) issued a press release announcing the Company’s financial results for the quarter March 31, 2018. The full text of the press release is furnished as Exhibit 99.1 and is incorporated herein by reference.</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NN, Inc. dated May 9, 2018.</w:t>
        </w:r>
      </w:hyperlink>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1470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4705" cy="78867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172085</wp:posOffset>
            </wp:positionV>
            <wp:extent cx="170688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68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Burwell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SVP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4080" w:space="720"/>
            <w:col w:w="662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FIRST QUARTER 2018 RESULTS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Johnson City, TN, May 9, 2018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Segment Recasting</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previously disclosed, in January 2018, NN implemented a new enterprise and management structure and reorganized its businesses into three new divisions. In the first quarter of 2018, NN began reporting its financial results based on these divisions.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Mr. Holder commented, “During the first quarter we completed the strategic realignment of our business to correspond with products sold and end markets served. This realignment resulted in three new segments: Life Sciences, Mobile Solutions and Power Solutions. We anticipate that the new enterprise structure will allow NN to accelerate growth and further balance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figures provided below include recast segment results reflecting NN’s new financial reporting and organizational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sales for the first quarter of 2018 increased $11.6 million, or 7%, to $169.1 million, compared to $157.6 million for the first quarter of 2017. The life sciences and automotive end markets accounted for the increase.</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 GAAP basis, income from operations for the first quarter of 2018 was $3.7 million, compared to $13.9 million for the same period in 2017. Net Income (loss) on a GAAP basis for first quarter of 2018 was $(6.0) million. This compares to net income on a GAAP basis of $7.4 million in the first quarter of 2017. The first quarter of 2017 net income included $5.5 million of income from discontinued operations, net of tax.</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On a GAAP basis, income from operations for first quarter 2018 in the Life Sciences segment was $4.2 million, compared to $3.6 million for the same period in 2017.</w:t>
      </w:r>
    </w:p>
    <w:p>
      <w:pPr>
        <w:sectPr>
          <w:pgSz w:w="11900" w:h="16838" w:orient="portrait"/>
          <w:cols w:equalWidth="0" w:num="1">
            <w:col w:w="11420"/>
          </w:cols>
          <w:pgMar w:left="240" w:top="121" w:right="239" w:bottom="1440" w:gutter="0" w:footer="0" w:header="0"/>
          <w:type w:val="continuous"/>
        </w:sectPr>
      </w:pPr>
    </w:p>
    <w:bookmarkStart w:id="4" w:name="page5"/>
    <w:bookmarkEnd w:id="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GAAP basis, income from operations for first quarter 2018 in the Mobile Solutions segment was $9.8 million, compared to $10.6 million for the same period in 2017.</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 GAAP basis, income from operations for first quarter 2018 in the Power Solutions segment was $5.2 million, compared to $6.8 million for the same period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Adjusted income from operations for the first quarter of 2018 was $17.8 million, compared to $20.3 million for the same period in 2017. Adjusted net income increased to $8.7 million or $0.32 per diluted share from $7.1 million or $0.26 per diluted share for the same period in 2017.</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Richard Holder, President and Chief Executive Officer, commented, “During the quarter, we continued to execute on our strategy toward building a diversified industrial company. We acquired Bridgemedica, adding key product development capabilities for that segment and continued the execution of the Life Sciences integration. On May 7, we completed the acquisition of Paragon Medical, which we believe will be transformative to the Life Sciences segment. Overall operating performance in the quarter was in line with our expectations. Operating margins were as anticipated inclusive of the short-term impact of our growth programs investments as well as the integration of our recently acquired businesses (DRT Medical &amp; Bridgemedica) reflecting their pre-synergy margins.”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sales for the first quarter of 2018 were $31.2 million, compared to $23.1 million in the first quarter of 2017, an increase of 35% or $8.1 million. Adjusted income from operations for the quarter was $6.9 million, compared to $5.9 million in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Holder commented, “In addition to opening a new customer collocated engineering facility, Life Sciences added several new operations through acquisition. The operating results of these acquired locations continue to improve quarter-over-quarter as synergies are realized through the implementation of the NN Operating System.”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for the first quarter of 2018 were $89.8 million, compared to $86.4 million in the first quarter of 2017, an increase of 4% or $3.4 million. Growth in our Corporate Average Fuel Economy (CAFE) automotive business primarily accounted for the increase. Adjusted income from operations for the quarter decreased $0.5 million to $11.0 million, compared to $11.5 million in the first quarter of 2017.</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Holder commented, “Mobile Solutions continues to win new business and outgrow its CAFE-related end market. During the first quarter, the segment was preparing to launch several new multi-year programs, which required substantial up-front investment. While these investments had a negative impact on profitability in the quarter, they are expected to drive enhanced growth for Mobile Solutions in both sales and margin in the long term.”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sales for the first quarter of 2018 were $48.7 million, compared to $48.4 million in the first quarter of 2017, an increase of $0.3 million. Adjusted income from operations for the quarter was $9.2 million, compared to $9.6 million in 2017.</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Mr. Holder commented, “Power Solutions continues to execute launches on several large scale multi-year programs primarily in the Aerospace and Defense end market. Many of the associated costs are being incurred ahead of anticipated future revenues and therefore negatively impact overall margins in the short-term. In addition, sales in the first quarter were impacted by inclement weather in the Northeast United States.”</w:t>
      </w:r>
    </w:p>
    <w:p>
      <w:pPr>
        <w:sectPr>
          <w:pgSz w:w="11900" w:h="16838" w:orient="portrait"/>
          <w:cols w:equalWidth="0" w:num="1">
            <w:col w:w="11400"/>
          </w:cols>
          <w:pgMar w:left="240" w:top="274" w:right="259" w:bottom="1440" w:gutter="0" w:footer="0" w:header="0"/>
        </w:sectPr>
      </w:pPr>
    </w:p>
    <w:bookmarkStart w:id="5" w:name="page6"/>
    <w:bookmarkEnd w:id="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full set of financial guidance for the first quarter of 2018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420" w:firstLine="8"/>
        <w:spacing w:after="0" w:line="291"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on May 10, 2018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1-866-548-4713 or 1-323-794-2093 Conference</w:t>
      </w:r>
    </w:p>
    <w:p>
      <w:pPr>
        <w:spacing w:after="0"/>
        <w:rPr>
          <w:rFonts w:ascii="Arial" w:cs="Arial" w:eastAsia="Arial" w:hAnsi="Arial"/>
          <w:sz w:val="16"/>
          <w:szCs w:val="16"/>
          <w:color w:val="auto"/>
        </w:rPr>
      </w:pPr>
      <w:r>
        <w:rPr>
          <w:rFonts w:ascii="Arial" w:cs="Arial" w:eastAsia="Arial" w:hAnsi="Arial"/>
          <w:sz w:val="18"/>
          <w:szCs w:val="18"/>
          <w:color w:val="auto"/>
        </w:rPr>
        <w:t>ID: 2615028. For those who are unavailable to listen to the live broadcast, a replay will be available shortly after the call for 30 days.</w:t>
      </w:r>
    </w:p>
    <w:p>
      <w:pPr>
        <w:spacing w:after="0" w:line="211" w:lineRule="exact"/>
        <w:rPr>
          <w:sz w:val="20"/>
          <w:szCs w:val="20"/>
          <w:color w:val="auto"/>
        </w:rPr>
      </w:pPr>
    </w:p>
    <w:p>
      <w:pPr>
        <w:ind w:right="20" w:firstLine="8"/>
        <w:spacing w:after="0" w:line="259"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 supplementary information about the impacts of restructuring and integration expense, acquisition and transition expenses, foreign-exchange, amortization of intangibles and other non-operating impacts on our business.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51 facilities in North America, Western Europe, Eastern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126,444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Derivative gain on change in interest rate swap fair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9"/>
        </w:trPr>
        <w:tc>
          <w:tcPr>
            <w:tcW w:w="6760" w:type="dxa"/>
            <w:vAlign w:val="bottom"/>
            <w:gridSpan w:val="2"/>
          </w:tcPr>
          <w:p>
            <w:pPr>
              <w:spacing w:after="0"/>
              <w:rPr>
                <w:sz w:val="20"/>
                <w:szCs w:val="20"/>
                <w:color w:val="auto"/>
              </w:rPr>
            </w:pPr>
            <w:r>
              <w:rPr>
                <w:rFonts w:ascii="Arial" w:cs="Arial" w:eastAsia="Arial" w:hAnsi="Arial"/>
                <w:sz w:val="18"/>
                <w:szCs w:val="18"/>
                <w:color w:val="auto"/>
                <w:w w:val="95"/>
              </w:rPr>
              <w:t>Loss from continuing operations before benefit for income taxes and share of net income</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from joint venture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Foreign currency translation gain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common share</w:t>
            </w: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420"/>
          </w:cols>
          <w:pgMar w:left="240" w:top="270" w:right="239" w:bottom="1440" w:gutter="0" w:footer="0" w:header="0"/>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income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20,325</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169,148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Mobile Solutions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10,601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income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89,794</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86,446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7"/>
              </w:rPr>
              <w:t>Non-GAAP adjusted income from operations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GAAP net sales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48,682</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Life Sciences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7"/>
              </w:rPr>
              <w:t>Non-GAAP adjusted income from operations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GAAP net sales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31,200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80" w:space="340"/>
            <w:col w:w="5600"/>
          </w:cols>
          <w:pgMar w:left="240" w:top="270" w:right="239" w:bottom="1440" w:gutter="0" w:footer="0" w:header="0"/>
          <w:type w:val="continuous"/>
        </w:sectPr>
      </w:pPr>
    </w:p>
    <w:bookmarkStart w:id="8" w:name="page9"/>
    <w:bookmarkEnd w:id="8"/>
    <w:p>
      <w:pPr>
        <w:jc w:val="center"/>
        <w:ind w:left="300"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left="314"/>
              <w:spacing w:after="0" w:line="149" w:lineRule="exact"/>
              <w:rPr>
                <w:sz w:val="20"/>
                <w:szCs w:val="20"/>
                <w:color w:val="auto"/>
              </w:rPr>
            </w:pPr>
            <w:r>
              <w:rPr>
                <w:rFonts w:ascii="Arial" w:cs="Arial" w:eastAsia="Arial" w:hAnsi="Arial"/>
                <w:sz w:val="14"/>
                <w:szCs w:val="14"/>
                <w:b w:val="1"/>
                <w:bCs w:val="1"/>
                <w:color w:val="auto"/>
                <w:w w:val="99"/>
              </w:rPr>
              <w:t>March 31,</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7,338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Tax effect of adjustment reflected above (b)</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(5,518)</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Non-GAAP adjusted net income (loss) (c)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left="314"/>
              <w:spacing w:after="0" w:line="149" w:lineRule="exact"/>
              <w:rPr>
                <w:sz w:val="20"/>
                <w:szCs w:val="20"/>
                <w:color w:val="auto"/>
              </w:rPr>
            </w:pPr>
            <w:r>
              <w:rPr>
                <w:rFonts w:ascii="Arial" w:cs="Arial" w:eastAsia="Arial" w:hAnsi="Arial"/>
                <w:sz w:val="14"/>
                <w:szCs w:val="14"/>
                <w:b w:val="1"/>
                <w:bCs w:val="1"/>
                <w:color w:val="auto"/>
                <w:w w:val="99"/>
              </w:rPr>
              <w:t>March 31,</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Tax effect of adjustment reflected above (b)</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Non-GAAP adjusted net income (loss) per diluted share (c)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 useful information in assessing our underlying business trends and facilitates comparison of our long-term performance over given periods.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ectPr>
          <w:pgSz w:w="11900" w:h="16838" w:orient="portrait"/>
          <w:cols w:equalWidth="0" w:num="1">
            <w:col w:w="11380"/>
          </w:cols>
          <w:pgMar w:left="240" w:top="270" w:right="279" w:bottom="1440" w:gutter="0" w:footer="0" w:header="0"/>
        </w:sectPr>
      </w:pPr>
    </w:p>
    <w:bookmarkStart w:id="9" w:name="page10"/>
    <w:bookmarkEnd w:id="9"/>
    <w:p>
      <w:pPr>
        <w:ind w:left="-8" w:right="120" w:firstLine="8"/>
        <w:spacing w:after="0" w:line="293" w:lineRule="auto"/>
        <w:tabs>
          <w:tab w:leader="none" w:pos="237"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4" w:lineRule="exact"/>
        <w:rPr>
          <w:rFonts w:ascii="Arial" w:cs="Arial" w:eastAsia="Arial" w:hAnsi="Arial"/>
          <w:sz w:val="16"/>
          <w:szCs w:val="16"/>
          <w:color w:val="auto"/>
        </w:rPr>
      </w:pPr>
    </w:p>
    <w:p>
      <w:pPr>
        <w:ind w:left="-8" w:firstLine="8"/>
        <w:spacing w:after="0" w:line="259"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p>
      <w:pPr>
        <w:spacing w:after="0" w:line="186" w:lineRule="exact"/>
        <w:rPr>
          <w:rFonts w:ascii="Arial" w:cs="Arial" w:eastAsia="Arial" w:hAnsi="Arial"/>
          <w:sz w:val="18"/>
          <w:szCs w:val="18"/>
          <w:color w:val="auto"/>
        </w:rPr>
      </w:pPr>
    </w:p>
    <w:p>
      <w:pPr>
        <w:ind w:left="-8" w:right="20" w:firstLine="8"/>
        <w:spacing w:after="0" w:line="270" w:lineRule="auto"/>
        <w:tabs>
          <w:tab w:leader="none" w:pos="237"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gains and losses in the fair value of interest rate swaps, estimated interest expense on cash held from divestiture, the impact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1312"/>
      </w:cols>
      <w:pgMar w:left="248"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40"/>
    </w:lvl>
  </w:abstractNum>
  <w:abstractNum w:abstractNumId="2">
    <w:nsid w:val="2AE8944A"/>
    <w:multiLevelType w:val="hybridMultilevel"/>
    <w:lvl w:ilvl="0">
      <w:lvlJc w:val="left"/>
      <w:lvlText w:val="%1"/>
      <w:numFmt w:val="upperLetter"/>
      <w:start w:val="40"/>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2019-12-28T22:03:41Z</dcterms:created>
  <dcterms:modified xsi:type="dcterms:W3CDTF">2019-12-28T22:03:41Z</dcterms:modified>
</cp:coreProperties>
</file>