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2"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As filed with the Securities and Exchange Commission on March 16, 2017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333-201274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407670</wp:posOffset>
            </wp:positionV>
            <wp:extent cx="634365"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36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3980" w:type="dxa"/>
            <w:vAlign w:val="bottom"/>
          </w:tcPr>
          <w:p>
            <w:pPr>
              <w:jc w:val="center"/>
              <w:ind w:right="1962"/>
              <w:spacing w:after="0"/>
              <w:rPr>
                <w:sz w:val="20"/>
                <w:szCs w:val="20"/>
                <w:color w:val="auto"/>
              </w:rPr>
            </w:pPr>
            <w:r>
              <w:rPr>
                <w:rFonts w:ascii="Arial" w:cs="Arial" w:eastAsia="Arial" w:hAnsi="Arial"/>
                <w:sz w:val="18"/>
                <w:szCs w:val="18"/>
                <w:b w:val="1"/>
                <w:bCs w:val="1"/>
                <w:color w:val="auto"/>
                <w:w w:val="93"/>
              </w:rPr>
              <w:t>Delaware</w:t>
            </w:r>
          </w:p>
        </w:tc>
        <w:tc>
          <w:tcPr>
            <w:tcW w:w="3460" w:type="dxa"/>
            <w:vAlign w:val="bottom"/>
          </w:tcPr>
          <w:p>
            <w:pPr>
              <w:jc w:val="center"/>
              <w:ind w:left="1962"/>
              <w:spacing w:after="0"/>
              <w:rPr>
                <w:sz w:val="20"/>
                <w:szCs w:val="20"/>
                <w:color w:val="auto"/>
              </w:rPr>
            </w:pPr>
            <w:r>
              <w:rPr>
                <w:rFonts w:ascii="Arial" w:cs="Arial" w:eastAsia="Arial" w:hAnsi="Arial"/>
                <w:sz w:val="18"/>
                <w:szCs w:val="18"/>
                <w:b w:val="1"/>
                <w:bCs w:val="1"/>
                <w:color w:val="auto"/>
                <w:w w:val="89"/>
              </w:rPr>
              <w:t>62-1096725</w:t>
            </w:r>
          </w:p>
        </w:tc>
      </w:tr>
      <w:tr>
        <w:trPr>
          <w:trHeight w:val="149"/>
        </w:trPr>
        <w:tc>
          <w:tcPr>
            <w:tcW w:w="398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60" w:type="dxa"/>
            <w:vAlign w:val="bottom"/>
          </w:tcPr>
          <w:p>
            <w:pPr>
              <w:jc w:val="center"/>
              <w:ind w:left="1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1962"/>
              <w:spacing w:after="0"/>
              <w:rPr>
                <w:sz w:val="20"/>
                <w:szCs w:val="20"/>
                <w:color w:val="auto"/>
              </w:rPr>
            </w:pPr>
            <w:r>
              <w:rPr>
                <w:rFonts w:ascii="Arial" w:cs="Arial" w:eastAsia="Arial" w:hAnsi="Arial"/>
                <w:sz w:val="14"/>
                <w:szCs w:val="14"/>
                <w:b w:val="1"/>
                <w:bCs w:val="1"/>
                <w:color w:val="auto"/>
                <w:w w:val="95"/>
              </w:rPr>
              <w:t>Incorporation or Organization)</w:t>
            </w:r>
          </w:p>
        </w:tc>
        <w:tc>
          <w:tcPr>
            <w:tcW w:w="3460" w:type="dxa"/>
            <w:vAlign w:val="bottom"/>
          </w:tcPr>
          <w:p>
            <w:pPr>
              <w:jc w:val="center"/>
              <w:ind w:left="196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207 Mockingbird Lane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(423) 434-8300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S. Heiter,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(423) 434-8300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Agent of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Richard F. Mattern,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Bass, Berry &amp; Sims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Peabody Place, Suite 1300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Memphis, Tennessee 38103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(901) 543-5933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 becomes effective.</w:t>
      </w:r>
    </w:p>
    <w:p>
      <w:pPr>
        <w:spacing w:after="0" w:line="19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7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930" w:orient="portrait"/>
          <w:cols w:equalWidth="0" w:num="1">
            <w:col w:w="11420"/>
          </w:cols>
          <w:pgMar w:left="240" w:top="229" w:right="239" w:bottom="0" w:gutter="0" w:footer="0" w:header="0"/>
        </w:sectPr>
      </w:pPr>
    </w:p>
    <w:bookmarkStart w:id="1" w:name="page2"/>
    <w:bookmarkEnd w:id="1"/>
    <w:p>
      <w:pPr>
        <w:ind w:right="6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12b- 2 of the Exchange Act.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NN, Inc. (the “</w:t>
      </w:r>
      <w:r>
        <w:rPr>
          <w:rFonts w:ascii="Arial" w:cs="Arial" w:eastAsia="Arial" w:hAnsi="Arial"/>
          <w:sz w:val="18"/>
          <w:szCs w:val="18"/>
          <w:u w:val="single" w:color="auto"/>
          <w:color w:val="auto"/>
        </w:rPr>
        <w:t>Company</w:t>
      </w:r>
      <w:r>
        <w:rPr>
          <w:rFonts w:ascii="Arial" w:cs="Arial" w:eastAsia="Arial" w:hAnsi="Arial"/>
          <w:sz w:val="18"/>
          <w:szCs w:val="18"/>
          <w:color w:val="auto"/>
        </w:rPr>
        <w:t>”) previously registered an indeterminate amount of senior debt securities, subordinated debt securities, preferred stock, common stock, warrants, units or any combination of the foregoing, with an aggregate initial offering price not to exceed $200,000,000 (the “</w:t>
      </w:r>
      <w:r>
        <w:rPr>
          <w:rFonts w:ascii="Arial" w:cs="Arial" w:eastAsia="Arial" w:hAnsi="Arial"/>
          <w:sz w:val="18"/>
          <w:szCs w:val="18"/>
          <w:u w:val="single" w:color="auto"/>
          <w:color w:val="auto"/>
        </w:rPr>
        <w:t>Registered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Securities</w:t>
      </w:r>
      <w:r>
        <w:rPr>
          <w:rFonts w:ascii="Arial" w:cs="Arial" w:eastAsia="Arial" w:hAnsi="Arial"/>
          <w:sz w:val="18"/>
          <w:szCs w:val="18"/>
          <w:color w:val="auto"/>
        </w:rPr>
        <w:t>”), under a Registration Statement on Form S-3 (Registration No. 333-201274) declared effective by the Securities and Exchange Commission on February 23, 2015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an undertaking made by the Company in the Registration Statement to remove by means of a post-effective amendment any securities that remain unsold at the termination of the offering, the Company is filing this Post-Effective Amendment No. 1 to the Registration Statement to terminate the effectiveness of the Registration Statement and to remove from registration all of the Registered Securities registered but not sold under the Registration Statement.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Johnson City, State of Tennessee, on this 16th day of March, 2017.</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ICHARD</w:t>
            </w:r>
            <w:r>
              <w:rPr>
                <w:rFonts w:ascii="Arial" w:cs="Arial" w:eastAsia="Arial" w:hAnsi="Arial"/>
                <w:sz w:val="18"/>
                <w:szCs w:val="18"/>
                <w:color w:val="auto"/>
              </w:rPr>
              <w:t xml:space="preserve"> D. H</w:t>
            </w:r>
            <w:r>
              <w:rPr>
                <w:rFonts w:ascii="Arial" w:cs="Arial" w:eastAsia="Arial" w:hAnsi="Arial"/>
                <w:sz w:val="15"/>
                <w:szCs w:val="15"/>
                <w:color w:val="auto"/>
              </w:rPr>
              <w:t>OLDER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D. Holder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2019-12-05T23:26:44Z</dcterms:created>
  <dcterms:modified xsi:type="dcterms:W3CDTF">2019-12-05T23:26:44Z</dcterms:modified>
</cp:coreProperties>
</file>