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111760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40005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5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00" w:lineRule="exact"/>
        <w:rPr>
          <w:sz w:val="24"/>
          <w:szCs w:val="24"/>
          <w:color w:val="auto"/>
        </w:rPr>
      </w:pPr>
    </w:p>
    <w:p>
      <w:pPr>
        <w:spacing w:after="0" w:line="278" w:lineRule="exact"/>
        <w:rPr>
          <w:sz w:val="24"/>
          <w:szCs w:val="24"/>
          <w:color w:val="auto"/>
        </w:rPr>
      </w:pPr>
    </w:p>
    <w:p>
      <w:pPr>
        <w:ind w:left="3720"/>
        <w:spacing w:after="0"/>
        <w:tabs>
          <w:tab w:leader="none" w:pos="65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3615690</wp:posOffset>
            </wp:positionH>
            <wp:positionV relativeFrom="paragraph">
              <wp:posOffset>-6985</wp:posOffset>
            </wp:positionV>
            <wp:extent cx="1160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46"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294640</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526415</wp:posOffset>
            </wp:positionV>
            <wp:extent cx="428625"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210820</wp:posOffset>
            </wp:positionV>
            <wp:extent cx="2631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1060" w:type="dxa"/>
        <w:tblCellMar>
          <w:top w:w="0" w:type="dxa"/>
          <w:left w:w="0" w:type="dxa"/>
          <w:bottom w:w="0" w:type="dxa"/>
          <w:right w:w="0" w:type="dxa"/>
        </w:tblCellMar>
      </w:tblPr>
      <w:tr>
        <w:trPr>
          <w:trHeight w:val="210"/>
        </w:trPr>
        <w:tc>
          <w:tcPr>
            <w:tcW w:w="6200" w:type="dxa"/>
            <w:vAlign w:val="bottom"/>
            <w:gridSpan w:val="2"/>
          </w:tcPr>
          <w:p>
            <w:pPr>
              <w:jc w:val="center"/>
              <w:ind w:right="2708"/>
              <w:spacing w:after="0"/>
              <w:rPr>
                <w:sz w:val="20"/>
                <w:szCs w:val="20"/>
                <w:color w:val="auto"/>
              </w:rPr>
            </w:pPr>
            <w:r>
              <w:rPr>
                <w:rFonts w:ascii="Arial" w:cs="Arial" w:eastAsia="Arial" w:hAnsi="Arial"/>
                <w:sz w:val="16"/>
                <w:szCs w:val="16"/>
                <w:b w:val="1"/>
                <w:bCs w:val="1"/>
                <w:color w:val="auto"/>
                <w:w w:val="93"/>
              </w:rPr>
              <w:t>Delaware</w:t>
            </w:r>
          </w:p>
        </w:tc>
        <w:tc>
          <w:tcPr>
            <w:tcW w:w="2460" w:type="dxa"/>
            <w:vAlign w:val="bottom"/>
            <w:gridSpan w:val="2"/>
          </w:tcPr>
          <w:p>
            <w:pPr>
              <w:jc w:val="right"/>
              <w:ind w:right="708"/>
              <w:spacing w:after="0"/>
              <w:rPr>
                <w:sz w:val="20"/>
                <w:szCs w:val="20"/>
                <w:color w:val="auto"/>
              </w:rPr>
            </w:pPr>
            <w:r>
              <w:rPr>
                <w:rFonts w:ascii="Arial" w:cs="Arial" w:eastAsia="Arial" w:hAnsi="Arial"/>
                <w:sz w:val="16"/>
                <w:szCs w:val="16"/>
                <w:b w:val="1"/>
                <w:bCs w:val="1"/>
                <w:color w:val="auto"/>
              </w:rPr>
              <w:t>62-1096725</w:t>
            </w:r>
          </w:p>
        </w:tc>
        <w:tc>
          <w:tcPr>
            <w:tcW w:w="0" w:type="dxa"/>
            <w:vAlign w:val="bottom"/>
          </w:tcPr>
          <w:p>
            <w:pPr>
              <w:spacing w:after="0"/>
              <w:rPr>
                <w:sz w:val="1"/>
                <w:szCs w:val="1"/>
                <w:color w:val="auto"/>
              </w:rPr>
            </w:pPr>
          </w:p>
        </w:tc>
      </w:tr>
      <w:tr>
        <w:trPr>
          <w:trHeight w:val="183"/>
        </w:trPr>
        <w:tc>
          <w:tcPr>
            <w:tcW w:w="6200" w:type="dxa"/>
            <w:vAlign w:val="bottom"/>
            <w:gridSpan w:val="2"/>
          </w:tcPr>
          <w:p>
            <w:pPr>
              <w:jc w:val="center"/>
              <w:ind w:right="26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60" w:type="dxa"/>
            <w:vAlign w:val="bottom"/>
            <w:gridSpan w:val="2"/>
          </w:tcPr>
          <w:p>
            <w:pPr>
              <w:jc w:val="center"/>
              <w:ind w:left="42"/>
              <w:spacing w:after="0"/>
              <w:rPr>
                <w:sz w:val="20"/>
                <w:szCs w:val="20"/>
                <w:color w:val="auto"/>
              </w:rPr>
            </w:pPr>
            <w:r>
              <w:rPr>
                <w:rFonts w:ascii="Arial" w:cs="Arial" w:eastAsia="Arial" w:hAnsi="Arial"/>
                <w:sz w:val="14"/>
                <w:szCs w:val="14"/>
                <w:color w:val="auto"/>
                <w:w w:val="96"/>
              </w:rPr>
              <w:t>(I.R.S. Employer Identification Number)</w:t>
            </w:r>
          </w:p>
        </w:tc>
        <w:tc>
          <w:tcPr>
            <w:tcW w:w="0" w:type="dxa"/>
            <w:vAlign w:val="bottom"/>
          </w:tcPr>
          <w:p>
            <w:pPr>
              <w:spacing w:after="0"/>
              <w:rPr>
                <w:sz w:val="1"/>
                <w:szCs w:val="1"/>
                <w:color w:val="auto"/>
              </w:rPr>
            </w:pPr>
          </w:p>
        </w:tc>
      </w:tr>
      <w:tr>
        <w:trPr>
          <w:trHeight w:val="228"/>
        </w:trPr>
        <w:tc>
          <w:tcPr>
            <w:tcW w:w="6200" w:type="dxa"/>
            <w:vAlign w:val="bottom"/>
            <w:gridSpan w:val="2"/>
          </w:tcPr>
          <w:p>
            <w:pPr>
              <w:jc w:val="center"/>
              <w:ind w:right="2688"/>
              <w:spacing w:after="0"/>
              <w:rPr>
                <w:sz w:val="20"/>
                <w:szCs w:val="20"/>
                <w:color w:val="auto"/>
              </w:rPr>
            </w:pPr>
            <w:r>
              <w:rPr>
                <w:rFonts w:ascii="Arial" w:cs="Arial" w:eastAsia="Arial" w:hAnsi="Arial"/>
                <w:sz w:val="16"/>
                <w:szCs w:val="16"/>
                <w:b w:val="1"/>
                <w:bCs w:val="1"/>
                <w:color w:val="auto"/>
                <w:w w:val="93"/>
              </w:rPr>
              <w:t>6210 Ardrey Kell Road, Suite 600</w:t>
            </w:r>
          </w:p>
        </w:tc>
        <w:tc>
          <w:tcPr>
            <w:tcW w:w="2460" w:type="dxa"/>
            <w:vAlign w:val="bottom"/>
            <w:gridSpan w:val="2"/>
            <w:vMerge w:val="restart"/>
          </w:tcPr>
          <w:p>
            <w:pPr>
              <w:jc w:val="right"/>
              <w:ind w:right="908"/>
              <w:spacing w:after="0"/>
              <w:rPr>
                <w:sz w:val="20"/>
                <w:szCs w:val="20"/>
                <w:color w:val="auto"/>
              </w:rPr>
            </w:pPr>
            <w:r>
              <w:rPr>
                <w:rFonts w:ascii="Arial" w:cs="Arial" w:eastAsia="Arial" w:hAnsi="Arial"/>
                <w:sz w:val="16"/>
                <w:szCs w:val="16"/>
                <w:b w:val="1"/>
                <w:bCs w:val="1"/>
                <w:color w:val="auto"/>
              </w:rPr>
              <w:t>28277</w:t>
            </w:r>
          </w:p>
        </w:tc>
        <w:tc>
          <w:tcPr>
            <w:tcW w:w="0" w:type="dxa"/>
            <w:vAlign w:val="bottom"/>
          </w:tcPr>
          <w:p>
            <w:pPr>
              <w:spacing w:after="0"/>
              <w:rPr>
                <w:sz w:val="1"/>
                <w:szCs w:val="1"/>
                <w:color w:val="auto"/>
              </w:rPr>
            </w:pPr>
          </w:p>
        </w:tc>
      </w:tr>
      <w:tr>
        <w:trPr>
          <w:trHeight w:val="210"/>
        </w:trPr>
        <w:tc>
          <w:tcPr>
            <w:tcW w:w="6200" w:type="dxa"/>
            <w:vAlign w:val="bottom"/>
            <w:gridSpan w:val="2"/>
          </w:tcPr>
          <w:p>
            <w:pPr>
              <w:jc w:val="center"/>
              <w:ind w:right="2688"/>
              <w:spacing w:after="0"/>
              <w:rPr>
                <w:sz w:val="20"/>
                <w:szCs w:val="20"/>
                <w:color w:val="auto"/>
              </w:rPr>
            </w:pPr>
            <w:r>
              <w:rPr>
                <w:rFonts w:ascii="Arial" w:cs="Arial" w:eastAsia="Arial" w:hAnsi="Arial"/>
                <w:sz w:val="16"/>
                <w:szCs w:val="16"/>
                <w:b w:val="1"/>
                <w:bCs w:val="1"/>
                <w:color w:val="auto"/>
                <w:w w:val="94"/>
              </w:rPr>
              <w:t>Charlotte, North Carolina</w:t>
            </w: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00" w:type="dxa"/>
            <w:vAlign w:val="bottom"/>
            <w:gridSpan w:val="2"/>
          </w:tcPr>
          <w:p>
            <w:pPr>
              <w:jc w:val="center"/>
              <w:ind w:right="2688"/>
              <w:spacing w:after="0"/>
              <w:rPr>
                <w:sz w:val="20"/>
                <w:szCs w:val="20"/>
                <w:color w:val="auto"/>
              </w:rPr>
            </w:pPr>
            <w:r>
              <w:rPr>
                <w:rFonts w:ascii="Arial" w:cs="Arial" w:eastAsia="Arial" w:hAnsi="Arial"/>
                <w:sz w:val="14"/>
                <w:szCs w:val="14"/>
                <w:color w:val="auto"/>
                <w:w w:val="95"/>
              </w:rPr>
              <w:t>(Address of principal executive offices)</w:t>
            </w:r>
          </w:p>
        </w:tc>
        <w:tc>
          <w:tcPr>
            <w:tcW w:w="440" w:type="dxa"/>
            <w:vAlign w:val="bottom"/>
          </w:tcPr>
          <w:p>
            <w:pPr>
              <w:spacing w:after="0"/>
              <w:rPr>
                <w:sz w:val="15"/>
                <w:szCs w:val="15"/>
                <w:color w:val="auto"/>
              </w:rPr>
            </w:pPr>
          </w:p>
        </w:tc>
        <w:tc>
          <w:tcPr>
            <w:tcW w:w="2020" w:type="dxa"/>
            <w:vAlign w:val="bottom"/>
          </w:tcPr>
          <w:p>
            <w:pPr>
              <w:jc w:val="center"/>
              <w:ind w:right="2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77"/>
        </w:trPr>
        <w:tc>
          <w:tcPr>
            <w:tcW w:w="6200" w:type="dxa"/>
            <w:vAlign w:val="bottom"/>
            <w:gridSpan w:val="2"/>
          </w:tcPr>
          <w:p>
            <w:pPr>
              <w:jc w:val="right"/>
              <w:ind w:right="1048"/>
              <w:spacing w:after="0"/>
              <w:rPr>
                <w:sz w:val="20"/>
                <w:szCs w:val="20"/>
                <w:color w:val="auto"/>
              </w:rPr>
            </w:pPr>
            <w:r>
              <w:rPr>
                <w:rFonts w:ascii="Arial" w:cs="Arial" w:eastAsia="Arial" w:hAnsi="Arial"/>
                <w:sz w:val="16"/>
                <w:szCs w:val="16"/>
                <w:b w:val="1"/>
                <w:bCs w:val="1"/>
                <w:color w:val="auto"/>
              </w:rPr>
              <w:t>(980) 264-4300</w:t>
            </w: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700" w:type="dxa"/>
            <w:vAlign w:val="bottom"/>
          </w:tcPr>
          <w:p>
            <w:pPr>
              <w:jc w:val="center"/>
              <w:ind w:left="348"/>
              <w:spacing w:after="0"/>
              <w:rPr>
                <w:sz w:val="20"/>
                <w:szCs w:val="20"/>
                <w:color w:val="auto"/>
              </w:rPr>
            </w:pPr>
            <w:r>
              <w:rPr>
                <w:rFonts w:ascii="Arial" w:cs="Arial" w:eastAsia="Arial" w:hAnsi="Arial"/>
                <w:sz w:val="14"/>
                <w:szCs w:val="14"/>
                <w:color w:val="auto"/>
                <w:w w:val="92"/>
              </w:rPr>
              <w:t>(Registrant’s telephone number, including area code)</w:t>
            </w:r>
          </w:p>
        </w:tc>
        <w:tc>
          <w:tcPr>
            <w:tcW w:w="4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25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4140" w:type="dxa"/>
            <w:vAlign w:val="bottom"/>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540" w:type="dxa"/>
            <w:vAlign w:val="bottom"/>
          </w:tcPr>
          <w:p>
            <w:pPr>
              <w:spacing w:after="0"/>
              <w:rPr>
                <w:sz w:val="15"/>
                <w:szCs w:val="15"/>
                <w:color w:val="auto"/>
              </w:rPr>
            </w:pPr>
          </w:p>
        </w:tc>
      </w:tr>
      <w:tr>
        <w:trPr>
          <w:trHeight w:val="310"/>
        </w:trPr>
        <w:tc>
          <w:tcPr>
            <w:tcW w:w="3560" w:type="dxa"/>
            <w:vAlign w:val="bottom"/>
          </w:tcPr>
          <w:p>
            <w:pPr>
              <w:jc w:val="center"/>
              <w:ind w:left="748"/>
              <w:spacing w:after="0"/>
              <w:rPr>
                <w:sz w:val="20"/>
                <w:szCs w:val="20"/>
                <w:color w:val="auto"/>
              </w:rPr>
            </w:pPr>
            <w:r>
              <w:rPr>
                <w:rFonts w:ascii="Arial" w:cs="Arial" w:eastAsia="Arial" w:hAnsi="Arial"/>
                <w:sz w:val="14"/>
                <w:szCs w:val="14"/>
                <w:i w:val="1"/>
                <w:iCs w:val="1"/>
                <w:color w:val="auto"/>
                <w:w w:val="90"/>
              </w:rPr>
              <w:t>Title of each class</w:t>
            </w:r>
          </w:p>
        </w:tc>
        <w:tc>
          <w:tcPr>
            <w:tcW w:w="4140" w:type="dxa"/>
            <w:vAlign w:val="bottom"/>
          </w:tcPr>
          <w:p>
            <w:pPr>
              <w:jc w:val="center"/>
              <w:ind w:right="8"/>
              <w:spacing w:after="0"/>
              <w:rPr>
                <w:sz w:val="20"/>
                <w:szCs w:val="20"/>
                <w:color w:val="auto"/>
              </w:rPr>
            </w:pPr>
            <w:r>
              <w:rPr>
                <w:rFonts w:ascii="Arial" w:cs="Arial" w:eastAsia="Arial" w:hAnsi="Arial"/>
                <w:sz w:val="14"/>
                <w:szCs w:val="14"/>
                <w:i w:val="1"/>
                <w:iCs w:val="1"/>
                <w:color w:val="auto"/>
                <w:w w:val="94"/>
              </w:rPr>
              <w:t>Trading symbol</w:t>
            </w:r>
          </w:p>
        </w:tc>
        <w:tc>
          <w:tcPr>
            <w:tcW w:w="3540" w:type="dxa"/>
            <w:vAlign w:val="bottom"/>
          </w:tcPr>
          <w:p>
            <w:pPr>
              <w:jc w:val="center"/>
              <w:ind w:right="828"/>
              <w:spacing w:after="0"/>
              <w:rPr>
                <w:sz w:val="20"/>
                <w:szCs w:val="20"/>
                <w:color w:val="auto"/>
              </w:rPr>
            </w:pPr>
            <w:r>
              <w:rPr>
                <w:rFonts w:ascii="Arial" w:cs="Arial" w:eastAsia="Arial" w:hAnsi="Arial"/>
                <w:sz w:val="14"/>
                <w:szCs w:val="14"/>
                <w:i w:val="1"/>
                <w:iCs w:val="1"/>
                <w:color w:val="auto"/>
                <w:w w:val="90"/>
              </w:rPr>
              <w:t>Name of each exchange on which registered</w:t>
            </w:r>
          </w:p>
        </w:tc>
      </w:tr>
      <w:tr>
        <w:trPr>
          <w:trHeight w:val="189"/>
        </w:trPr>
        <w:tc>
          <w:tcPr>
            <w:tcW w:w="3560" w:type="dxa"/>
            <w:vAlign w:val="bottom"/>
          </w:tcPr>
          <w:p>
            <w:pPr>
              <w:jc w:val="center"/>
              <w:ind w:left="728"/>
              <w:spacing w:after="0"/>
              <w:rPr>
                <w:sz w:val="20"/>
                <w:szCs w:val="20"/>
                <w:color w:val="auto"/>
              </w:rPr>
            </w:pPr>
            <w:r>
              <w:rPr>
                <w:rFonts w:ascii="Arial" w:cs="Arial" w:eastAsia="Arial" w:hAnsi="Arial"/>
                <w:sz w:val="14"/>
                <w:szCs w:val="14"/>
                <w:b w:val="1"/>
                <w:bCs w:val="1"/>
                <w:color w:val="auto"/>
                <w:w w:val="92"/>
              </w:rPr>
              <w:t>Common Stock, par value $0.01</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8"/>
              </w:rPr>
              <w:t>NNBR</w:t>
            </w:r>
          </w:p>
        </w:tc>
        <w:tc>
          <w:tcPr>
            <w:tcW w:w="3540" w:type="dxa"/>
            <w:vAlign w:val="bottom"/>
          </w:tcPr>
          <w:p>
            <w:pPr>
              <w:jc w:val="center"/>
              <w:ind w:right="828"/>
              <w:spacing w:after="0"/>
              <w:rPr>
                <w:sz w:val="20"/>
                <w:szCs w:val="20"/>
                <w:color w:val="auto"/>
              </w:rPr>
            </w:pPr>
            <w:r>
              <w:rPr>
                <w:rFonts w:ascii="Arial" w:cs="Arial" w:eastAsia="Arial" w:hAnsi="Arial"/>
                <w:sz w:val="14"/>
                <w:szCs w:val="14"/>
                <w:b w:val="1"/>
                <w:bCs w:val="1"/>
                <w:color w:val="auto"/>
                <w:w w:val="97"/>
              </w:rPr>
              <w:t>The Nasdaq Stock Market LLC</w:t>
            </w:r>
          </w:p>
        </w:tc>
      </w:tr>
      <w:tr>
        <w:trPr>
          <w:trHeight w:val="189"/>
        </w:trPr>
        <w:tc>
          <w:tcPr>
            <w:tcW w:w="3560" w:type="dxa"/>
            <w:vAlign w:val="bottom"/>
          </w:tcPr>
          <w:p>
            <w:pPr>
              <w:jc w:val="center"/>
              <w:ind w:left="748"/>
              <w:spacing w:after="0"/>
              <w:rPr>
                <w:sz w:val="20"/>
                <w:szCs w:val="20"/>
                <w:color w:val="auto"/>
              </w:rPr>
            </w:pPr>
            <w:r>
              <w:rPr>
                <w:rFonts w:ascii="Arial" w:cs="Arial" w:eastAsia="Arial" w:hAnsi="Arial"/>
                <w:sz w:val="14"/>
                <w:szCs w:val="14"/>
                <w:b w:val="1"/>
                <w:bCs w:val="1"/>
                <w:color w:val="auto"/>
                <w:w w:val="92"/>
              </w:rPr>
              <w:t>Preferred Stock Purchase Rights</w:t>
            </w:r>
          </w:p>
        </w:tc>
        <w:tc>
          <w:tcPr>
            <w:tcW w:w="4140" w:type="dxa"/>
            <w:vAlign w:val="bottom"/>
          </w:tcPr>
          <w:p>
            <w:pPr>
              <w:spacing w:after="0"/>
              <w:rPr>
                <w:sz w:val="16"/>
                <w:szCs w:val="16"/>
                <w:color w:val="auto"/>
              </w:rPr>
            </w:pPr>
          </w:p>
        </w:tc>
        <w:tc>
          <w:tcPr>
            <w:tcW w:w="3540" w:type="dxa"/>
            <w:vAlign w:val="bottom"/>
          </w:tcPr>
          <w:p>
            <w:pPr>
              <w:jc w:val="center"/>
              <w:ind w:right="828"/>
              <w:spacing w:after="0"/>
              <w:rPr>
                <w:sz w:val="20"/>
                <w:szCs w:val="20"/>
                <w:color w:val="auto"/>
              </w:rPr>
            </w:pPr>
            <w:r>
              <w:rPr>
                <w:rFonts w:ascii="Arial" w:cs="Arial" w:eastAsia="Arial" w:hAnsi="Arial"/>
                <w:sz w:val="14"/>
                <w:szCs w:val="14"/>
                <w:b w:val="1"/>
                <w:bCs w:val="1"/>
                <w:color w:val="auto"/>
                <w:w w:val="97"/>
              </w:rPr>
              <w:t>The Nasdaq Stock Market LLC</w:t>
            </w:r>
          </w:p>
        </w:tc>
      </w:tr>
      <w:tr>
        <w:trPr>
          <w:trHeight w:val="283"/>
        </w:trPr>
        <w:tc>
          <w:tcPr>
            <w:tcW w:w="356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4"/>
                <w:szCs w:val="14"/>
                <w:color w:val="auto"/>
                <w:w w:val="93"/>
              </w:rPr>
              <w:t xml:space="preserve">Securities registered pursuant to Section 12(g) of the Act: </w:t>
            </w:r>
            <w:r>
              <w:rPr>
                <w:rFonts w:ascii="Arial" w:cs="Arial" w:eastAsia="Arial" w:hAnsi="Arial"/>
                <w:sz w:val="14"/>
                <w:szCs w:val="14"/>
                <w:b w:val="1"/>
                <w:bCs w:val="1"/>
                <w:color w:val="auto"/>
                <w:w w:val="93"/>
              </w:rPr>
              <w:t>None</w:t>
            </w:r>
          </w:p>
        </w:tc>
        <w:tc>
          <w:tcPr>
            <w:tcW w:w="3540" w:type="dxa"/>
            <w:vAlign w:val="bottom"/>
          </w:tcPr>
          <w:p>
            <w:pPr>
              <w:spacing w:after="0"/>
              <w:rPr>
                <w:sz w:val="24"/>
                <w:szCs w:val="24"/>
                <w:color w:val="auto"/>
              </w:rPr>
            </w:pPr>
          </w:p>
        </w:tc>
      </w:tr>
      <w:tr>
        <w:trPr>
          <w:trHeight w:val="430"/>
        </w:trPr>
        <w:tc>
          <w:tcPr>
            <w:tcW w:w="35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1283"/>
        </w:trPr>
        <w:tc>
          <w:tcPr>
            <w:tcW w:w="35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00"/>
          </w:cols>
          <w:pgMar w:left="320" w:top="233" w:right="37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0"/>
          <w:szCs w:val="20"/>
          <w:color w:val="auto"/>
        </w:rPr>
      </w:pPr>
    </w:p>
    <w:p>
      <w:pPr>
        <w:sectPr>
          <w:pgSz w:w="11900" w:h="16838" w:orient="portrait"/>
          <w:cols w:equalWidth="0" w:num="5">
            <w:col w:w="6760" w:space="140"/>
            <w:col w:w="200" w:space="80"/>
            <w:col w:w="140" w:space="140"/>
            <w:col w:w="180" w:space="60"/>
            <w:col w:w="3500"/>
          </w:cols>
          <w:pgMar w:left="320" w:top="233" w:right="37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7" w:lineRule="exact"/>
        <w:rPr>
          <w:sz w:val="20"/>
          <w:szCs w:val="20"/>
          <w:color w:val="auto"/>
        </w:rPr>
      </w:pPr>
    </w:p>
    <w:p>
      <w:pPr>
        <w:sectPr>
          <w:pgSz w:w="11900" w:h="16838" w:orient="portrait"/>
          <w:cols w:equalWidth="0" w:num="5">
            <w:col w:w="6900" w:space="120"/>
            <w:col w:w="220" w:space="80"/>
            <w:col w:w="120" w:space="140"/>
            <w:col w:w="180" w:space="80"/>
            <w:col w:w="3360"/>
          </w:cols>
          <w:pgMar w:left="320" w:top="233" w:right="379" w:bottom="1440" w:gutter="0" w:footer="0" w:header="0"/>
          <w:type w:val="continuous"/>
        </w:sectPr>
      </w:pPr>
    </w:p>
    <w:p>
      <w:pPr>
        <w:ind w:right="18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0"/>
          <w:szCs w:val="20"/>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0"/>
          <w:szCs w:val="20"/>
          <w:color w:val="auto"/>
        </w:rPr>
      </w:pPr>
    </w:p>
    <w:p>
      <w:pPr>
        <w:ind w:right="6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8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8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180" w:type="dxa"/>
            <w:vAlign w:val="bottom"/>
          </w:tcPr>
          <w:p>
            <w:pPr>
              <w:ind w:left="318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5" w:lineRule="exact"/>
        <w:rPr>
          <w:sz w:val="20"/>
          <w:szCs w:val="20"/>
          <w:color w:val="auto"/>
        </w:rPr>
      </w:pPr>
    </w:p>
    <w:p>
      <w:pPr>
        <w:ind w:right="5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0"/>
          <w:szCs w:val="20"/>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9" w:lineRule="exact"/>
        <w:rPr>
          <w:sz w:val="20"/>
          <w:szCs w:val="20"/>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$89 million as of June 30, 2020, the last business day of the registrant’s most recently completed second fiscal quarter, computed using the closing price of the registrant’s common stock as quoted on the Nasdaq Stock Market LLC on that date of $4.74.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66" w:lineRule="exact"/>
        <w:rPr>
          <w:sz w:val="20"/>
          <w:szCs w:val="20"/>
          <w:color w:val="auto"/>
        </w:rPr>
      </w:pPr>
    </w:p>
    <w:p>
      <w:pPr>
        <w:jc w:val="right"/>
        <w:ind w:right="3920"/>
        <w:spacing w:after="0" w:line="402" w:lineRule="auto"/>
        <w:rPr>
          <w:sz w:val="20"/>
          <w:szCs w:val="20"/>
          <w:color w:val="auto"/>
        </w:rPr>
      </w:pPr>
      <w:r>
        <w:rPr>
          <w:rFonts w:ascii="Arial" w:cs="Arial" w:eastAsia="Arial" w:hAnsi="Arial"/>
          <w:sz w:val="14"/>
          <w:szCs w:val="14"/>
          <w:color w:val="auto"/>
        </w:rPr>
        <w:t xml:space="preserve">As of March 12, 2021, there were 42,791,476 shares of the registrant’s common stock, par value $0.01 per share, outstanding. </w:t>
      </w:r>
      <w:r>
        <w:rPr>
          <w:rFonts w:ascii="Arial" w:cs="Arial" w:eastAsia="Arial" w:hAnsi="Arial"/>
          <w:sz w:val="14"/>
          <w:szCs w:val="14"/>
          <w:b w:val="1"/>
          <w:bCs w:val="1"/>
          <w:color w:val="auto"/>
        </w:rPr>
        <w:t>DOCUMENTS INCORPORATED BY REFERENCE</w:t>
      </w:r>
    </w:p>
    <w:p>
      <w:pPr>
        <w:spacing w:after="0" w:line="1" w:lineRule="exact"/>
        <w:rPr>
          <w:sz w:val="20"/>
          <w:szCs w:val="20"/>
          <w:color w:val="auto"/>
        </w:rPr>
      </w:pPr>
    </w:p>
    <w:p>
      <w:pPr>
        <w:ind w:right="500"/>
        <w:spacing w:after="0" w:line="312" w:lineRule="auto"/>
        <w:rPr>
          <w:sz w:val="20"/>
          <w:szCs w:val="20"/>
          <w:color w:val="auto"/>
        </w:rPr>
      </w:pPr>
      <w:r>
        <w:rPr>
          <w:rFonts w:ascii="Arial" w:cs="Arial" w:eastAsia="Arial" w:hAnsi="Arial"/>
          <w:sz w:val="13"/>
          <w:szCs w:val="13"/>
          <w:color w:val="auto"/>
        </w:rPr>
        <w:t>Portions of the Proxy Statement with respect to the 2021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1085215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65405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80" w:type="dxa"/>
            <w:vAlign w:val="bottom"/>
          </w:tcPr>
          <w:p>
            <w:pPr>
              <w:jc w:val="center"/>
              <w:ind w:right="3470"/>
              <w:spacing w:after="0"/>
              <w:rPr>
                <w:sz w:val="20"/>
                <w:szCs w:val="20"/>
                <w:color w:val="auto"/>
              </w:rPr>
            </w:pPr>
            <w:r>
              <w:rPr>
                <w:rFonts w:ascii="Arial" w:cs="Arial" w:eastAsia="Arial" w:hAnsi="Arial"/>
                <w:sz w:val="18"/>
                <w:szCs w:val="18"/>
                <w:b w:val="1"/>
                <w:bCs w:val="1"/>
                <w:color w:val="auto"/>
                <w:w w:val="95"/>
              </w:rPr>
              <w:t>NN, Inc.</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680" w:type="dxa"/>
            <w:vAlign w:val="bottom"/>
          </w:tcPr>
          <w:p>
            <w:pPr>
              <w:jc w:val="center"/>
              <w:ind w:right="345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15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4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83"/>
              </w:rPr>
              <w:t>Page</w:t>
            </w:r>
          </w:p>
        </w:tc>
      </w:tr>
      <w:tr>
        <w:trPr>
          <w:trHeight w:val="197"/>
        </w:trPr>
        <w:tc>
          <w:tcPr>
            <w:tcW w:w="1520" w:type="dxa"/>
            <w:vAlign w:val="bottom"/>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PART I</w:t>
              </w:r>
            </w:hyperlink>
          </w:p>
        </w:tc>
        <w:tc>
          <w:tcPr>
            <w:tcW w:w="25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jc w:val="right"/>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4</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Item 1.</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Business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4</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Item 1A.</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Risk Factors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9</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17">
              <w:r>
                <w:rPr>
                  <w:rFonts w:ascii="Arial" w:cs="Arial" w:eastAsia="Arial" w:hAnsi="Arial"/>
                  <w:sz w:val="14"/>
                  <w:szCs w:val="14"/>
                  <w:u w:val="single" w:color="auto"/>
                  <w:color w:val="0000FF"/>
                </w:rPr>
                <w:t>Item 1B.</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17">
              <w:r>
                <w:rPr>
                  <w:rFonts w:ascii="Arial" w:cs="Arial" w:eastAsia="Arial" w:hAnsi="Arial"/>
                  <w:sz w:val="14"/>
                  <w:szCs w:val="14"/>
                  <w:u w:val="single" w:color="auto"/>
                  <w:color w:val="0000FF"/>
                </w:rPr>
                <w:t>Unresolved Staff Comments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17">
              <w:r>
                <w:rPr>
                  <w:rFonts w:ascii="Arial" w:cs="Arial" w:eastAsia="Arial" w:hAnsi="Arial"/>
                  <w:sz w:val="14"/>
                  <w:szCs w:val="14"/>
                  <w:u w:val="single" w:color="auto"/>
                  <w:color w:val="0000FF"/>
                </w:rPr>
                <w:t>17</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17">
              <w:r>
                <w:rPr>
                  <w:rFonts w:ascii="Arial" w:cs="Arial" w:eastAsia="Arial" w:hAnsi="Arial"/>
                  <w:sz w:val="14"/>
                  <w:szCs w:val="14"/>
                  <w:u w:val="single" w:color="auto"/>
                  <w:color w:val="0000FF"/>
                </w:rPr>
                <w:t>Item 2.</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17">
              <w:r>
                <w:rPr>
                  <w:rFonts w:ascii="Arial" w:cs="Arial" w:eastAsia="Arial" w:hAnsi="Arial"/>
                  <w:sz w:val="14"/>
                  <w:szCs w:val="14"/>
                  <w:u w:val="single" w:color="auto"/>
                  <w:color w:val="0000FF"/>
                </w:rPr>
                <w:t>Properties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17">
              <w:r>
                <w:rPr>
                  <w:rFonts w:ascii="Arial" w:cs="Arial" w:eastAsia="Arial" w:hAnsi="Arial"/>
                  <w:sz w:val="14"/>
                  <w:szCs w:val="14"/>
                  <w:u w:val="single" w:color="auto"/>
                  <w:color w:val="0000FF"/>
                </w:rPr>
                <w:t>17</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Item 3.</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Legal Proceedings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18</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Item 4.</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Mine Safety Disclosures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18</w:t>
              </w:r>
            </w:hyperlink>
          </w:p>
        </w:tc>
      </w:tr>
      <w:tr>
        <w:trPr>
          <w:trHeight w:val="243"/>
        </w:trPr>
        <w:tc>
          <w:tcPr>
            <w:tcW w:w="1520" w:type="dxa"/>
            <w:vAlign w:val="bottom"/>
          </w:tcPr>
          <w:p>
            <w:pPr>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Part II</w:t>
              </w:r>
            </w:hyperlink>
          </w:p>
        </w:tc>
        <w:tc>
          <w:tcPr>
            <w:tcW w:w="25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80" w:type="dxa"/>
            <w:vAlign w:val="bottom"/>
            <w:gridSpan w:val="2"/>
          </w:tcPr>
          <w:p>
            <w:pPr>
              <w:jc w:val="right"/>
              <w:spacing w:after="0"/>
              <w:rPr>
                <w:rFonts w:ascii="Arial" w:cs="Arial" w:eastAsia="Arial" w:hAnsi="Arial"/>
                <w:sz w:val="14"/>
                <w:szCs w:val="14"/>
                <w:u w:val="single" w:color="auto"/>
                <w:color w:val="0000FF"/>
              </w:rPr>
            </w:pPr>
            <w:hyperlink w:anchor="page18">
              <w:r>
                <w:rPr>
                  <w:rFonts w:ascii="Arial" w:cs="Arial" w:eastAsia="Arial" w:hAnsi="Arial"/>
                  <w:sz w:val="14"/>
                  <w:szCs w:val="14"/>
                  <w:u w:val="single" w:color="auto"/>
                  <w:color w:val="0000FF"/>
                </w:rPr>
                <w:t>19</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Item 5.</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Market for the Registrant’s Common Equity, Related Stockholder Matters, and Issuer Purchases of Equity Securities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19</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Item 6.</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Selected Financial Data</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20</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Item 7.</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Management’s Discussion and Analysis of Financial Condition and Results of Operations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20</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33">
              <w:r>
                <w:rPr>
                  <w:rFonts w:ascii="Arial" w:cs="Arial" w:eastAsia="Arial" w:hAnsi="Arial"/>
                  <w:sz w:val="14"/>
                  <w:szCs w:val="14"/>
                  <w:u w:val="single" w:color="auto"/>
                  <w:color w:val="0000FF"/>
                </w:rPr>
                <w:t>Item 7A.</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33">
              <w:r>
                <w:rPr>
                  <w:rFonts w:ascii="Arial" w:cs="Arial" w:eastAsia="Arial" w:hAnsi="Arial"/>
                  <w:sz w:val="14"/>
                  <w:szCs w:val="14"/>
                  <w:u w:val="single" w:color="auto"/>
                  <w:color w:val="0000FF"/>
                </w:rPr>
                <w:t>Quantitative and Qualitative Disclosures About Market Risk</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33">
              <w:r>
                <w:rPr>
                  <w:rFonts w:ascii="Arial" w:cs="Arial" w:eastAsia="Arial" w:hAnsi="Arial"/>
                  <w:sz w:val="14"/>
                  <w:szCs w:val="14"/>
                  <w:u w:val="single" w:color="auto"/>
                  <w:color w:val="0000FF"/>
                </w:rPr>
                <w:t>33</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Item 8.</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Financial Statements and Supplementary Data</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35</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78">
              <w:r>
                <w:rPr>
                  <w:rFonts w:ascii="Arial" w:cs="Arial" w:eastAsia="Arial" w:hAnsi="Arial"/>
                  <w:sz w:val="14"/>
                  <w:szCs w:val="14"/>
                  <w:u w:val="single" w:color="auto"/>
                  <w:color w:val="0000FF"/>
                </w:rPr>
                <w:t>Item 9.</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78">
              <w:r>
                <w:rPr>
                  <w:rFonts w:ascii="Arial" w:cs="Arial" w:eastAsia="Arial" w:hAnsi="Arial"/>
                  <w:sz w:val="14"/>
                  <w:szCs w:val="14"/>
                  <w:u w:val="single" w:color="auto"/>
                  <w:color w:val="0000FF"/>
                </w:rPr>
                <w:t>Changes in and Disagreements with Accountants on Accounting and Financial Disclosure</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83</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Item 9A.</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Controls and Procedures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79</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Item 9B.</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Other Information</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81</w:t>
              </w:r>
            </w:hyperlink>
          </w:p>
        </w:tc>
      </w:tr>
      <w:tr>
        <w:trPr>
          <w:trHeight w:val="243"/>
        </w:trPr>
        <w:tc>
          <w:tcPr>
            <w:tcW w:w="1520" w:type="dxa"/>
            <w:vAlign w:val="bottom"/>
          </w:tcPr>
          <w:p>
            <w:pPr>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Part III</w:t>
              </w:r>
            </w:hyperlink>
          </w:p>
        </w:tc>
        <w:tc>
          <w:tcPr>
            <w:tcW w:w="25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80" w:type="dxa"/>
            <w:vAlign w:val="bottom"/>
            <w:gridSpan w:val="2"/>
          </w:tcPr>
          <w:p>
            <w:pPr>
              <w:jc w:val="right"/>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82</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10.</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Directors, Executive Officers, and Corporate Governance</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82</w:t>
              </w:r>
            </w:hyperlink>
          </w:p>
        </w:tc>
      </w:tr>
      <w:tr>
        <w:trPr>
          <w:trHeight w:val="243"/>
        </w:trPr>
        <w:tc>
          <w:tcPr>
            <w:tcW w:w="1520" w:type="dxa"/>
            <w:vAlign w:val="bottom"/>
          </w:tcPr>
          <w:p>
            <w:pPr>
              <w:ind w:left="460"/>
              <w:spacing w:after="0"/>
              <w:rPr>
                <w:rFonts w:ascii="Arial" w:cs="Arial" w:eastAsia="Arial" w:hAnsi="Arial"/>
                <w:sz w:val="14"/>
                <w:szCs w:val="14"/>
                <w:color w:val="0000FF"/>
              </w:rPr>
            </w:pPr>
            <w:hyperlink w:anchor="page82">
              <w:r>
                <w:rPr>
                  <w:rFonts w:ascii="Arial" w:cs="Arial" w:eastAsia="Arial" w:hAnsi="Arial"/>
                  <w:sz w:val="14"/>
                  <w:szCs w:val="14"/>
                  <w:u w:val="single" w:color="auto"/>
                  <w:color w:val="0000FF"/>
                </w:rPr>
                <w:t>Item 11</w:t>
              </w:r>
              <w:r>
                <w:rPr>
                  <w:rFonts w:ascii="Arial" w:cs="Arial" w:eastAsia="Arial" w:hAnsi="Arial"/>
                  <w:sz w:val="14"/>
                  <w:szCs w:val="14"/>
                  <w:color w:val="0000FF"/>
                </w:rPr>
                <w:t>.</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Executive Compensation</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82</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12.</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Security Ownership of Certain Beneficial Owners and Management and Related Stockholder Matters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82</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13.</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Certain Relationships and Related Transactions, and Director Independence</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82</w:t>
              </w:r>
            </w:hyperlink>
          </w:p>
        </w:tc>
      </w:tr>
      <w:tr>
        <w:trPr>
          <w:trHeight w:val="243"/>
        </w:trPr>
        <w:tc>
          <w:tcPr>
            <w:tcW w:w="1520" w:type="dxa"/>
            <w:vAlign w:val="bottom"/>
          </w:tcPr>
          <w:p>
            <w:pPr>
              <w:ind w:left="46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14.</w:t>
              </w:r>
            </w:hyperlink>
          </w:p>
        </w:tc>
        <w:tc>
          <w:tcPr>
            <w:tcW w:w="9200" w:type="dxa"/>
            <w:vAlign w:val="bottom"/>
            <w:gridSpan w:val="2"/>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Principal Accountant Fees and Services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82</w:t>
              </w:r>
            </w:hyperlink>
          </w:p>
        </w:tc>
      </w:tr>
      <w:tr>
        <w:trPr>
          <w:trHeight w:val="243"/>
        </w:trPr>
        <w:tc>
          <w:tcPr>
            <w:tcW w:w="1520" w:type="dxa"/>
            <w:vAlign w:val="bottom"/>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Part IV</w:t>
              </w:r>
            </w:hyperlink>
          </w:p>
        </w:tc>
        <w:tc>
          <w:tcPr>
            <w:tcW w:w="25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80" w:type="dxa"/>
            <w:vAlign w:val="bottom"/>
            <w:gridSpan w:val="2"/>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83</w:t>
              </w:r>
            </w:hyperlink>
          </w:p>
        </w:tc>
      </w:tr>
      <w:tr>
        <w:trPr>
          <w:trHeight w:val="214"/>
        </w:trPr>
        <w:tc>
          <w:tcPr>
            <w:tcW w:w="1520" w:type="dxa"/>
            <w:vAlign w:val="bottom"/>
          </w:tcPr>
          <w:p>
            <w:pPr>
              <w:ind w:left="460"/>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Item 15.</w:t>
              </w:r>
            </w:hyperlink>
          </w:p>
        </w:tc>
        <w:tc>
          <w:tcPr>
            <w:tcW w:w="9200" w:type="dxa"/>
            <w:vAlign w:val="bottom"/>
            <w:gridSpan w:val="2"/>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Exhibits and Financial Statement Schedules</w:t>
              </w:r>
            </w:hyperlink>
          </w:p>
        </w:tc>
        <w:tc>
          <w:tcPr>
            <w:tcW w:w="480" w:type="dxa"/>
            <w:vAlign w:val="bottom"/>
            <w:gridSpan w:val="2"/>
          </w:tcPr>
          <w:p>
            <w:pPr>
              <w:jc w:val="right"/>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83</w:t>
              </w:r>
            </w:hyperlink>
          </w:p>
        </w:tc>
      </w:tr>
      <w:tr>
        <w:trPr>
          <w:trHeight w:val="252"/>
        </w:trPr>
        <w:tc>
          <w:tcPr>
            <w:tcW w:w="1520" w:type="dxa"/>
            <w:vAlign w:val="bottom"/>
          </w:tcPr>
          <w:p>
            <w:pPr>
              <w:ind w:left="460"/>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Item 16.</w:t>
              </w:r>
            </w:hyperlink>
          </w:p>
        </w:tc>
        <w:tc>
          <w:tcPr>
            <w:tcW w:w="2520" w:type="dxa"/>
            <w:vAlign w:val="bottom"/>
            <w:tcBorders>
              <w:top w:val="single" w:sz="8" w:color="0000FF"/>
            </w:tcBorders>
          </w:tcPr>
          <w:p>
            <w:pPr>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Form 10-K Summary</w:t>
              </w:r>
            </w:hyperlink>
          </w:p>
        </w:tc>
        <w:tc>
          <w:tcPr>
            <w:tcW w:w="6680" w:type="dxa"/>
            <w:vAlign w:val="bottom"/>
          </w:tcPr>
          <w:p>
            <w:pPr>
              <w:spacing w:after="0"/>
              <w:rPr>
                <w:sz w:val="21"/>
                <w:szCs w:val="21"/>
                <w:color w:val="auto"/>
              </w:rPr>
            </w:pPr>
          </w:p>
        </w:tc>
        <w:tc>
          <w:tcPr>
            <w:tcW w:w="480" w:type="dxa"/>
            <w:vAlign w:val="bottom"/>
            <w:gridSpan w:val="2"/>
          </w:tcPr>
          <w:p>
            <w:pPr>
              <w:jc w:val="right"/>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83</w:t>
              </w:r>
            </w:hyperlink>
          </w:p>
        </w:tc>
      </w:tr>
      <w:tr>
        <w:trPr>
          <w:trHeight w:val="243"/>
        </w:trPr>
        <w:tc>
          <w:tcPr>
            <w:tcW w:w="1520" w:type="dxa"/>
            <w:vAlign w:val="bottom"/>
          </w:tcPr>
          <w:p>
            <w:pPr>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INDEX TO EXHIBITS</w:t>
              </w:r>
            </w:hyperlink>
          </w:p>
        </w:tc>
        <w:tc>
          <w:tcPr>
            <w:tcW w:w="25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80" w:type="dxa"/>
            <w:vAlign w:val="bottom"/>
            <w:gridSpan w:val="2"/>
          </w:tcPr>
          <w:p>
            <w:pPr>
              <w:jc w:val="right"/>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84</w:t>
              </w:r>
            </w:hyperlink>
          </w:p>
        </w:tc>
      </w:tr>
      <w:tr>
        <w:trPr>
          <w:trHeight w:val="243"/>
        </w:trPr>
        <w:tc>
          <w:tcPr>
            <w:tcW w:w="1520" w:type="dxa"/>
            <w:vAlign w:val="bottom"/>
          </w:tcPr>
          <w:p>
            <w:pPr>
              <w:spacing w:after="0"/>
              <w:rPr>
                <w:rFonts w:ascii="Arial" w:cs="Arial" w:eastAsia="Arial" w:hAnsi="Arial"/>
                <w:sz w:val="14"/>
                <w:szCs w:val="14"/>
                <w:u w:val="single" w:color="auto"/>
                <w:color w:val="0000FF"/>
              </w:rPr>
            </w:pPr>
            <w:hyperlink w:anchor="page88">
              <w:r>
                <w:rPr>
                  <w:rFonts w:ascii="Arial" w:cs="Arial" w:eastAsia="Arial" w:hAnsi="Arial"/>
                  <w:sz w:val="14"/>
                  <w:szCs w:val="14"/>
                  <w:u w:val="single" w:color="auto"/>
                  <w:color w:val="0000FF"/>
                </w:rPr>
                <w:t>SIGNATURES</w:t>
              </w:r>
            </w:hyperlink>
          </w:p>
        </w:tc>
        <w:tc>
          <w:tcPr>
            <w:tcW w:w="25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80" w:type="dxa"/>
            <w:vAlign w:val="bottom"/>
            <w:gridSpan w:val="2"/>
          </w:tcPr>
          <w:p>
            <w:pPr>
              <w:jc w:val="right"/>
              <w:spacing w:after="0"/>
              <w:rPr>
                <w:rFonts w:ascii="Arial" w:cs="Arial" w:eastAsia="Arial" w:hAnsi="Arial"/>
                <w:sz w:val="14"/>
                <w:szCs w:val="14"/>
                <w:u w:val="single" w:color="auto"/>
                <w:color w:val="0000FF"/>
              </w:rPr>
            </w:pPr>
            <w:hyperlink w:anchor="page88">
              <w:r>
                <w:rPr>
                  <w:rFonts w:ascii="Arial" w:cs="Arial" w:eastAsia="Arial" w:hAnsi="Arial"/>
                  <w:sz w:val="14"/>
                  <w:szCs w:val="14"/>
                  <w:u w:val="single" w:color="auto"/>
                  <w:color w:val="0000FF"/>
                </w:rPr>
                <w:t>89</w:t>
              </w:r>
            </w:hyperlink>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coronavirus pandemic (“COVID-19”) on the Company’s financial condition, business operations, and liquidity;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and realizing anticipated cost savings and operating efficiencies; risks associated with joint ventures; new laws and governmental regulations; and other risk factors and cautionary statements listed from time to 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Except for per share data or as otherwise noted, all U.S dollar amounts presented in tables that follow are in thousands.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and defense, and medical markets. As used in this Annual Report on Form 10-K (this “Annual Report”), the terms “NN,” the “Company,” “we,” “our,” or “us” refer to NN, Inc., and its subsidiaries. We have 32 facilities in North America, Europe, South America, and China.</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6, 2020, we completed the sale of our Life Sciences business (the “Life Sciences business”) to affiliates of American Securities LLC for approximately $753.3 million. The proceeds from the sale of the Life Sciences business were used to prepay $700.0 million in the aggregate on the Senior Secured Term Loan and the Incremental Term Loan immediately following the sale. We also paid in full the outstanding balance on the Senior Secured Revolver. The sale of the Life Sciences business furthers management’s strategy to improve liquidity and creates the financial flexibility to pursue key growth areas in the Mobile Solutions and Power Solutions segments.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enterprise and management structure is designed to accelerate growth and further balance our portfolio by aligning our strategic assets and businesses. Our businesses are organized into the Mobile Solutions and Power Solutions groups and are based principally on the end markets they serve. Mobile Solutions is focused on growth in the general industrial and automotive end markets. Power Solutions is focused on growth in the electrical and aerospace and defense end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Power Solutions is focused on growth in the electrical and aerospace and defense end markets, while also serving the automotive and medical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 We</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High-precision manufacturing capabilities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Differentiated, system-critical products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8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Food and Drug Administration (“FDA”), Underwriters Laboratories (“UL”), and the National Aerospace and Defense Contractors Accreditation Program (“NADCAP”).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product lifecycle focus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Prototype products are developed for testing, and process validation procedures are instituted. In many instances, we will file for regulatory production approval and include the customer’s proprietary processes, further discouraging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blue-chip customer base</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maintain relationships with hundreds of customers around the world. Our customers are typically sophisticated, engineering-driven, mechanical systems manufacturers with long histories of product development and reputations for quality.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no significant retail exposure, which limits volatility and provides enhanced sales visibility. Relationships with our top ten customers, in terms of revenue, average more than ten years. We have significant exposure to emerging markets in Asia, South America, and Europe through these global customers as well as key local manufacturers. The diverse nature, size, and reach of our customer base provides resistance to localized market and geographic fluctuations and help stabilizes overall product demand.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global footprint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32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2.1 million square feet of manufacturing space.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The Asian and South American facilities, we believe, have significant growth potential as local customer bases expand and the markets for high-precision products grow in those regions.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Synergies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well-positioned to take advantage of synergies between our Mobile Solutions and Power Solutions businesses as we expand new technologies in the electric vehicle, hybrid vehicle, and aerospace and defense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Proven and experienced management team</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management team has significant experience in precision manufacturing and the diversified industrial sector. Warren Veltman was named President and Chief Executive Officer in September 2019 and previously served as Executive Vice President of Mobile Solutions. Mr. Veltman joined us in 2014 as part of the Autocam acquisition, a business at which he had 30 years of experience in financial and operational leadership roles. Thomas DeByle joined NN and was named Senior Vice President and Chief Financial Officer in August 2019. Mr. DeByle has extensive experience in finance leadership roles at global manufacturers and most recently served as Chief Financial Officer, Vice President and Treasurer of Standex International since 2008. John Buchan was named Executive Vice President of Mobile Solutions in September 2019 and Executive Vice President of Mobile Solutions and Power Solutions in November 2019. Mr. Buchan joined us in 2014 as part of the Autocam acquisition, a business at which he had 18 years of experience in operations. We believe that our current management team has the necessary talent and experience to profitably operate and grow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supplied primarily to manufacturers for use in a broad range of industrial applications, including automotive; electrical; agricultural; construction; residential devices and equipment; aerospace and defense; medical; heating, ventilation, and air conditioning; and fluid power and diesel engines. Sales to each of our top ten customers are made to multiple customer locations and divisions throughout the world. In 2020, our top ten customers accounted for approximately 45% of our net sales. In 2020, 70% of our products were sold to customers in North America, 8% to customers in Europe, 15% to customers in Asia, and the remaining 7% to customers in South America.</w:t>
      </w:r>
    </w:p>
    <w:p>
      <w:pPr>
        <w:spacing w:after="0" w:line="8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December 31, 2020, we employed a total of 3,081 full and part-time employees and 409 temporary workers, which includes approximately 1,460 employees in the U.S. and approximately 2,030 employees in other countries employed by our international subsidiaries. Of our total employment, approximately 14% are management employees and 86% are production employees. Our employees in the France, Brazil, and Brainin de Mexico plants are subject to labor council relationships that vary due to the diverse countries in which we operate. We believe we have a good working relationship with our employees and the unions that represent them.</w:t>
      </w:r>
    </w:p>
    <w:p>
      <w:pPr>
        <w:spacing w:after="0" w:line="6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response to the COVID-19 pandemic, we implemented significant changes that we determined were in the best interest of our employees and which comply with government orders in all the states and countries where we operate. In an effort to keep our employees safe and to maintain operations during the COVID-19 pandemic, we implemented a number of new health-related measures, including the requirement to wear face-masks at all times while on company property, temperature-taking protocols, increased hygiene, cleaning and sanitizing procedures at all locations, social-distancing protocols, restrictions on visitors to our facilities, and limiting in-person meetings and other gatherings.</w:t>
      </w:r>
    </w:p>
    <w:p>
      <w:pPr>
        <w:spacing w:after="0" w:line="6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believe diversity and inclusion are at the core of our values and strategic business priorities. Throughout our business, we champion equality, supporting parity for women and under-represented groups as we work to create ethical, safe, and supportive workplaces where our employees thrive. We believe a diverse and inclusive workplace results in business growth and encourages increased innovation, retention of talent, and a more engaged workforce. Respect for human rights is fundamental to our business and its commitment to ethical business conduct.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the market in which Mobile Solutions operates, internal production of components by our customers can impact our business as the customers weigh the risk of outsourcing strategically critical components or producing in-house. Our primary competitors are: Anton Häring KG; A. Berger Holding GmbH &amp; Co. KG; Brovedani Group, Burgmaier Technologies GmbH &amp; Co. KG; CIE Automotive, S.A.; IMS Companies; and MacLean-Fogg Component Solutions. We believe that we generally win new business on the basis of technical competence and our proven track record of successful product development.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Power Solutions operates in intensely competitive but very fragmented supply chains. We must compete with numerous companies in each industry market segment. Our primary competitors are: Checon Corporation; Deringer-Ney, Inc.; Electrical Contacts, Ltd.; Interplex Industries, Inc.; J&amp;J Machining, LLC; Norstan, Inc.; Owens Industries, Inc.; and Precinmac Precision Machining. We believe that competition within the electrical and aerospace and defense end markets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Mobile Solutions produces products from a wide variety of metals in various forms from various sources located in the North America, Europe, South America, and Asia.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Power Solutions uses a wide variety of metals in various forms, including precious metals like gold, silver, palladium, and platinum, as well as plastics. Through our diverse network of suppliers, we minimize supplier concentration risk and provide a stable supply of raw materials at competitive pricing. This group also procures resins and metal stampings from several domestic and foreign suppliers. Power Solutions bases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consignment agreements. In effect, we contract the precious metals for our own stock and buy the raw materials on the same day customer shipments are priced, thereby eliminating speculation.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each of our segments, we have historically been affected by upward price pressure on steel principally due to general increases in global demand. In general, we pass through material cost fluctuations to our customers in the form of changes in selling price. Most of the raw materials we use are purchased from various suppliers and are typically available from numerous sources, some of which are located in China and Europe. The recent coronavirus outbreak has impacted our suppliers in China and other affected regions. We are monitoring the effect of these impacts on our supply chain in order to maintain regular and timely supply of raw materials to our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have several U.S. patents, patent applications and trademarks for various trade names. However, we cannot be certain that we would be able to protect and enforce our intellectual property rights against third parties, and if we cannot do so, we may face increased competition and diminished net sales.</w:t>
      </w:r>
    </w:p>
    <w:p>
      <w:pPr>
        <w:spacing w:after="0" w:line="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 intellectual property claims against us are without merit, investigating and defending these types of lawsuits takes significant time, may be expensive and may divert management attention from other business concerns.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rely on certain data and processes, including trade secrets and know-how, and the success of our business depends, to some extent,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remaining confidential. Each officer is subject to a non-competition and confidentiality agreement that seeks to protect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information. Additionally, all employees are subject to company code of ethics policies that prohibit the disclosure of information critical to the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automotive sales tend to slow in July and December, and sales to original equipment manufacturers are often stronger immediately preceding and following the launch of new products. However, as a whole, we are not materially impacted by seasonality.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operations and products are subject to extensive federal, state and local regulatory requirements both domestically and abroad. For example, our business activities are subject to various laws and regulations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a manufacturer of medical devices, our Taunton, Massachusetts, facility is required to register as such with the FDA.</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respect to medical and products that we may specifically develop to sell to our customers, before these devices can be marketed, we will seek to obtain a marketing clearance from the FDA under Section 510(k) of the United States Federal Food, Drug, and Cosmetic Act. The FDA typically grants a 510(k) clearance if the applicant can establish that the device is substantially equivalent to a predicate device. Clearance under Section 510(k) typically takes about four months from the date of submission.</w:t>
      </w:r>
    </w:p>
    <w:p>
      <w:pPr>
        <w:spacing w:after="0" w:line="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Based on information compiled to date, management believes that our current operations are in substantial compliance with applicable environmental laws and regulations, the violation of which could have a material adverse effect on our business and financial condition. We cannot assure that currently unknown matters, new laws and regulations, or stricter interpretations of existing laws and regulations will not materially affect our business or operations in the future. As of the date hereof, compliance with these laws and regulations has not had a material effect on our capital expenditures, results of operations, and competitive position. For additional information, see “Item 1A - Risk Factors.”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7180" w:type="dxa"/>
            <w:vAlign w:val="bottom"/>
          </w:tcPr>
          <w:p>
            <w:pPr>
              <w:ind w:left="334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Warren A. Veltman</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7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Thomas D. DeByle</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John R. Buchan</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Executive Vice President – Mobile Solutions and Power Solutions</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Matthew S. Heiter</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D. Gail Nixon</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bl>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Warren A. Veltman was appointed President and Chief Executive Officer in September 2019 having previously served as Executive Vice President of Mobile Solutions since January 2018. Mr. Veltman joined NN as part of the Autocam acquisition in 2014 as the Senior Vice President and General Manager of our former Autocam Precision Components Group. Prior to the acquisition, Mr. Veltman served as Chief Financial Officer of Autocam Corporation from 1990 and Secretary and Treasurer since 1991. Prior to Mr. Veltman’s service at Autocam, Mr. Veltman was an Audit Manager with Deloitte &amp; Touche LLP.</w:t>
      </w:r>
    </w:p>
    <w:p>
      <w:pPr>
        <w:spacing w:after="0" w:line="4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Thomas D. DeByle joined us as Senior Vice President and Chief Financial Officer in September 2019. Since 2019, Mr. DeByle has been on the board of directors of Chase Corporation (NYSE: CCF). He is also their Audit Committee Chair. Prior to joining NN, Mr. DeByle served as Chief Financial Officer, Vice President, and Treasurer of Standex International from March 2008 to August 2019. Prior to joining Standex International, Mr. DeByle held a variety of leadership positions at Ingersoll Rand, a leading diversified industrial firm, culminating in his appointment as Chief Financial Officer for the Compact Vehicle Technology Sector. Prior to joining Ingersoll Rand, Mr. DeByle held a variety of leadership positions at Actuant Corporation, a publicly held diversified industrial company, Milwaukee-based Johnson Controls, and two regional public accounting firms.</w:t>
      </w:r>
    </w:p>
    <w:p>
      <w:pPr>
        <w:spacing w:after="0" w:line="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John R. Buchan was appointed Executive Vice President of Mobile Solutions in September 2019 and Executive Vice President of Mobile Solutions and Power Solutions in November 2019 having previously served as Vice President of Operations of Mobile Solutions. Mr. Buchan joined NN as part of the Autocam acquisition in 2014, where he served as the Chief Operations Officer. Prior to joining Autocam in 2002, Mr. Buchan held a variety of technical leadership roles at Benteler Automotive, culminating in his appointment as Executive Vice President of the Exhaust Products Group. Mr. Buchan has spent his entire career in operations roles, beginning with General Motors Central Foundry and Rochester Products Divisions.</w:t>
      </w:r>
    </w:p>
    <w:p>
      <w:pPr>
        <w:spacing w:after="0" w:line="6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Matthew S. Heiter joined us as Senior Vice President and General Counsel in July 2015. Prior to joining NN, Mr. Heiter was a shareholder in the law firm of Baker, Donelson, Bearman, Caldwell and Berkowitz, P.C. from May 1996 to December 1999 and from July 2002 to July 2015, where he served as chairman of the firm’s Securities and Corporate Governance Practice Group. From January 2000 to July 2002, Mr. Heiter served as the Executive Vice President, General Counsel, and Secretary of Internet Pictures Corporation, a publicly traded internet technology company.</w:t>
      </w:r>
    </w:p>
    <w:p>
      <w:pPr>
        <w:spacing w:after="0" w:line="6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D. Gail Nixon joined us in 2007 and was appointed Senior Vice President and Chief Human Resources Officer in January 2018. Ms. Nixon previously served as our Vice President of Human Resources as well as Corporate Human Resources Manager. Ms. Nixon is a member of the Society for Human Resource Management and World at Work and has earned her Senior Professional in Human Resources designation. From 2000 to 2007, she held various accounting and human resources positions with a multi-state healthcare organization, ultimately serving as its corporate human resources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 Securities and Exchange Commission (“SEC”) Filings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make available free of charge, in the “Investor Relations” section of our website (www.nninc.com), our annual reports on Form 10-K, quarterly reports on Form 10-Q, current reports on Form 8-K, and amendments to those reports filed or furnished pursuant to Section 13(a) or 15(d) of the Securities Exchange Act of 1934, as amended (the “Exchange Act”), as soon as reasonably practicable after electronically filing such material with, or furnishing it to, the SEC. The SEC maintains a website that contains reports, proxy and information statements, and other information regarding issuers that file electronically with the SEC at http://www.sec.gov.</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prospects,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The COVID-19 pandemic and mitigation efforts to control the spread of the disease have and are expected to continue to materially impact our business, and our financial condition, results of operations and cash flows could be materially adversely affected by factors relating to COVID-19.</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COVID-19 pandemic has created significant volatility in the global economy and led to significant reduced market and economic activity and employment and has disrupted, and may continue to disrupt, the end markets we serve. The spread of COVID-19 has created a disruption in the manufacturing, delivery and overall supply chain of automobile manufacturers and suppliers. Global vehicle production has decreased, and as a result, we have modified our production schedules and have experienced, and may continue to experience, delays in the production and distribution of our products and the loss of sales to our customers. During the pandemic, our production volumes may be volatile, and we will be required to modify our production environment to ensure the health and safety of our workers. Additionally, if the global economic effects caused by the pandemic continue or increase, overall customer demand may continue to decrease, which could have a material and adverse effect on our business, results of operations, and financial condition. COVID-19 vaccines have received emergency use authorization from the United States government, but vaccine distribution has been slower than public officials hoped. Many jurisdictions continue to enforce orders restricting businesses’ normal operations, and reinstatement of broader “stay-at-home” directives and mandates remains a possibility. Additionally, the federal emergency supplemental unemployment benefit is scheduled to expire in March 2021. In addition, if a significant portion of our workforce or our customers’ workforces are affected by COVID-19 either directly or due to government closures or otherwise, associated work stoppages or facility closures would halt or delay production.</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full extent of the future effects of the pandemic on us, our customers, our supply chain, and our business cannot be assessed at this time, although we expect our 2021 results of operations are likely to be adversely affected. Our business, results of operations and financial condition could continue to be affected even after the pandemic subsides. In addition to the risks specifically described above, the impact of COVID-19 is likely to heighten other risks disclosed below.</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depend heavily on a relatively limited number of customers, and the loss of any major customer would have a material adverse effect on our business.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2020, sales to various U.S. and foreign divisions of our ten largest customers accounted for approximately 45% of our consolidated net sales. The loss of all or a substantial portion of sales to these customers would cause us to lose a substantial portion of our revenue and would lower our operating profit margin and cash flows from operations.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and unanticipated business disruptions could significantly disrupt our operations, reduce our revenues and materially affect our earnings.</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 work stoppage at one or more of our facilities could have a material adverse effect on our business, prospects, financial condition, results of operations, or cash flows. Also, if one or more of our customers were to experience a work stoppage, that customer would likely halt or limit purchases of our products. For example, increased demand for semiconductor chips in 2020, due in part to the COVID-19 pandemic and an increased use of laptop</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computers, 5G phones, gaming systems and other IT equipment that use these chips, has resulted in a severe shortage of chips in early 2021. These same chips are used in automobiles in a variety of parts and information and entertainment systems. As a result, various automotive manufacturers have been forced to delay or stall new vehicle production. If efforts to address the chip shortage by the industry and the U.S government are unsuccessful, there may be further delays in new vehicle production, which could have a material adverse effect on our business, prospects, financial condition, results of operations, or cash flows.</w:t>
      </w:r>
    </w:p>
    <w:p>
      <w:pPr>
        <w:spacing w:after="0" w:line="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a complex network of suppliers, owned and leased manufacturing locations, co-manufacturing locations, distribution networks, and information systems that support our ability to consistently provide our products to our customers. Factors that are hard to predict or beyond our control, such as weather, raw material shortages, natural disasters, fires or explosions, political unrest, terrorism, generalized labor unrest, or health pandemics, such as COVID-19, could damage or disrupt our operations or our customers’, suppliers’, co-manufacturers’ or distributors’ operations. These disruptions may require additional resources to restore our supply chain or distribution network. If we cannot respond to disruptions in our operations, whether by finding alternative suppliers or replacing capacity at key manufacturing or distribution locations, or if we are unable to quickly repair damage to our information, production, or supply systems, we may be late in delivering, or be unable to deliver, products to our customers and may also be unable to track orders, inventory, receivables, and payables. If that occurs, our customers’ confidence in us and long-term demand for our products could decline. Any of these events could materially and adversely affect our product sales, financial condition, and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obtain a majority of our raw materials from overseas suppliers, actively participate in overseas manufacturing operations and sell to a large number of international customers. During the year ended December 31, 2020, sales to customers located</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outside of the U.S. accounted for approximately 37% of our consolidated net sales. As a result of doing business internationally, we face risks associated with the following:</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monetary and fiscal policies, laws and regulations, and other activities of governments, agencies and similar organizations;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recessions or marked declines specific to a particular country or region;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imposition of import tariffs or other duties or taxes;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prices we pay for raw materials used in our products may be impacted by tariffs. The tariffs initiated by the U.S. government in 2018 under Section 232 of the Trade Expansion Act of 1962 resulted in increased metals prices in the United States. Any future tariffs or quotas imposed on steel and aluminum imports may increase the price of metal, which could have a material adverse effect on our business, prospects, financial condition,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markets are highly competitive, and many of our competitors have significant advantages that could adversely affect our business.</w:t>
      </w:r>
    </w:p>
    <w:p>
      <w:pPr>
        <w:spacing w:after="0" w:line="1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loss of key personnel and the inability to attract and retain qualified employees could have a material adverse impact on our operations.</w:t>
      </w:r>
    </w:p>
    <w:p>
      <w:pPr>
        <w:spacing w:after="0" w:line="140"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prospects, financial condition, results of operations, or cash flows.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2020, we had approximately $84.9 million of indebtedness outstanding and an additional $45.4 million of unused borrowing capacity under our debt agreements. Our debt obligations could have important consequences, including:</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63" w:lineRule="exact"/>
        <w:rPr>
          <w:rFonts w:ascii="Arial" w:cs="Arial" w:eastAsia="Arial" w:hAnsi="Arial"/>
          <w:sz w:val="18"/>
          <w:szCs w:val="18"/>
          <w:color w:val="auto"/>
        </w:rPr>
      </w:pPr>
    </w:p>
    <w:p>
      <w:pPr>
        <w:ind w:left="660" w:right="38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which could cause our debt service obligations to increase significantly;</w:t>
      </w:r>
    </w:p>
    <w:p>
      <w:pPr>
        <w:spacing w:after="0" w:line="63"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63"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62"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Despite our indebtedness level, we may still be able to incur substantial additional amounts of debt, which could further exacerbate the risks associated with our substantial indebtedness.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pacing w:after="0" w:line="63"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 our existing businesses;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the covenants in our debt agreements require us to meet specified financial ratios and satisfy other financial condition tests. Our ability to meet those financial ratios and tests will depend on our ongoing financial and operating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or to accelerate the maturity date of the indebtedness incurred thereunder.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5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we may not be able to refinance our debt obligations as they mature.</w:t>
      </w:r>
    </w:p>
    <w:p>
      <w:pPr>
        <w:spacing w:after="0" w:line="62"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4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Approximately 37%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2020, the U.S. dollar strengthened against foreign currencies which unfavorably affected our revenue by $6.2 million. In contrast, a weakening of the U.S. dollar may beneficially affect our business, prospects, financial condition, results of operations,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4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In addition,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due to the market capitalization of our stock, our stock tends to be more volatile than large capitalization stocks that comprise the Dow Jones Industrial Average or Standard and Poor’s 500 Index.</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4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may constitute an important part of our future growth strategy.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completed acquisitions or any future strategic portfolio acquisition, or those benefits may take longer to realize than expected.</w:t>
      </w:r>
    </w:p>
    <w:p>
      <w:pPr>
        <w:spacing w:after="0" w:line="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either may not realize all of the anticipated benefits from completed acquisitions or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4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63" w:lineRule="exact"/>
        <w:rPr>
          <w:rFonts w:ascii="Arial" w:cs="Arial" w:eastAsia="Arial" w:hAnsi="Arial"/>
          <w:sz w:val="18"/>
          <w:szCs w:val="18"/>
          <w:color w:val="auto"/>
        </w:rPr>
      </w:pPr>
    </w:p>
    <w:p>
      <w:pPr>
        <w:ind w:left="660" w:right="2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spacing w:after="0" w:line="40" w:lineRule="exact"/>
        <w:rPr>
          <w:rFonts w:ascii="Arial" w:cs="Arial" w:eastAsia="Arial" w:hAnsi="Arial"/>
          <w:sz w:val="16"/>
          <w:szCs w:val="16"/>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acquired businesses as required by the Sarbanes-Oxley Act of 2002 within the time periods prescribed thereby;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exposure to potential unknown liabilities and unforeseen increased expenses or delays associated with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incurred a significant amount of debt in connection with our acquisitions in the past few years. Finally, in relation to such acquisitions, we have significantly higher amounts of intangible assets. These intangible assets will be subject to impairment testing, and we could incur a significant impact to our financial statements in the form of an impairment if assumptions and expectations related to our acquisitions are not realized.</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indemnification provisions of acquisition agreements by which we have acquired companies may not fully protect us and may result in unexpected liabilities.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could expose us to additional risks from time to time.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currently have a 49% investment in a Chinese joint venture and may participate in additional joint ventures from time to time. Our participation in joint ventures is subject to risks that may not be present with other methods of ownership, including:</w:t>
      </w:r>
    </w:p>
    <w:p>
      <w:pPr>
        <w:spacing w:after="0" w:line="62" w:lineRule="exact"/>
        <w:rPr>
          <w:sz w:val="20"/>
          <w:szCs w:val="20"/>
          <w:color w:val="auto"/>
        </w:rPr>
      </w:pPr>
    </w:p>
    <w:p>
      <w:pPr>
        <w:ind w:left="660" w:right="2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8"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transfer our interest in a joint venture to a third party may be restricted and the market for our interest may be limited;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joint venture partners might become bankrupt, fail to fund their share of required capital contributions or fail to fulfill their obligations as</w:t>
      </w:r>
    </w:p>
    <w:p>
      <w:pPr>
        <w:spacing w:after="0" w:line="34" w:lineRule="exact"/>
        <w:rPr>
          <w:rFonts w:ascii="Arial" w:cs="Arial" w:eastAsia="Arial" w:hAnsi="Arial"/>
          <w:sz w:val="17"/>
          <w:szCs w:val="17"/>
          <w:color w:val="auto"/>
        </w:rPr>
      </w:pPr>
    </w:p>
    <w:p>
      <w:pPr>
        <w:ind w:left="660" w:right="220"/>
        <w:spacing w:after="0" w:line="260" w:lineRule="auto"/>
        <w:rPr>
          <w:rFonts w:ascii="Arial" w:cs="Arial" w:eastAsia="Arial" w:hAnsi="Arial"/>
          <w:sz w:val="17"/>
          <w:szCs w:val="17"/>
          <w:color w:val="auto"/>
        </w:rPr>
      </w:pPr>
      <w:r>
        <w:rPr>
          <w:rFonts w:ascii="Arial" w:cs="Arial" w:eastAsia="Arial" w:hAnsi="Arial"/>
          <w:sz w:val="18"/>
          <w:szCs w:val="18"/>
          <w:color w:val="auto"/>
        </w:rPr>
        <w:t>a joint venture partner, which may require us to infuse our own capital into the venture on behalf of the partner despite other competing uses for such capital; and</w:t>
      </w:r>
    </w:p>
    <w:p>
      <w:pPr>
        <w:spacing w:after="0" w:line="77"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joint venture partners may have competing interests in our markets that could create conflict of interest issues.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harm our business, including our competitive position and business prospects.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attract and retain customers, suppliers, investors, and employees is impacted by our reputation. Harm to our reputation can arise from various sources, including employee misconduct, security breaches, unethical behavior, litigation, or 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and financial condition.</w:t>
      </w:r>
    </w:p>
    <w:p>
      <w:pPr>
        <w:spacing w:after="0" w:line="129"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Changes in U.S. tax laws, tax rulings, or interpretations of existing laws could materially affect our business, cash flow, results of operations, and financial condition. In particular, on December 22, 2017, the U.S. government enacted comprehensive Federal tax legislation commonly referred to as the Tax Cuts and Jobs Act of 2017 (the “U.S. Tax Cuts and Jobs Act of 2017”). The U.S. Tax Cuts and Jobs Act of 2017 introduces significant changes to U.S. income tax law that have a meaningful impact on our provision for income taxes. Accounting for the income tax effects of the U.S. Tax Cuts and Jobs Act of 2017 requires significant judgments and estimates in the interpretation and calculations of the provisions of the U.S. Tax Cuts and Jobs Act of 2017.</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2020, we owned or leased 32 facilities in a total of six countries, which includes a 49% equity interest in a manufacturing joint venture in China. Utilization of these sites may vary with product mix and economic, seasonal, and other business conditions. Our plants generally have sufficient capacity for existing needs and expected near-term growth. These plants are generally well maintained, in good operating condition, and suitable and adequate for their use. The following table lists the locations of our facilities by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 Group</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General Character</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Country</w:t>
            </w:r>
          </w:p>
        </w:tc>
        <w:tc>
          <w:tcPr>
            <w:tcW w:w="1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Owned or Leased</w:t>
            </w:r>
          </w:p>
        </w:tc>
      </w:tr>
      <w:tr>
        <w:trPr>
          <w:trHeight w:val="229"/>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Boituva, Brazil</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Plant</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Campinas, Brazil</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Office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Dowagiac,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Juarez, Mexico</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Mexico</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Kamienna Gora, Poland</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Poland</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Plant 3, Warehouse</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Office</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Marnaz, France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France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Marshall,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Marshall, Michigan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Sao Joao da Boa Vista, Brazil</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Sao Joao da Boa Vista, Brazil</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Wellington, Ohio</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Wellington, Ohio</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Wuxi, China</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China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851"/>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right"/>
              <w:ind w:right="149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 Group</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General Character</w:t>
            </w:r>
          </w:p>
        </w:tc>
        <w:tc>
          <w:tcPr>
            <w:tcW w:w="1940" w:type="dxa"/>
            <w:vAlign w:val="bottom"/>
            <w:gridSpan w:val="4"/>
          </w:tcPr>
          <w:p>
            <w:pPr>
              <w:ind w:left="660"/>
              <w:spacing w:after="0"/>
              <w:rPr>
                <w:sz w:val="20"/>
                <w:szCs w:val="20"/>
                <w:color w:val="auto"/>
              </w:rPr>
            </w:pPr>
            <w:r>
              <w:rPr>
                <w:rFonts w:ascii="Arial" w:cs="Arial" w:eastAsia="Arial" w:hAnsi="Arial"/>
                <w:sz w:val="14"/>
                <w:szCs w:val="14"/>
                <w:b w:val="1"/>
                <w:bCs w:val="1"/>
                <w:color w:val="auto"/>
              </w:rPr>
              <w:t>Country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20" w:type="dxa"/>
            <w:vAlign w:val="bottom"/>
          </w:tcPr>
          <w:p>
            <w:pPr>
              <w:spacing w:after="0"/>
              <w:rPr>
                <w:sz w:val="16"/>
                <w:szCs w:val="16"/>
                <w:color w:val="auto"/>
              </w:rPr>
            </w:pPr>
          </w:p>
        </w:tc>
      </w:tr>
      <w:tr>
        <w:trPr>
          <w:trHeight w:val="229"/>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Algonquin, Illinois</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Plant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Plant 3</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Office, Warehouse</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Foshan City, China</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tcPr>
          <w:p>
            <w:pPr>
              <w:jc w:val="right"/>
              <w:ind w:right="800"/>
              <w:spacing w:after="0"/>
              <w:rPr>
                <w:sz w:val="20"/>
                <w:szCs w:val="20"/>
                <w:color w:val="auto"/>
              </w:rPr>
            </w:pPr>
            <w:r>
              <w:rPr>
                <w:rFonts w:ascii="Arial" w:cs="Arial" w:eastAsia="Arial" w:hAnsi="Arial"/>
                <w:sz w:val="18"/>
                <w:szCs w:val="18"/>
                <w:color w:val="auto"/>
              </w:rPr>
              <w:t>China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Irvine, California</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Lubbock, Texas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Lubbock, Texas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Mexico City, Mexico</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tcPr>
          <w:p>
            <w:pPr>
              <w:ind w:left="640"/>
              <w:spacing w:after="0"/>
              <w:rPr>
                <w:sz w:val="20"/>
                <w:szCs w:val="20"/>
                <w:color w:val="auto"/>
              </w:rPr>
            </w:pPr>
            <w:r>
              <w:rPr>
                <w:rFonts w:ascii="Arial" w:cs="Arial" w:eastAsia="Arial" w:hAnsi="Arial"/>
                <w:sz w:val="18"/>
                <w:szCs w:val="18"/>
                <w:color w:val="auto"/>
              </w:rPr>
              <w:t>Mexico</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North Attleboro, Massachusetts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Palmer, Massachusetts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Taunton, Massachusetts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432"/>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Joint Venture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544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w:t>
            </w:r>
          </w:p>
        </w:tc>
        <w:tc>
          <w:tcPr>
            <w:tcW w:w="1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General Character</w:t>
            </w:r>
          </w:p>
        </w:tc>
        <w:tc>
          <w:tcPr>
            <w:tcW w:w="19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Country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20" w:type="dxa"/>
            <w:vAlign w:val="bottom"/>
          </w:tcPr>
          <w:p>
            <w:pPr>
              <w:spacing w:after="0"/>
              <w:rPr>
                <w:sz w:val="24"/>
                <w:szCs w:val="24"/>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Wuxi, China</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92"/>
              </w:rPr>
              <w:t>Plant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China</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Borders>
              <w:top w:val="single" w:sz="8" w:color="auto"/>
            </w:tcBorders>
            <w:shd w:val="clear" w:color="auto" w:fill="CCEEFF"/>
          </w:tcPr>
          <w:p>
            <w:pPr>
              <w:spacing w:after="0"/>
              <w:rPr>
                <w:sz w:val="19"/>
                <w:szCs w:val="1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manufacturing plants, we lease office space in Charlotte, North Carolina, which serves as our corporate headquarters.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disclosed in Note 15 of the Notes to Consolidated Financial Statements included elsewhere in this Annual Report, we are engaged in certain legal proceedings, and the disclosure set forth in Note 15 relating to certain commitments and contingencies is incorporated herein by reference.</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common stock is traded on Nasdaq under the trading symbol “NNBR.” As of March 5, 2021, there were approximately 6,363 beneficial owners of record of our common stock, and the closing per share stock price as reported by Nasdaq was $6.73. The following graph and table compare the cumulative total shareholder return on our common stock with the cumulative total shareholder return of: (i) the S&amp;P SmallCap 600 Index and (ii) a customized peer group, for the period from December 31, 2015, to December 31, 2020. The customized peer group consists of the following companies, which we believe are in similar lines of business: Altra Industrial Motion Corp., Ametek Inc., CIRCOR International, Inc., Colfax Corporation, Crane, Enerpac Tool Group Corp, Kaman Corporation, Park-Ohio Holdings Corp. and Worthington Industries, Inc. (collectively, the “Peer Group”). The following graph and table assume that a $100 investment was made at the close of trading on December 31, 2015, in our common stock and in the S&amp;P SmallCap Index and the Peer Group. We cannot assure you that the performance of our common stock will continue in the future with the same or similar trend depicted on the graph.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 Peer Group, and S&amp;P SmallCap 600 Index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306070</wp:posOffset>
            </wp:positionV>
            <wp:extent cx="4560570" cy="2863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6057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NN,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121.67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178.25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44.17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62.43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Peer Group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117.30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148.11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121.38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173.16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198.75</w:t>
            </w: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SmallCap 600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126.56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143.30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131.15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161.03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179.21</w:t>
            </w:r>
          </w:p>
        </w:tc>
      </w:tr>
    </w:tbl>
    <w:p>
      <w:pPr>
        <w:spacing w:after="0" w:line="94"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Source: Value Line Publishing LLC</w:t>
      </w:r>
    </w:p>
    <w:p>
      <w:pPr>
        <w:spacing w:after="0" w:line="14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Annual Report for information required by Item 201 (d) of Regulation S-K.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following selected financial data has been derived from our audited financial statements. The selected financial data should be read in conjunction with “Management’s Discussion and Analysis of Financial Condition and Results of Operations” in Part II, Item 7, of this Annual Report and the audited Consolidated Financial Statements, including the Notes thereto, in Part II, Item 8, of this Annual Report. Amounts reflect the reclassification of discontinued operations, as disclosed in Note 2 of the Notes to Consolidated Financial Statements included elsewhere in this report.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left="621"/>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Net sales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427,534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489,514</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524,194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523,024</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506,270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379,933</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92,942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182,542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from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25,113</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(139,490)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(221,220)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95,949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39,997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from discontinued operations, net of tax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(33,334)</w:t>
            </w:r>
          </w:p>
        </w:tc>
        <w:tc>
          <w:tcPr>
            <w:tcW w:w="0" w:type="dxa"/>
            <w:vAlign w:val="bottom"/>
          </w:tcPr>
          <w:p>
            <w:pPr>
              <w:spacing w:after="0"/>
              <w:rPr>
                <w:sz w:val="1"/>
                <w:szCs w:val="1"/>
                <w:color w:val="auto"/>
              </w:rPr>
            </w:pPr>
          </w:p>
        </w:tc>
      </w:tr>
      <w:tr>
        <w:trPr>
          <w:trHeight w:val="166"/>
        </w:trPr>
        <w:tc>
          <w:tcPr>
            <w:tcW w:w="4260" w:type="dxa"/>
            <w:vAlign w:val="bottom"/>
          </w:tcPr>
          <w:p>
            <w:pPr>
              <w:ind w:left="140"/>
              <w:spacing w:after="0" w:line="166" w:lineRule="exact"/>
              <w:rPr>
                <w:sz w:val="20"/>
                <w:szCs w:val="20"/>
                <w:color w:val="auto"/>
              </w:rPr>
            </w:pPr>
            <w:r>
              <w:rPr>
                <w:rFonts w:ascii="Arial" w:cs="Arial" w:eastAsia="Arial" w:hAnsi="Arial"/>
                <w:sz w:val="16"/>
                <w:szCs w:val="16"/>
                <w:color w:val="auto"/>
                <w:w w:val="95"/>
              </w:rPr>
              <w:t>Income (loss) from continuing operations per common share,</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14"/>
                <w:szCs w:val="14"/>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4"/>
                <w:szCs w:val="14"/>
                <w:color w:val="auto"/>
              </w:rPr>
            </w:pPr>
          </w:p>
        </w:tc>
        <w:tc>
          <w:tcPr>
            <w:tcW w:w="300" w:type="dxa"/>
            <w:vAlign w:val="bottom"/>
            <w:vMerge w:val="restart"/>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9"/>
        </w:trPr>
        <w:tc>
          <w:tcPr>
            <w:tcW w:w="4260" w:type="dxa"/>
            <w:vAlign w:val="bottom"/>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Income (loss) from continuing operations per common share,</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6"/>
                <w:szCs w:val="16"/>
                <w:color w:val="auto"/>
              </w:rPr>
              <w:t>Cash dividends declared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215,218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302,980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296,203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475,986</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282,328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140,241</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624,962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1,541,984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1,500,902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1,473,709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1,358,274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obligations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792,499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788,953</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Convertible preferred stock</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105,086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93,012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During 2020, we experienced a decline in sales volume as a result of lower demand during the COVID-19 pandemic. We executed strategic initiatives to improve liquidity, including selling our Life Sciences business and using the proceeds to pay down debt. We recognized goodwill impairment charges of $92.9 million in our Power Solutions business.</w:t>
      </w:r>
    </w:p>
    <w:p>
      <w:pPr>
        <w:spacing w:after="0" w:line="184"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During 2019, we adopted new lease accounting guidance that requires operating leases to be included on the balance sheet. As a result of this new guidance, $45.5 million of operating lease right-of-use assets are included in total assets as of December 31, 2019. Additionally, we issued convertible preferred stock in December 2019 and used the net cash proceeds of $95.7 million to pay down debt and to pay debt amendment costs.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During 2018, we recognized goodwill impairment charges of $182.5 million and issued shares of common stock in a public offering.</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2017, we completed the sale of our global precision bearing components business (the “PBC Business”) and recorded an after-tax gain on sale of $127.7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2016, was the first full year following the acquisition of our former Precision Engineered Products Group.</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the Selected Financial Data included elsewhere in this Annual Report.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 and management focus are based upon the following long-term objectives</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Organic growth within our segments;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Improved operating margins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reduction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capital deployment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overall debt and debt leverage ratio improvement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management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safety and satisfaction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generally focuses on these trends and relevant market indicators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Residential and non-residential construction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Defense spending;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Raw materials;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Regulatory compliance; and</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Energy;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Trends related to the geographic migration of competitive manufacturing, electric vehicles, and electrification;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 and manufacturing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levels and expectations;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tariff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generally focuses on the following key indicators of operating performance</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sales;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from operations and adjusted income from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and adjusted net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ratio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External and internal quality indicators;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development.</w:t>
      </w:r>
    </w:p>
    <w:p>
      <w:pPr>
        <w:sectPr>
          <w:pgSz w:w="11900" w:h="16838" w:orient="portrait"/>
          <w:cols w:equalWidth="0" w:num="1">
            <w:col w:w="10139"/>
          </w:cols>
          <w:pgMar w:left="320" w:top="233"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critical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Goodwill is tested for impairment on an annual basis in the fourth quarter and between annual tests if a triggering event occurs. The impairment analysis is performed at the reporting unit level. An impairment charge is calculated based on a reporting unit’s carrying amount in excess of its fair value (i.e., step 1 of the two-step impairment test). If the carrying value of the reporting unit including goodwill is less than fair value of the reporting unit, the goodwill is not considered impaired. Reporting units for the purpose of goodwill impairment testing are the same as our operating segments (Mobile Solutions and Power Solutions). Based on the results of the quantitative measurement performed, which indicated a fair value less than the carrying amount for Power Solutions, we concluded there was a $92.9 million impairment of goodwill for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eliminate disproportionate tax effects from accumulated other comprehensive income (loss) when the circumstances upon which they are premised cease to exist.</w:t>
      </w:r>
    </w:p>
    <w:p>
      <w:pPr>
        <w:spacing w:after="0" w:line="7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our positions are based on future estimates of taxable income and deductibility of tax positions. We have recorded a U.S. deferred tax liability for foreign earnings which are not indefinitely reinvested. We treat global intangible low-taxed income (“GILTI”) as a periodic charge in the year in which it arises and therefore do not record deferred taxes for basis differences associated with GILTI.</w:t>
      </w:r>
    </w:p>
    <w:p>
      <w:pPr>
        <w:spacing w:after="0" w:line="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 (See Note 1 and Note 11 of the Notes to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year ended December 31, 2020, that management believes are important to provide an understanding of the business and results of operations or that may influence operations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COVID-19 Pandemic</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COVID-19 pandemic continues to disrupt the United States and global economy, and we cannot predict when a full economic recovery will occur. Consistent with actions taken by governmental authorities and in response to reduced customer demand, in late March 2020, we idled manufacturing operations in certain regions around the world, other than China, where manufacturing operations began to resume in March 2020. During the year, we experienced supplier and customer disruption, which adversely affected our results of operations and cash flows in 2020. In Europe and North America, sales began declining in the second half of March as the pandemic led to customer plant closures. The situation grew more challenging in the second and third quarters of fiscal 2020, as customer closures affected much of our operations. Although much of the United States and the global economies have reopened, many public health experts warn there may be additional COVID-19 surges in 2021. Further surges in the COVID-19 infection rates could result in the reinstatement of directives and mandates requiring businesses to again curtail or cease normal operations, just as some jurisdictions rolled back reopening plans in the summer of 2020 during one of the initial COVID-19 surges. Thus, the spread of COVID-19 and the responses thereto have created a disruption in the manufacturing, delivery, and overall supply chain of automobile manufacturers and suppliers, as well as disruption within the power industry. Global vehicle production decreased significantly, and some vehicle manufacturers completely shut down manufacturing operations in some countries and regions, including the United States and Europe. The rapid development and fluidity of the situation precludes any prediction as to the ultimate impact COVID-19 will have on our business, financial condition, results of operations, and cash flows, which will depend largely on future developments directly or indirectly relating to the duration and scope of the COVID-19 outbreak.</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undertaken a number of permanent and temporary actions to manage the evolving situation, including the continuation of previously announced cost savings initiatives.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Initiatives announced in 2019:</w:t>
      </w:r>
    </w:p>
    <w:p>
      <w:pPr>
        <w:spacing w:after="0" w:line="117"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212529"/>
        </w:rPr>
      </w:pPr>
      <w:r>
        <w:rPr>
          <w:rFonts w:ascii="Arial" w:cs="Arial" w:eastAsia="Arial" w:hAnsi="Arial"/>
          <w:sz w:val="18"/>
          <w:szCs w:val="18"/>
          <w:color w:val="212529"/>
        </w:rPr>
        <w:t>Streamlining facilities and reducing overall selling, general and administrative costs;</w:t>
      </w:r>
    </w:p>
    <w:p>
      <w:pPr>
        <w:spacing w:after="0" w:line="117" w:lineRule="exact"/>
        <w:rPr>
          <w:rFonts w:ascii="Arial" w:cs="Arial" w:eastAsia="Arial" w:hAnsi="Arial"/>
          <w:sz w:val="18"/>
          <w:szCs w:val="18"/>
          <w:color w:val="212529"/>
        </w:rPr>
      </w:pPr>
    </w:p>
    <w:p>
      <w:pPr>
        <w:ind w:left="1300" w:hanging="320"/>
        <w:spacing w:after="0"/>
        <w:tabs>
          <w:tab w:leader="none" w:pos="1300" w:val="left"/>
        </w:tabs>
        <w:numPr>
          <w:ilvl w:val="0"/>
          <w:numId w:val="14"/>
        </w:numPr>
        <w:rPr>
          <w:rFonts w:ascii="Arial" w:cs="Arial" w:eastAsia="Arial" w:hAnsi="Arial"/>
          <w:sz w:val="18"/>
          <w:szCs w:val="18"/>
          <w:color w:val="212529"/>
        </w:rPr>
      </w:pPr>
      <w:r>
        <w:rPr>
          <w:rFonts w:ascii="Arial" w:cs="Arial" w:eastAsia="Arial" w:hAnsi="Arial"/>
          <w:sz w:val="18"/>
          <w:szCs w:val="18"/>
          <w:color w:val="212529"/>
        </w:rPr>
        <w:t>Eliminated the quarterly dividend;</w:t>
      </w:r>
    </w:p>
    <w:p>
      <w:pPr>
        <w:spacing w:after="0" w:line="117" w:lineRule="exact"/>
        <w:rPr>
          <w:rFonts w:ascii="Arial" w:cs="Arial" w:eastAsia="Arial" w:hAnsi="Arial"/>
          <w:sz w:val="18"/>
          <w:szCs w:val="18"/>
          <w:color w:val="212529"/>
        </w:rPr>
      </w:pPr>
    </w:p>
    <w:p>
      <w:pPr>
        <w:ind w:left="1300" w:hanging="320"/>
        <w:spacing w:after="0"/>
        <w:tabs>
          <w:tab w:leader="none" w:pos="1300" w:val="left"/>
        </w:tabs>
        <w:numPr>
          <w:ilvl w:val="0"/>
          <w:numId w:val="14"/>
        </w:numPr>
        <w:rPr>
          <w:rFonts w:ascii="Arial" w:cs="Arial" w:eastAsia="Arial" w:hAnsi="Arial"/>
          <w:sz w:val="18"/>
          <w:szCs w:val="18"/>
          <w:color w:val="212529"/>
        </w:rPr>
      </w:pPr>
      <w:r>
        <w:rPr>
          <w:rFonts w:ascii="Arial" w:cs="Arial" w:eastAsia="Arial" w:hAnsi="Arial"/>
          <w:sz w:val="18"/>
          <w:szCs w:val="18"/>
          <w:color w:val="212529"/>
        </w:rPr>
        <w:t>Reduced capital expenditures;</w:t>
      </w:r>
    </w:p>
    <w:p>
      <w:pPr>
        <w:spacing w:after="0" w:line="117" w:lineRule="exact"/>
        <w:rPr>
          <w:rFonts w:ascii="Arial" w:cs="Arial" w:eastAsia="Arial" w:hAnsi="Arial"/>
          <w:sz w:val="18"/>
          <w:szCs w:val="18"/>
          <w:color w:val="212529"/>
        </w:rPr>
      </w:pPr>
    </w:p>
    <w:p>
      <w:pPr>
        <w:ind w:left="1300" w:hanging="320"/>
        <w:spacing w:after="0"/>
        <w:tabs>
          <w:tab w:leader="none" w:pos="1300" w:val="left"/>
        </w:tabs>
        <w:numPr>
          <w:ilvl w:val="0"/>
          <w:numId w:val="14"/>
        </w:numPr>
        <w:rPr>
          <w:rFonts w:ascii="Arial" w:cs="Arial" w:eastAsia="Arial" w:hAnsi="Arial"/>
          <w:sz w:val="18"/>
          <w:szCs w:val="18"/>
          <w:color w:val="212529"/>
        </w:rPr>
      </w:pPr>
      <w:r>
        <w:rPr>
          <w:rFonts w:ascii="Arial" w:cs="Arial" w:eastAsia="Arial" w:hAnsi="Arial"/>
          <w:sz w:val="18"/>
          <w:szCs w:val="18"/>
          <w:color w:val="212529"/>
        </w:rPr>
        <w:t>Issued $100 million of Preferred Stock and used net proceeds for debt repayment; and</w:t>
      </w:r>
    </w:p>
    <w:p>
      <w:pPr>
        <w:spacing w:after="0" w:line="117" w:lineRule="exact"/>
        <w:rPr>
          <w:rFonts w:ascii="Arial" w:cs="Arial" w:eastAsia="Arial" w:hAnsi="Arial"/>
          <w:sz w:val="18"/>
          <w:szCs w:val="18"/>
          <w:color w:val="212529"/>
        </w:rPr>
      </w:pPr>
    </w:p>
    <w:p>
      <w:pPr>
        <w:ind w:left="1300" w:hanging="320"/>
        <w:spacing w:after="0"/>
        <w:tabs>
          <w:tab w:leader="none" w:pos="1300" w:val="left"/>
        </w:tabs>
        <w:numPr>
          <w:ilvl w:val="0"/>
          <w:numId w:val="14"/>
        </w:numPr>
        <w:rPr>
          <w:rFonts w:ascii="Arial" w:cs="Arial" w:eastAsia="Arial" w:hAnsi="Arial"/>
          <w:sz w:val="18"/>
          <w:szCs w:val="18"/>
          <w:color w:val="212529"/>
        </w:rPr>
      </w:pPr>
      <w:r>
        <w:rPr>
          <w:rFonts w:ascii="Arial" w:cs="Arial" w:eastAsia="Arial" w:hAnsi="Arial"/>
          <w:sz w:val="18"/>
          <w:szCs w:val="18"/>
          <w:color w:val="212529"/>
        </w:rPr>
        <w:t>Refinanced senior credit facilities to extend maturities and provide additional liquidity.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Additional actions taken in 2020 in response to the economic effects of the pandemic:</w:t>
      </w:r>
    </w:p>
    <w:p>
      <w:pPr>
        <w:spacing w:after="0" w:line="117" w:lineRule="exact"/>
        <w:rPr>
          <w:sz w:val="20"/>
          <w:szCs w:val="20"/>
          <w:color w:val="auto"/>
        </w:rPr>
      </w:pPr>
    </w:p>
    <w:p>
      <w:pPr>
        <w:ind w:left="1300" w:right="260" w:hanging="320"/>
        <w:spacing w:after="0" w:line="277" w:lineRule="auto"/>
        <w:tabs>
          <w:tab w:leader="none" w:pos="1295" w:val="left"/>
        </w:tabs>
        <w:numPr>
          <w:ilvl w:val="0"/>
          <w:numId w:val="15"/>
        </w:numPr>
        <w:rPr>
          <w:rFonts w:ascii="Arial" w:cs="Arial" w:eastAsia="Arial" w:hAnsi="Arial"/>
          <w:sz w:val="18"/>
          <w:szCs w:val="18"/>
          <w:color w:val="212529"/>
        </w:rPr>
      </w:pPr>
      <w:r>
        <w:rPr>
          <w:rFonts w:ascii="Arial" w:cs="Arial" w:eastAsia="Arial" w:hAnsi="Arial"/>
          <w:sz w:val="18"/>
          <w:szCs w:val="18"/>
          <w:color w:val="212529"/>
        </w:rPr>
        <w:t xml:space="preserve">In March 2020, we drew down $60 million </w:t>
      </w:r>
      <w:r>
        <w:rPr>
          <w:rFonts w:ascii="Arial" w:cs="Arial" w:eastAsia="Arial" w:hAnsi="Arial"/>
          <w:sz w:val="18"/>
          <w:szCs w:val="18"/>
          <w:color w:val="000000"/>
        </w:rPr>
        <w:t>in cash under our Senior Secured Revolver to strengthen our near-term cash position. This</w:t>
      </w:r>
      <w:r>
        <w:rPr>
          <w:rFonts w:ascii="Arial" w:cs="Arial" w:eastAsia="Arial" w:hAnsi="Arial"/>
          <w:sz w:val="18"/>
          <w:szCs w:val="18"/>
          <w:color w:val="212529"/>
        </w:rPr>
        <w:t xml:space="preserve"> </w:t>
      </w:r>
      <w:r>
        <w:rPr>
          <w:rFonts w:ascii="Arial" w:cs="Arial" w:eastAsia="Arial" w:hAnsi="Arial"/>
          <w:sz w:val="18"/>
          <w:szCs w:val="18"/>
          <w:color w:val="000000"/>
        </w:rPr>
        <w:t>debt was repaid immediately following the sale of the Life Sciences business in October 2020.</w:t>
      </w:r>
    </w:p>
    <w:p>
      <w:pPr>
        <w:spacing w:after="0" w:line="62" w:lineRule="exact"/>
        <w:rPr>
          <w:rFonts w:ascii="Arial" w:cs="Arial" w:eastAsia="Arial" w:hAnsi="Arial"/>
          <w:sz w:val="18"/>
          <w:szCs w:val="18"/>
          <w:color w:val="212529"/>
        </w:rPr>
      </w:pPr>
    </w:p>
    <w:p>
      <w:pPr>
        <w:ind w:left="1300" w:right="40" w:hanging="320"/>
        <w:spacing w:after="0" w:line="308"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Beginning in April 2020, executives reduced their base salaries by 20% to 25%, non-executive employee salaries were reduced by 5% to 15%. In October 2020, these salary reductions were repaid, and salaries were reinstated to their original levels.</w:t>
      </w:r>
    </w:p>
    <w:p>
      <w:pPr>
        <w:spacing w:after="0" w:line="38" w:lineRule="exact"/>
        <w:rPr>
          <w:rFonts w:ascii="Arial" w:cs="Arial" w:eastAsia="Arial" w:hAnsi="Arial"/>
          <w:sz w:val="17"/>
          <w:szCs w:val="17"/>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401(k) employer match was suspended through December 2020.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Non-employee board members deferred their cash compensation to later in the year.</w:t>
      </w:r>
    </w:p>
    <w:p>
      <w:pPr>
        <w:spacing w:after="0" w:line="11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merit increases were not made in 2020, bonus payouts were deferred to later in the year, and the gainsharing plan for 2020 was suspended through December 2020.</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was significantly reduced beginning in the first quarter of 2020.</w:t>
      </w:r>
    </w:p>
    <w:p>
      <w:pPr>
        <w:spacing w:after="0" w:line="117" w:lineRule="exact"/>
        <w:rPr>
          <w:rFonts w:ascii="Arial" w:cs="Arial" w:eastAsia="Arial" w:hAnsi="Arial"/>
          <w:sz w:val="18"/>
          <w:szCs w:val="18"/>
          <w:color w:val="auto"/>
        </w:rPr>
      </w:pPr>
    </w:p>
    <w:p>
      <w:pPr>
        <w:ind w:left="1300" w:right="80" w:hanging="320"/>
        <w:spacing w:after="0" w:line="342" w:lineRule="auto"/>
        <w:tabs>
          <w:tab w:leader="none" w:pos="12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response to government orders and reduced demand, we adjusted production and work week hours, reduced or suspended non-critical discretionary spending, and furloughed personnel, many of whom are eligible to participate in government supported programs.</w:t>
      </w:r>
    </w:p>
    <w:p>
      <w:pPr>
        <w:spacing w:after="0" w:line="15"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levels and collection of receivables are being closely monitored.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entered into rent deferral arrangements with landlords of several of our leased facilities.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26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allowed by the CARES Act, we deferred payments of the employer share of U. S. payroll taxes and will begin making payments in 2021 through 2022.</w:t>
      </w:r>
    </w:p>
    <w:p>
      <w:pPr>
        <w:spacing w:after="0" w:line="62" w:lineRule="exact"/>
        <w:rPr>
          <w:rFonts w:ascii="Arial" w:cs="Arial" w:eastAsia="Arial" w:hAnsi="Arial"/>
          <w:sz w:val="18"/>
          <w:szCs w:val="18"/>
          <w:color w:val="auto"/>
        </w:rPr>
      </w:pPr>
    </w:p>
    <w:p>
      <w:pPr>
        <w:ind w:left="1300" w:hanging="320"/>
        <w:spacing w:after="0" w:line="263"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July 2020, we amended our credit agreement with Truist Bank; JPMorgan Chase Bank, N.A.; KeyBank National Association; and Hometrust Bank (as amended, the “Credit Agreement”) to waive compliance with the financial leverage ratio covenant for the second and third quarters of 2020.</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Further actions taken or expected in 2021:</w:t>
      </w:r>
    </w:p>
    <w:p>
      <w:pPr>
        <w:spacing w:after="0" w:line="11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to restructure our debt by refinancing our term loans and revolver.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to terminate our existing interest rate swap.</w:t>
      </w:r>
    </w:p>
    <w:p>
      <w:pPr>
        <w:spacing w:after="0" w:line="117" w:lineRule="exact"/>
        <w:rPr>
          <w:rFonts w:ascii="Arial" w:cs="Arial" w:eastAsia="Arial" w:hAnsi="Arial"/>
          <w:sz w:val="18"/>
          <w:szCs w:val="18"/>
          <w:color w:val="auto"/>
        </w:rPr>
      </w:pPr>
    </w:p>
    <w:p>
      <w:pPr>
        <w:ind w:left="1300" w:right="18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taking advantage of other provisions of the CARES Act that could result in reduced income tax obligation and a positive impact on cash.</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 to focus on further general cost reduction actions.</w:t>
      </w:r>
    </w:p>
    <w:p>
      <w:pPr>
        <w:spacing w:after="0" w:line="117"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While managing decreased demand in many regions across the globe, we are now operating at all of our business locations. We are coordinating with our customers and suppliers to make the necessary preparations. We are focused on the safety of our employees, customers and suppliers when re-starting. We have developed and implemented processes to ensure a safe environment for our employees and any visitors to our facilities, including providing personal protective equipment to our employees, establishing social distancing protocols and temperature checks. These processes include recommendations based on guidelines from the Centers for Disease Control and Prevention and the World Health Organization as well as from our experience with ramp-ups at our plants in China, the United States, Mexico, Poland, France, and Brazil. The health and safety of our employees remains our top priority.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2020, we entered into a Stock Purchase Agreement (the “SPA”) with affiliates of American Securities LLC for the sale of our Life Sciences business for an aggregate purchase price of up to $825 million, which includes a $755 million cash base purchase price and a potential earnout payment of up to $70 million. The cash base purchase price was subject to certain adjustments and was payable at the closing of the transaction, which occurred on October 6, 2020. The earnout payment is subject to the performance of the Life Sciences business during the year ending December 31, 2022, measured by Adjusted EBITDA targets, as defined by the SPA. The Life Sciences business includes facilities that are engaged in the production of a variety of components, assemblies, and instruments, such as surgical knives, bioresorbable implants, surgical staples, cases and trays, orthopaedic implants and tools, laparoscopic devices, and drug delivery devices for the orthopaedics and medical/surgical end markets. The sale of the Life Sciences business furthers management’s strategy to improve liquidity and creates the financial flexibility to pursue key growth areas in the Mobile Solutions and Power Solutions segments.</w:t>
      </w:r>
    </w:p>
    <w:p>
      <w:pPr>
        <w:spacing w:after="0" w:line="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working capital and other closing adjustments, the final cash purchase price was approximately $753.3 million. We received cash proceeds at closing of $757.2 million and recorded a $3.9 million payable at December 31, 2020, for the balance. We prepaid $700.0 million in the aggregate on the Senior Secured Term Loan and the Incremental Term Loan immediately following the sale. We also paid in full the outstanding balance on the Senior Secured Revolver. We recognized a gain on sale of $214.9 million, net of income taxes. Under the terms of a transition services agreement, we are providing certain support services for up to 180 days from the closing date of the sale.</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accordance with ASC 205-20,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the Life Sciences business are classified as discontinued operations. The presentation of discontinued operations includes revenues and expenses of the discontinued operations and will also include any gain on the disposition of the business, all net of tax, as one line item on the Consolidated Statements of Operations and Comprehensive Income (Loss). The Consolidated Statements of Operations and Comprehensive Income (Loss) for all periods presented have been revised to reflect this presentation. Accordingly, the results of the Life Sciences business have been excluded from continuing operations and segment results for all periods presented in the consolidated financial statements and the accompanying notes unless otherwise stated. The Consolidated Statements of Cash Flows include cash flows of the Life Sciences business in each line item unless otherwise stated.</w:t>
      </w:r>
    </w:p>
    <w:p>
      <w:pPr>
        <w:spacing w:after="0" w:line="69"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Our credit facility required us to use proceeds from the sale of the Life Sciences business to prepay a portion of our existing debt. We paid $700 million in the aggregate on our term loans as described in Note 12. The prepayment was applied to debt in accordance with the prepayment provisions of the Credit Agreement immediately after the transaction closed on October 6, 2020. Average quarterly interest rates were multiplied by the required prepayment amounts to calculate interest expense to be reclassified to discontinued operations for all periods presented. Write-offs of credit facility debt issuance costs were allocated to discontinued operations by multiplying the ratio of the required prepayment amounts as a percentage of total outstanding principal by the total write-off charges in each period. See Note 2 in the Notes to Consolidated Financial Statements for more information on discontinued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each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Consolidated Statements of Operations and Comprehensive Income (Loss). See Note 8 in the Notes to Consolidated Financial Statements for more information on the impairment charge. As of December 31, 2020, there is no remaining goodwill balance.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Data as a Percentage of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percentage of our net sales represented by statement of operations line item.</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w w:val="94"/>
              </w:rPr>
              <w:t>Cost of sales (exclusive of depreciation and amortization shown separately below)</w:t>
            </w:r>
          </w:p>
        </w:tc>
        <w:tc>
          <w:tcPr>
            <w:tcW w:w="1520" w:type="dxa"/>
            <w:vAlign w:val="bottom"/>
          </w:tcPr>
          <w:p>
            <w:pPr>
              <w:jc w:val="right"/>
              <w:spacing w:after="0"/>
              <w:rPr>
                <w:sz w:val="20"/>
                <w:szCs w:val="20"/>
                <w:color w:val="auto"/>
              </w:rPr>
            </w:pPr>
            <w:r>
              <w:rPr>
                <w:rFonts w:ascii="Arial" w:cs="Arial" w:eastAsia="Arial" w:hAnsi="Arial"/>
                <w:sz w:val="18"/>
                <w:szCs w:val="18"/>
                <w:color w:val="auto"/>
              </w:rPr>
              <w:t>80.4 %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80.2 %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78.9 %</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10.7 %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integration expense, net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Goodwill impairment</w:t>
            </w:r>
          </w:p>
        </w:tc>
        <w:tc>
          <w:tcPr>
            <w:tcW w:w="1520" w:type="dxa"/>
            <w:vAlign w:val="bottom"/>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 net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payments on interest rate swap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Loss on interest rate swap</w:t>
            </w: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155"/>
        </w:trPr>
        <w:tc>
          <w:tcPr>
            <w:tcW w:w="6420" w:type="dxa"/>
            <w:vAlign w:val="bottom"/>
          </w:tcPr>
          <w:p>
            <w:pPr>
              <w:ind w:left="20"/>
              <w:spacing w:after="0" w:line="156" w:lineRule="exact"/>
              <w:rPr>
                <w:sz w:val="20"/>
                <w:szCs w:val="20"/>
                <w:color w:val="auto"/>
              </w:rPr>
            </w:pPr>
            <w:r>
              <w:rPr>
                <w:rFonts w:ascii="Arial" w:cs="Arial" w:eastAsia="Arial" w:hAnsi="Arial"/>
                <w:sz w:val="18"/>
                <w:szCs w:val="18"/>
                <w:color w:val="auto"/>
                <w:w w:val="93"/>
              </w:rPr>
              <w:t>Loss from continuing operations before benefit (provision) for income taxes and share</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of net income (loss) from joint venture</w:t>
            </w:r>
          </w:p>
        </w:tc>
        <w:tc>
          <w:tcPr>
            <w:tcW w:w="15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(provision) for income taxes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rPr>
              <w:t>Share of net income (loss) from joint venture</w:t>
            </w:r>
          </w:p>
        </w:tc>
        <w:tc>
          <w:tcPr>
            <w:tcW w:w="1520" w:type="dxa"/>
            <w:vAlign w:val="bottom"/>
          </w:tcPr>
          <w:p>
            <w:pPr>
              <w:jc w:val="right"/>
              <w:spacing w:after="0"/>
              <w:rPr>
                <w:sz w:val="20"/>
                <w:szCs w:val="20"/>
                <w:color w:val="auto"/>
              </w:rPr>
            </w:pPr>
            <w:r>
              <w:rPr>
                <w:rFonts w:ascii="Arial" w:cs="Arial" w:eastAsia="Arial" w:hAnsi="Arial"/>
                <w:sz w:val="18"/>
                <w:szCs w:val="18"/>
                <w:color w:val="auto"/>
              </w:rPr>
              <w:t>0.8 %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1520" w:type="dxa"/>
            <w:vAlign w:val="bottom"/>
          </w:tcPr>
          <w:p>
            <w:pPr>
              <w:jc w:val="right"/>
              <w:spacing w:after="0"/>
              <w:rPr>
                <w:sz w:val="20"/>
                <w:szCs w:val="20"/>
                <w:color w:val="auto"/>
              </w:rPr>
            </w:pPr>
            <w:r>
              <w:rPr>
                <w:rFonts w:ascii="Arial" w:cs="Arial" w:eastAsia="Arial" w:hAnsi="Arial"/>
                <w:sz w:val="18"/>
                <w:szCs w:val="18"/>
                <w:color w:val="auto"/>
              </w:rPr>
              <w:t>9.1 %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2020, sales to various U.S. and foreign divisions of our ten largest customers accounted for approximately 45% of our consolidated net sales. The loss of all or a substantial portion of sales to these customers would cause us to lose a substantial portion of our revenue and have a corresponding negative impact on our income from operations and operating cash flows or cause us to incur additional restructuring and/or impairment costs. We recognized sales from a single customer of $49.7 million, or 10% of consolidated net sales, during the year ended December 31, 2019, and $65.3 million, or 12% of consolidated net sales, during the year ended December 31, 2018. Revenues from this customer are in our Mobile Solutions segment and were less than 10% of consolidated net sales during the year ended December 31, 2020.</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the Year Ended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60"/>
              <w:spacing w:after="0"/>
              <w:rPr>
                <w:sz w:val="20"/>
                <w:szCs w:val="20"/>
                <w:color w:val="auto"/>
              </w:rPr>
            </w:pPr>
            <w:r>
              <w:rPr>
                <w:rFonts w:ascii="Arial" w:cs="Arial" w:eastAsia="Arial" w:hAnsi="Arial"/>
                <w:sz w:val="18"/>
                <w:szCs w:val="18"/>
                <w:i w:val="1"/>
                <w:iCs w:val="1"/>
                <w:color w:val="auto"/>
              </w:rPr>
              <w:t>Organic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(55,735)</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(6,245)</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line="176" w:lineRule="exact"/>
              <w:rPr>
                <w:sz w:val="20"/>
                <w:szCs w:val="20"/>
                <w:color w:val="auto"/>
              </w:rPr>
            </w:pPr>
            <w:r>
              <w:rPr>
                <w:rFonts w:ascii="Arial" w:cs="Arial" w:eastAsia="Arial" w:hAnsi="Arial"/>
                <w:sz w:val="18"/>
                <w:szCs w:val="18"/>
                <w:color w:val="auto"/>
                <w:w w:val="97"/>
              </w:rPr>
              <w:t>Cost of sales (exclusive of depreciation and amortization shown separately</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343,594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392,482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(48,888)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and integration expense, net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92,942</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(99,864)</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Derivative payments on interest rate swap</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40"/>
              <w:spacing w:after="0"/>
              <w:rPr>
                <w:sz w:val="20"/>
                <w:szCs w:val="20"/>
                <w:color w:val="auto"/>
              </w:rPr>
            </w:pPr>
            <w:r>
              <w:rPr>
                <w:rFonts w:ascii="Arial" w:cs="Arial" w:eastAsia="Arial" w:hAnsi="Arial"/>
                <w:sz w:val="18"/>
                <w:szCs w:val="18"/>
                <w:color w:val="auto"/>
              </w:rPr>
              <w:t>Loss on interest rate swap</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11,669</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40" w:type="dxa"/>
            <w:vAlign w:val="bottom"/>
          </w:tcPr>
          <w:p>
            <w:pPr>
              <w:ind w:left="20"/>
              <w:spacing w:after="0" w:line="156" w:lineRule="exact"/>
              <w:rPr>
                <w:sz w:val="20"/>
                <w:szCs w:val="20"/>
                <w:color w:val="auto"/>
              </w:rPr>
            </w:pPr>
            <w:r>
              <w:rPr>
                <w:rFonts w:ascii="Arial" w:cs="Arial" w:eastAsia="Arial" w:hAnsi="Arial"/>
                <w:sz w:val="18"/>
                <w:szCs w:val="18"/>
                <w:color w:val="auto"/>
                <w:w w:val="95"/>
              </w:rPr>
              <w:t>Loss from continuing operations before benefit (provision) for income taxes and</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(152,088)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(119,963)</w:t>
            </w: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(108,741)</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54,890</w:t>
            </w:r>
          </w:p>
        </w:tc>
        <w:tc>
          <w:tcPr>
            <w:tcW w:w="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(53,851)</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decreased by $62.0 million, or 13%, during the twelve months ended December 31, 2020, compared to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primarily due to a decrease in organic volume of $55.7 million as a result of decreased demand due to the COVID-19 pandemic.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Unfavorable foreign exchange effects of $6.2 million also contributed to the decrease.</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by $48.9 million, or 12%, during the twelve months ended December 31, 2020, compared to the twelve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primarily due to variable costs associated with the above-referenced sales volume decline and variable and fixed cost reduction initiatives that were implemented.</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$10.8 million during the twelve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compared to the twelve months ended December 31, 2019, primarily due to cost reduction initiatives that drove decreases in personnel and travel costs.</w:t>
      </w:r>
    </w:p>
    <w:p>
      <w:pPr>
        <w:spacing w:after="0" w:line="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by $0.8 million during the twelve months ended December 31,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twelve months ended December 31, 2019, as the full year depreciation impact of prior year capital expenditures exceeded the reduction due to lower capital expenditures in 2020.</w:t>
      </w:r>
    </w:p>
    <w:p>
      <w:pPr>
        <w:spacing w:after="0" w:line="7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color w:val="auto"/>
        </w:rPr>
        <w:t>Goodwill Impairment</w:t>
      </w:r>
      <w:r>
        <w:rPr>
          <w:rFonts w:ascii="Arial" w:cs="Arial" w:eastAsia="Arial" w:hAnsi="Arial"/>
          <w:sz w:val="16"/>
          <w:szCs w:val="16"/>
          <w:color w:val="auto"/>
        </w:rPr>
        <w:t>. The increase in goodwill impairment during the year ended December 31, 2020, was the result of a $92.9 million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charge at Power Solutions. See Note 8 in the Notes to Consolidated Financial Statements for more information on the impairment charge.</w:t>
      </w:r>
    </w:p>
    <w:p>
      <w:pPr>
        <w:spacing w:after="0" w:line="1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i w:val="1"/>
          <w:iCs w:val="1"/>
          <w:color w:val="auto"/>
        </w:rPr>
        <w:t>Other Operating Expense, Net</w:t>
      </w:r>
      <w:r>
        <w:rPr>
          <w:rFonts w:ascii="Arial" w:cs="Arial" w:eastAsia="Arial" w:hAnsi="Arial"/>
          <w:sz w:val="17"/>
          <w:szCs w:val="17"/>
          <w:color w:val="auto"/>
        </w:rPr>
        <w:t>. Other operating expense, net, changed unfavorably by $3.9 million during the year ended December 31, 2020,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2019, primarily due to charges and costs associated with asset impairments and disposals and elimination of a portion of our lease obligation as a result of our decision to vacate a portion of our corporate headquarters building. These charges were partially offset by a $0.8 million gain on the sale of a building in Fairfield, Ohio, in the year ended December 31, 2020.</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by $5.9 million during the year ended December 31, 2020, compared to the year ended December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an increase in settlements on the interest rate swap and an increase in the interest rate margin over one-month LIBOR on the Senior Secured Term Loan and the Incremental Term Loan as a result of amendments executed in 2019. These increases were partially offset by a reduction in one-month LIBOR. Interest on our Senior Secured Revolver decreased due to a low outstanding principal balance throughout most of the first quarter of 2020 after using proceeds from the Preferred Stock offering to repay the balance in December 2019. We repaid the entire outstanding balance on the Senior Secured Revolver after the sale of the Life Sciences business.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4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8,906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748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18,898</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13,030</w:t>
            </w:r>
          </w:p>
        </w:tc>
      </w:tr>
      <w:tr>
        <w:trPr>
          <w:trHeight w:val="20"/>
        </w:trPr>
        <w:tc>
          <w:tcPr>
            <w:tcW w:w="7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Derivative Payments on Interest Rate Swap. </w:t>
      </w:r>
      <w:r>
        <w:rPr>
          <w:rFonts w:ascii="Arial" w:cs="Arial" w:eastAsia="Arial" w:hAnsi="Arial"/>
          <w:sz w:val="18"/>
          <w:szCs w:val="18"/>
          <w:color w:val="auto"/>
        </w:rPr>
        <w:t>Derivative payments on interest rate swap represent cash settlements of the interest rate swap after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was discontinued in October 2020. Prior to October 2020, interest rate swap settlements were recognized in interest expense. See Note 21 in the Notes to Consolidated Financial Statements for more discussion about the interest rate swap.</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Loss on Interest Rate Swap</w:t>
      </w:r>
      <w:r>
        <w:rPr>
          <w:rFonts w:ascii="Arial" w:cs="Arial" w:eastAsia="Arial" w:hAnsi="Arial"/>
          <w:sz w:val="17"/>
          <w:szCs w:val="17"/>
          <w:color w:val="auto"/>
        </w:rPr>
        <w:t>. Loss on interest rate swap represents mark-to-market adjustments on the interest rate swap after hedge accounting was</w:t>
      </w:r>
      <w:r>
        <w:rPr>
          <w:rFonts w:ascii="Arial" w:cs="Arial" w:eastAsia="Arial" w:hAnsi="Arial"/>
          <w:sz w:val="17"/>
          <w:szCs w:val="17"/>
          <w:i w:val="1"/>
          <w:iCs w:val="1"/>
          <w:color w:val="auto"/>
        </w:rPr>
        <w:t xml:space="preserve"> </w:t>
      </w:r>
      <w:r>
        <w:rPr>
          <w:rFonts w:ascii="Arial" w:cs="Arial" w:eastAsia="Arial" w:hAnsi="Arial"/>
          <w:sz w:val="17"/>
          <w:szCs w:val="17"/>
          <w:color w:val="auto"/>
        </w:rPr>
        <w:t>discontinued in October 2020 as well as amortization of the residual loss in accumulated other comprehensive income as monthly settlements occur. Prior to October 2020, mark-to-market adjustments on the interest rate swap were recognized in accumulated other comprehensive income.</w:t>
      </w:r>
    </w:p>
    <w:p>
      <w:pPr>
        <w:spacing w:after="0" w:line="5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net, changed favorably by $1.2 million during the twelve months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twelve months ended December 31, 2019, primarily due to more favorable foreign exchange effects associated with intercompany borrowings compared to the prior year.</w:t>
      </w:r>
    </w:p>
    <w:p>
      <w:pPr>
        <w:spacing w:after="0" w:line="76"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i w:val="1"/>
          <w:iCs w:val="1"/>
          <w:color w:val="auto"/>
        </w:rPr>
        <w:t>Benefit (Provision) for Income Taxes</w:t>
      </w:r>
      <w:r>
        <w:rPr>
          <w:rFonts w:ascii="Arial" w:cs="Arial" w:eastAsia="Arial" w:hAnsi="Arial"/>
          <w:sz w:val="16"/>
          <w:szCs w:val="16"/>
          <w:color w:val="auto"/>
        </w:rPr>
        <w:t>. Our effective tax rate was 5.9% for the year ended December 31, 2020, compared to (1.0)%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The difference in rates is primarily due to the impact of the impairment of nondeductible goodwill in 2020 and the CARES Act in 2020. Note 11 in the Notes to Consolidated Financial Statements describes the components of income taxes for each period presented.</w:t>
      </w:r>
    </w:p>
    <w:p>
      <w:pPr>
        <w:spacing w:after="0" w:line="4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Share of Net Income from Joint Venture. </w:t>
      </w:r>
      <w:r>
        <w:rPr>
          <w:rFonts w:ascii="Arial" w:cs="Arial" w:eastAsia="Arial" w:hAnsi="Arial"/>
          <w:sz w:val="17"/>
          <w:szCs w:val="17"/>
          <w:color w:val="auto"/>
        </w:rPr>
        <w:t>Our share of net income from the joint venture increased during the year ended December 31, 2020,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2019, primarily due to increased sales and improved profits from expanding variable margins as a result of successful process improvement initiatives and improved product mix, and fixed cost reduction actions. These favorable impacts were partially offset by the shutdown of manufacturing operations in China during the first quarter of 2020 due to the COVID-19 pandemic.</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Income (Loss) from Discontinued Operations, Net of Tax</w:t>
      </w:r>
      <w:r>
        <w:rPr>
          <w:rFonts w:ascii="Arial" w:cs="Arial" w:eastAsia="Arial" w:hAnsi="Arial"/>
          <w:sz w:val="18"/>
          <w:szCs w:val="18"/>
          <w:color w:val="auto"/>
        </w:rPr>
        <w:t>. The largest component of income (loss) from discontinued operations, net of tax, in 2020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$214.9 million gain on sale of our Life Sciences business. Note 2 in the Notes to Consolidated Financial Statements provides details of the results of discontinued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(41,389)</w:t>
            </w:r>
          </w:p>
        </w:tc>
        <w:tc>
          <w:tcPr>
            <w:tcW w:w="820" w:type="dxa"/>
            <w:vAlign w:val="bottom"/>
            <w:shd w:val="clear" w:color="auto" w:fill="CCEEFF"/>
          </w:tcPr>
          <w:p>
            <w:pPr>
              <w:spacing w:after="0"/>
              <w:rPr>
                <w:sz w:val="19"/>
                <w:szCs w:val="19"/>
                <w:color w:val="auto"/>
              </w:rPr>
            </w:pP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i w:val="1"/>
                <w:iCs w:val="1"/>
                <w:color w:val="auto"/>
              </w:rPr>
              <w:t>Organic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195"/>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(34,849)</w:t>
            </w: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(6,540)</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5,228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35"/>
              <w:spacing w:after="0"/>
              <w:rPr>
                <w:sz w:val="20"/>
                <w:szCs w:val="20"/>
                <w:color w:val="auto"/>
              </w:rPr>
            </w:pPr>
            <w:r>
              <w:rPr>
                <w:rFonts w:ascii="Arial" w:cs="Arial" w:eastAsia="Arial" w:hAnsi="Arial"/>
                <w:sz w:val="18"/>
                <w:szCs w:val="18"/>
                <w:color w:val="auto"/>
              </w:rPr>
              <w:t>(4,325)</w:t>
            </w:r>
          </w:p>
        </w:tc>
        <w:tc>
          <w:tcPr>
            <w:tcW w:w="820" w:type="dxa"/>
            <w:vAlign w:val="bottom"/>
          </w:tcPr>
          <w:p>
            <w:pPr>
              <w:spacing w:after="0"/>
              <w:rPr>
                <w:sz w:val="20"/>
                <w:szCs w:val="20"/>
                <w:color w:val="auto"/>
              </w:rPr>
            </w:pPr>
          </w:p>
        </w:tc>
      </w:tr>
    </w:tbl>
    <w:p>
      <w:pPr>
        <w:spacing w:after="0" w:line="20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sales decreased by $41.4 million during the year ended December 31, 2020, compared to the year ended December 31, 2019, primarily due to lower demand within the global automotive markets resulting from the COVID-19 pandemic, contractual price reductions, and unfavorable foreign exchange effects.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Income from operations decreased by $4.3 million compared to prior year due to lost variable margin on the above-referenced sales volume decline, partially offset by fixed cost reduction actions taken in response to the decline in sales volume. Additionally, the twelve months ended December 31, 2019, were impacted by a $1.4 million one-time favorable litigation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171,269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(20,831)</w:t>
            </w:r>
          </w:p>
        </w:tc>
        <w:tc>
          <w:tcPr>
            <w:tcW w:w="820" w:type="dxa"/>
            <w:vAlign w:val="bottom"/>
            <w:shd w:val="clear" w:color="auto" w:fill="CCEEFF"/>
          </w:tcPr>
          <w:p>
            <w:pPr>
              <w:spacing w:after="0"/>
              <w:rPr>
                <w:sz w:val="19"/>
                <w:szCs w:val="19"/>
                <w:color w:val="auto"/>
              </w:rPr>
            </w:pP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i w:val="1"/>
                <w:iCs w:val="1"/>
                <w:color w:val="auto"/>
              </w:rPr>
              <w:t>Organic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194"/>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(21,126)</w:t>
            </w: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295</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80"/>
              <w:spacing w:after="0"/>
              <w:rPr>
                <w:sz w:val="20"/>
                <w:szCs w:val="20"/>
                <w:color w:val="auto"/>
              </w:rPr>
            </w:pPr>
            <w:r>
              <w:rPr>
                <w:rFonts w:ascii="Arial" w:cs="Arial" w:eastAsia="Arial" w:hAnsi="Arial"/>
                <w:sz w:val="18"/>
                <w:szCs w:val="18"/>
                <w:color w:val="auto"/>
                <w:w w:val="92"/>
              </w:rPr>
              <w:t>(92,942)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34"/>
              <w:spacing w:after="0"/>
              <w:rPr>
                <w:sz w:val="20"/>
                <w:szCs w:val="20"/>
                <w:color w:val="auto"/>
              </w:rPr>
            </w:pPr>
            <w:r>
              <w:rPr>
                <w:rFonts w:ascii="Arial" w:cs="Arial" w:eastAsia="Arial" w:hAnsi="Arial"/>
                <w:sz w:val="18"/>
                <w:szCs w:val="18"/>
                <w:color w:val="auto"/>
              </w:rPr>
              <w:t>(92,942)</w:t>
            </w:r>
          </w:p>
        </w:tc>
        <w:tc>
          <w:tcPr>
            <w:tcW w:w="820" w:type="dxa"/>
            <w:vAlign w:val="bottom"/>
          </w:tcPr>
          <w:p>
            <w:pPr>
              <w:spacing w:after="0"/>
              <w:rPr>
                <w:sz w:val="19"/>
                <w:szCs w:val="19"/>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(85,983)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(99,864)</w:t>
            </w:r>
          </w:p>
        </w:tc>
        <w:tc>
          <w:tcPr>
            <w:tcW w:w="8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Net sales decreased by $20.8 million during the year ended December 31, 2020, compared to the year ended December 31, 2019, primarily due to lower demand in the electrical products, automotive, and oil and gas end markets resulting from the COVID-19 pandemic, partially offset by increased pass-through pricing on products utilizing precious metals.</w:t>
      </w:r>
    </w:p>
    <w:p>
      <w:pPr>
        <w:spacing w:after="0" w:line="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Income (loss) from operations decreased by $99.9 million compared to prior year primarily due to a goodwill impairment loss of $92.9 million recognized in the first quarter of 2020 and lost variable margin on the above-referenced sales volume decline. These unfavorable impacts were partially offset by fixed cost reduction actions taken in response to the decline in sales volume.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the Year Ended December 31, 2018</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40"/>
              <w:spacing w:after="0"/>
              <w:rPr>
                <w:sz w:val="20"/>
                <w:szCs w:val="20"/>
                <w:color w:val="auto"/>
              </w:rPr>
            </w:pPr>
            <w:r>
              <w:rPr>
                <w:rFonts w:ascii="Arial" w:cs="Arial" w:eastAsia="Arial" w:hAnsi="Arial"/>
                <w:sz w:val="18"/>
                <w:szCs w:val="18"/>
                <w:i w:val="1"/>
                <w:iCs w:val="1"/>
                <w:color w:val="auto"/>
              </w:rPr>
              <w:t>Acquisitions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3,959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i w:val="1"/>
                <w:iCs w:val="1"/>
                <w:color w:val="auto"/>
              </w:rPr>
              <w:t>Organic decline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(31,451)</w:t>
            </w:r>
          </w:p>
        </w:tc>
        <w:tc>
          <w:tcPr>
            <w:tcW w:w="0" w:type="dxa"/>
            <w:vAlign w:val="bottom"/>
          </w:tcPr>
          <w:p>
            <w:pPr>
              <w:spacing w:after="0"/>
              <w:rPr>
                <w:sz w:val="1"/>
                <w:szCs w:val="1"/>
                <w:color w:val="auto"/>
              </w:rPr>
            </w:pPr>
          </w:p>
        </w:tc>
      </w:tr>
      <w:tr>
        <w:trPr>
          <w:trHeight w:val="230"/>
        </w:trPr>
        <w:tc>
          <w:tcPr>
            <w:tcW w:w="6040" w:type="dxa"/>
            <w:vAlign w:val="bottom"/>
          </w:tcPr>
          <w:p>
            <w:pPr>
              <w:ind w:left="54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(7,188)</w:t>
            </w: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Cost of sales (exclusive of depreciation and amortization shown separately</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392,482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413,394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(20,912)</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below)</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(3,869)</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Restructuring and integration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(182,542)</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177,454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1,715</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Loss from continuing operations before benefit (provision) for income taxes and</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176,253</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(loss) from joint venture</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(1,853)</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net income (loss)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16,071</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190,471</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216,246</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$34.7 million, or 7%, in 2019 compared to 2018, primarily due to a decrease in demand in the automotive end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foreign exchange effects of $7.2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decreased by $20.9 million, or 5%, in 2019 compared to 2018, primarily due to the relative contribution margin impact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Mobile Solutions group. The decrease in cost of sales was partially offset by favorable foreign exchange effects of $5.2 million.</w:t>
      </w:r>
    </w:p>
    <w:p>
      <w:pPr>
        <w:spacing w:after="0" w:line="3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Selling, general and administrative expense decreased by $3.9 million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compared to the year ended December 31, 2018, primarily due to lower costs for professional services as a result of cost savings initiatives.</w:t>
      </w:r>
    </w:p>
    <w:p>
      <w:pPr>
        <w:spacing w:after="0" w:line="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increased by $1.9 million during the year ended December 31, 2019,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consistent with capital expenditure activity.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Goodwill impairment decreased by $182.5 million during the year ended December 31, 2019,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as a result of goodwill impairment charges at Mobile Solutions and Power Solutions.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Other Operating Expense, Net</w:t>
      </w:r>
      <w:r>
        <w:rPr>
          <w:rFonts w:ascii="Arial" w:cs="Arial" w:eastAsia="Arial" w:hAnsi="Arial"/>
          <w:sz w:val="18"/>
          <w:szCs w:val="18"/>
          <w:color w:val="auto"/>
        </w:rPr>
        <w:t>. Other operating expense, net, decreased by $6.0 million during the year ended December 31, 2019,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primarily due to a reduction in asset impairment charges.</w:t>
      </w:r>
    </w:p>
    <w:p>
      <w:pPr>
        <w:spacing w:after="0" w:line="6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 by $1.7 million during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average interest rates, increased borrowings under the Senior Secured Revolver during 2019, and unfavorable interest rate swap settlements.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6"/>
                <w:szCs w:val="16"/>
                <w:color w:val="auto"/>
              </w:rPr>
            </w:pPr>
          </w:p>
        </w:tc>
      </w:tr>
      <w:tr>
        <w:trPr>
          <w:trHeight w:val="187"/>
        </w:trPr>
        <w:tc>
          <w:tcPr>
            <w:tcW w:w="74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11,315</w:t>
            </w:r>
          </w:p>
        </w:tc>
      </w:tr>
      <w:tr>
        <w:trPr>
          <w:trHeight w:val="20"/>
        </w:trPr>
        <w:tc>
          <w:tcPr>
            <w:tcW w:w="7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during the year ended December 31, 2019, compared to the year ended December 31,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decrease in interest income from short-term investments in 2018 and currency effects on intercompany loans.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Benefit (Provision) for Income Taxes</w:t>
      </w:r>
      <w:r>
        <w:rPr>
          <w:rFonts w:ascii="Arial" w:cs="Arial" w:eastAsia="Arial" w:hAnsi="Arial"/>
          <w:sz w:val="16"/>
          <w:szCs w:val="16"/>
          <w:color w:val="auto"/>
        </w:rPr>
        <w:t>. Our effective tax rate from continuing operations was (1.0)% for the year ended December 31, 2019, compared to</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0.7% for the year ended December 31, 2018. Note 11 in the Notes to Consolidated Financial Statements describes the components of income taxes for each period presented.</w:t>
      </w:r>
    </w:p>
    <w:p>
      <w:pPr>
        <w:spacing w:after="0" w:line="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Share of Net Income (Loss) from Joint Venture. </w:t>
      </w:r>
      <w:r>
        <w:rPr>
          <w:rFonts w:ascii="Arial" w:cs="Arial" w:eastAsia="Arial" w:hAnsi="Arial"/>
          <w:sz w:val="18"/>
          <w:szCs w:val="18"/>
          <w:color w:val="auto"/>
        </w:rPr>
        <w:t>Our share of net income (loss) from the joint venture increased by $16.1 million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compared to the year ended December 31, 2018, primarily due to a partial impairment of the investment in the joint venture of $16.6 million during the year ended December 31, 2018.</w:t>
      </w:r>
    </w:p>
    <w:p>
      <w:pPr>
        <w:spacing w:after="0" w:line="7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Loss from Discontinued Operations, Net of Tax</w:t>
      </w:r>
      <w:r>
        <w:rPr>
          <w:rFonts w:ascii="Arial" w:cs="Arial" w:eastAsia="Arial" w:hAnsi="Arial"/>
          <w:sz w:val="17"/>
          <w:szCs w:val="17"/>
          <w:color w:val="auto"/>
        </w:rPr>
        <w:t>. Loss from discontinued operations, net of tax, represents the results of operations of our Life Sciences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Note 2 in the Notes to Consolidated Financial Statements provides details of the results of discontinued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5"/>
              </w:rPr>
              <w:t>Year Ended December 31,</w:t>
            </w:r>
          </w:p>
        </w:tc>
        <w:tc>
          <w:tcPr>
            <w:tcW w:w="1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335,037</w:t>
            </w: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right="394"/>
              <w:spacing w:after="0"/>
              <w:rPr>
                <w:sz w:val="20"/>
                <w:szCs w:val="20"/>
                <w:color w:val="auto"/>
              </w:rPr>
            </w:pPr>
            <w:r>
              <w:rPr>
                <w:rFonts w:ascii="Arial" w:cs="Arial" w:eastAsia="Arial" w:hAnsi="Arial"/>
                <w:sz w:val="18"/>
                <w:szCs w:val="18"/>
                <w:color w:val="auto"/>
                <w:w w:val="92"/>
              </w:rPr>
              <w:t>(37,288)</w:t>
            </w:r>
          </w:p>
        </w:tc>
        <w:tc>
          <w:tcPr>
            <w:tcW w:w="820" w:type="dxa"/>
            <w:vAlign w:val="bottom"/>
            <w:shd w:val="clear" w:color="auto" w:fill="CCEEFF"/>
          </w:tcPr>
          <w:p>
            <w:pPr>
              <w:spacing w:after="0"/>
              <w:rPr>
                <w:sz w:val="19"/>
                <w:szCs w:val="19"/>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(30,305)</w:t>
            </w: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(6,983)</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80"/>
              <w:spacing w:after="0"/>
              <w:rPr>
                <w:sz w:val="20"/>
                <w:szCs w:val="20"/>
                <w:color w:val="auto"/>
              </w:rPr>
            </w:pPr>
            <w:r>
              <w:rPr>
                <w:rFonts w:ascii="Arial" w:cs="Arial" w:eastAsia="Arial" w:hAnsi="Arial"/>
                <w:sz w:val="18"/>
                <w:szCs w:val="18"/>
                <w:color w:val="auto"/>
                <w:w w:val="92"/>
              </w:rPr>
              <w:t>(73,442)</w:t>
            </w:r>
          </w:p>
        </w:tc>
        <w:tc>
          <w:tcPr>
            <w:tcW w:w="6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center"/>
              <w:ind w:right="354"/>
              <w:spacing w:after="0"/>
              <w:rPr>
                <w:sz w:val="20"/>
                <w:szCs w:val="20"/>
                <w:color w:val="auto"/>
              </w:rPr>
            </w:pPr>
            <w:r>
              <w:rPr>
                <w:rFonts w:ascii="Arial" w:cs="Arial" w:eastAsia="Arial" w:hAnsi="Arial"/>
                <w:sz w:val="18"/>
                <w:szCs w:val="18"/>
                <w:color w:val="auto"/>
                <w:w w:val="90"/>
              </w:rPr>
              <w:t>73,442</w:t>
            </w:r>
          </w:p>
        </w:tc>
        <w:tc>
          <w:tcPr>
            <w:tcW w:w="82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(55,079)</w:t>
            </w: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right="354"/>
              <w:spacing w:after="0"/>
              <w:rPr>
                <w:sz w:val="20"/>
                <w:szCs w:val="20"/>
                <w:color w:val="auto"/>
              </w:rPr>
            </w:pPr>
            <w:r>
              <w:rPr>
                <w:rFonts w:ascii="Arial" w:cs="Arial" w:eastAsia="Arial" w:hAnsi="Arial"/>
                <w:sz w:val="18"/>
                <w:szCs w:val="18"/>
                <w:color w:val="auto"/>
                <w:w w:val="90"/>
              </w:rPr>
              <w:t>64,632</w:t>
            </w:r>
          </w:p>
        </w:tc>
        <w:tc>
          <w:tcPr>
            <w:tcW w:w="8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sales decreased by $37.3 million during the year ended December 31, 2019, compared to the year ended December 31, 2018, primarily due to lower demand within the North American and European automotive markets, unfavorable foreign exchange effects, reduced demand for components associated with programs nearing the end of the product lifecycle, and delays in new product launches, partially offset by higher demand within the South American automotive market.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Income (loss) from operations increased by $64.6 million compared to prior year primarily due to the $73.4 million goodwill impairment in the prior year. Absent the effect of the goodwill impairment, income (loss) from operations decreased by $8.8 million due to lost variable margin on the above-referenced sales volume decline and costs associated with the launch of new fuel systems business within our European operations. These unfavorable impacts were partially offset by favorable foreign exchange effects and fixed cost reduction initiatives implemented in response to the decline in sales volume.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1"/>
              </w:rPr>
              <w:t>Year Ended December 31,</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16"/>
                <w:szCs w:val="16"/>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189,778</w:t>
            </w: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2,322</w:t>
            </w:r>
          </w:p>
        </w:tc>
        <w:tc>
          <w:tcPr>
            <w:tcW w:w="760" w:type="dxa"/>
            <w:vAlign w:val="bottom"/>
            <w:shd w:val="clear" w:color="auto" w:fill="CCEEFF"/>
          </w:tcPr>
          <w:p>
            <w:pPr>
              <w:spacing w:after="0"/>
              <w:rPr>
                <w:sz w:val="19"/>
                <w:szCs w:val="19"/>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ind w:right="234"/>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3,959</w:t>
            </w: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Organic growth</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(1,432)</w:t>
            </w: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(205)</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109,100</w:t>
            </w: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w w:val="88"/>
              </w:rPr>
              <w:t>(109,100)</w:t>
            </w:r>
          </w:p>
        </w:tc>
        <w:tc>
          <w:tcPr>
            <w:tcW w:w="7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280"/>
              <w:spacing w:after="0"/>
              <w:rPr>
                <w:sz w:val="20"/>
                <w:szCs w:val="20"/>
                <w:color w:val="auto"/>
              </w:rPr>
            </w:pPr>
            <w:r>
              <w:rPr>
                <w:rFonts w:ascii="Arial" w:cs="Arial" w:eastAsia="Arial" w:hAnsi="Arial"/>
                <w:sz w:val="18"/>
                <w:szCs w:val="18"/>
                <w:color w:val="auto"/>
                <w:w w:val="92"/>
              </w:rPr>
              <w:t>(95,115)</w:t>
            </w:r>
          </w:p>
        </w:tc>
        <w:tc>
          <w:tcPr>
            <w:tcW w:w="6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34"/>
              <w:spacing w:after="0"/>
              <w:rPr>
                <w:sz w:val="20"/>
                <w:szCs w:val="20"/>
                <w:color w:val="auto"/>
              </w:rPr>
            </w:pPr>
            <w:r>
              <w:rPr>
                <w:rFonts w:ascii="Arial" w:cs="Arial" w:eastAsia="Arial" w:hAnsi="Arial"/>
                <w:sz w:val="18"/>
                <w:szCs w:val="18"/>
                <w:color w:val="auto"/>
                <w:w w:val="98"/>
              </w:rPr>
              <w:t>108,996</w:t>
            </w:r>
          </w:p>
        </w:tc>
        <w:tc>
          <w:tcPr>
            <w:tcW w:w="760" w:type="dxa"/>
            <w:vAlign w:val="bottom"/>
          </w:tcPr>
          <w:p>
            <w:pPr>
              <w:spacing w:after="0"/>
              <w:rPr>
                <w:sz w:val="20"/>
                <w:szCs w:val="20"/>
                <w:color w:val="auto"/>
              </w:rPr>
            </w:pPr>
          </w:p>
        </w:tc>
      </w:tr>
    </w:tbl>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increased by $2.3 million during the year ended December 31, 2019, compared to the year ended December 31, 2018, primarily due to $4.0 million of net sales attributable to the Technical Arts business that was acquired in the third quarter of 2018. The increase in net sales was partially offset by lower demand in the electrical products end market and unfavorable foreign exchange effects.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Income (loss) from operations increased by $109.0 million compared to prior year primarily due to the $109.1 million goodwill impairment in the prior year.</w:t>
      </w:r>
    </w:p>
    <w:p>
      <w:pPr>
        <w:spacing w:after="0" w:line="166" w:lineRule="exact"/>
        <w:rPr>
          <w:sz w:val="20"/>
          <w:szCs w:val="20"/>
          <w:color w:val="auto"/>
        </w:rPr>
      </w:pPr>
    </w:p>
    <w:p>
      <w:pPr>
        <w:ind w:right="5140"/>
        <w:spacing w:after="0" w:line="409" w:lineRule="auto"/>
        <w:rPr>
          <w:sz w:val="20"/>
          <w:szCs w:val="20"/>
          <w:color w:val="auto"/>
        </w:rPr>
      </w:pPr>
      <w:r>
        <w:rPr>
          <w:rFonts w:ascii="Arial" w:cs="Arial" w:eastAsia="Arial" w:hAnsi="Arial"/>
          <w:sz w:val="18"/>
          <w:szCs w:val="18"/>
          <w:b w:val="1"/>
          <w:bCs w:val="1"/>
          <w:color w:val="auto"/>
        </w:rPr>
        <w:t xml:space="preserve">Changes in Financial Condition from December 31, 2019, to December 31, 2020 </w:t>
      </w:r>
      <w:r>
        <w:rPr>
          <w:rFonts w:ascii="Arial" w:cs="Arial" w:eastAsia="Arial" w:hAnsi="Arial"/>
          <w:sz w:val="18"/>
          <w:szCs w:val="18"/>
          <w:i w:val="1"/>
          <w:iCs w:val="1"/>
          <w:color w:val="auto"/>
        </w:rPr>
        <w:t>Overview</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From December 31, 2019, to December 31, 2020, total assets decreased by $917.0 million primarily due to the sale of the Life Sciences business and use of cash proceeds to pay down debt. The $92.9 million impairment of Power Solutions goodwill in the first quarter of 2020 and normal depreciation and amortization of fixed assets and intangible assets also contributed to the decrease.</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December 31, 2019, to December 31, 2020, total liabilities decreased by $830.0 million primarily due to the prepayment of long-term debt with cash proceeds from the sale of the Life Sciences business.</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Working capital of continuing operations, which consists of cash, accounts receivable, inventories, income taxes receivable, and other current assets offset by accounts payable, accrued personnel costs, income taxes payable, current maturities of long-term debt, current portion of lease liabilities, and other current liabilities, was $112.0 million as of December 31, 2020, compared to $88.0 million as of December 31, 2019. The increase in working capital was primarily due to cash proceeds from the sale of the Life Sciences business and a reduction in the current maturities of long-term debt due to the prepayment of the Senior Secured Term Loan and the Incremental Term Loan.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Cash provided by operations was $15.5 million for the twelve months ended December 31, 2020, compared with cash provided by operations of $49.2 million for the twelve months ended December 31, 2019. The difference was primarily due to a decrease in sales volumes and higher interest expense, partially offset by improvement in working capital.</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provided by investing activities was $719.3 million for the twelve months ended December 31, 2020, compared with cash used in investing activities of $39.4 million for the twelve months ended December 31, 2019. The increase was primarily due to cash received from the sale of the Life Sciences business as well as lower capital expenditures in 2020 as part of our cash savings initiatives. Cash received from the liquidation of the short-term investment during 2019 partially offset the decrease in capital expenditures on a year-over-year basis.</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used in financing activities was $714.9 million for the twelve months ended December 31, 2020, compared with cash provided by financing activities of $5.3 million for the twelve months ended December 31, 2019. The difference was primarily due to the prepayment of debt with proceeds from the sale of the Life Sciences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October 21, 2019, we announced expense reduction and cash savings initiatives to help pay down our debt and support greater growth by reinvesting in our businesses. The expense reduction and cash saving initiatives include streamlining facilities and reducing overall selling, general and administrative costs; elimination of quarterly dividend payments; and a reduction in capital expenditures from 2019 spending levels as we return to a more normalized level of capital spending after several years of higher investment. As described in the “Results of Operations, Factors That May Influence Results of Operations” section of Management’s Discussion and Analysis of Financial Condition and Results of Operations, we have taken additional actions in response to the economic effects of the COVID-19 pandemic and in order to enhance our liquidity position during this difficult period.</w:t>
      </w:r>
    </w:p>
    <w:p>
      <w:pPr>
        <w:spacing w:after="0" w:line="5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have evaluated included further cost savings and cash generation initiatives, more efficient capital deployment, changes to our debt and equity structure to improve financial flexibility and liquidity, and the sale of part or all of NN, among others.</w:t>
      </w:r>
    </w:p>
    <w:p>
      <w:pPr>
        <w:spacing w:after="0" w:line="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discussed in Note 16 in the Notes to Consolidated Financial Statements, on December 11, 2019, we issued Series B Convertible Preferred Stock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reduced the total capacity under the Senior Secured Revolver to $75.0 million, and extended the due date of our Incremental Term Loan to October 19, 2022, matching the date of our longer-dated Senior Secured Term Loan. Additionally, as part of this amendment our debt covenants were amended to establish more restrictive leverage ratios that also become more restrictive over time. Our Consolidated Net Leverage Ratio (the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w:t>
      </w:r>
    </w:p>
    <w:p>
      <w:pPr>
        <w:spacing w:after="0" w:line="5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July 2020, we amended our Credit Agreement to waive compliance with the financial leverage ratio covenant for the second and third quarters of 2020. During this period, we were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outstanding under our credit facility to become immediately due and payable and would have a material, adverse impact on our financial position.</w:t>
      </w:r>
    </w:p>
    <w:p>
      <w:pPr>
        <w:spacing w:after="0" w:line="5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August 2020, we entered into an agreement to sell our Life Sciences business. The sale closed on October 6, 2020, at which time we received cash proceeds of $757.2 million. We immediately prepaid $700.0 million in the aggregate on the Senior Secured Term Loan and the Incremental Term Loan. We also paid in full the outstanding balance on the Senior Secured Revolver. Additionally, in August 2020, we amended our Credit Agreement to obtain the lenders’ consent to the sale of the Life Sciences business, subject to certain terms and conditions.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rely on cash flow generated from operations and available borrowings under our Senior Secured Revolver to fund our working capital and other operating and investing needs. Our ability to borrow under our Senior Secured Revolver is based on our continued compliance with the minimum liquidity requirements and, for periods beginning in the fourth quarter of 2020, the financial leverage ratio covenant, as defined, which became more restrictive upon the occurrence of a qualified sale transaction, which closed on October 6, 2020.</w:t>
      </w:r>
    </w:p>
    <w:p>
      <w:pPr>
        <w:spacing w:after="0" w:line="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Based on available borrowing capacity of the Senior Secured Revolver, the reduction in debt service costs as a result of the debt prepayment with net proceeds from the sale of the Life Sciences business in October 2020, and cash flows expected to be generated from operations and investing activities, we anticipate that our cash and cash equivalents are sufficient to support our operations and meet our obligations, and that we will be able to maintain compliance with the existing financial leverage ratio covenant for the next twelve months from issuance of these consolidated financial statements. As the term of our Credit Agreement ends in the second half of 2022, we are in the process of evaluating financing alternatives.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8,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21 in the Notes to Consolidated Financial Statements for further discussion about the interest rate swap.</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prepayment of debt on October 6, 2020, with proceeds from the sale of our Life Sciences business, the outstanding balance of our variable rate debt fell below the $700.0 million notional amount of the interest rate swap. After the prepayment, a majority of the hedged forecasted transactions (i.e. interest payments) were probable of not occurring, resulting in the recognition in earnings of $14.8 million of the hedging loss in accumulated other comprehensive income in the fourth quarter of 2020. The remaining $2.9 million of the hedging loss in accumulated other comprehensive income will be amortized into earnings as settlements occur. Finally, as the interest rate swap no longer qualifies as an effective hedge subsequent to October 6, 2020, changes in fair value of the interest rate swap are recognized in earnings each period. All amounts recognized in earnings related to the interest rate swap are recorded in the “Loss on interest rate swap” line on the Consolidated Statements of Operations and Comprehensive Income (Loss) except that cash settlements were recognized in “Interest expense” prior to October 6, 2020, and in “Derivative payments on interest rate swap” after October 6, 2020. Cash settlements are presented in operating activities on the Consolidated Statements of Cash Flows prior to October 6, 2020, and in investing activities after October 6, 2020.</w:t>
      </w:r>
    </w:p>
    <w:p>
      <w:pPr>
        <w:spacing w:after="0" w:line="7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various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December 31, 2020, no currency derivatives were in place. In addition, a strengthening of the U.S. dollar against foreign currencies could impair our ability to compete with international competitors for foreign as well as domestic sales.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Aggregate principal amounts outstanding under our Senior Secured Term Loan, Incremental Term Loan, and Senior Secured Revolver as of December 31, 2020, were $70.4 million, without regard to unamortized debt issuance costs. As of December 31, 2020, we had unused borrowing capacity of $45.4 million under the Senior Secured Revolver, subject to certain limitations. This amount of borrowing capacity is net of $14.6 million of outstanding letters of credit at December 31, 2020, which are considered as usage of the Senior Secured Revolver.</w:t>
      </w:r>
    </w:p>
    <w:p>
      <w:pPr>
        <w:spacing w:after="0" w:line="7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Collectively, our Senior Secured Term Loan, Incremental Term Loan, and Senior Secured Revolver comprise our credit facility. Total capacity under the Senior Secured Revolver was $60.0 million as of December 31, 2020, and will decrease to $50.0 million on June 30, 2021. The Senior Secured Revolver matures on July 20, 2022. The credit agreement requires cash in excess of $35.0 million on the last day of each month to be used to pay down the Senior Secured Revolver.</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Secured Term Loan requires quarterly principal payments of $0.1 million through October 19, 2022, with the remaining principal amount due on the maturity date. If one-month LIBOR is less than 0.75%, then we pay 6.50% per annum in interest. If one-month LIBOR exceeds 0.75%, then we pay the variable one-month LIBOR plus an applicable margin of 5.75%. Based on the interest rate in effect at December 31, 2020, annual interest payments would be approximately $3.1 million.</w:t>
      </w:r>
    </w:p>
    <w:p>
      <w:pPr>
        <w:spacing w:after="0" w:line="7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Incremental Term Loan requires quarterly principal payments of $0.3 million through October 19, 2022, with the remaining principal amount due on the maturity date. The Incremental Term Loan bears interest at the variable one-month LIBOR plus an applicable margin of 5.75%. Based on the interest rate in effect at December 31, 2020, annual interest payments would be approximately $1.3 million.</w:t>
      </w:r>
    </w:p>
    <w:p>
      <w:pPr>
        <w:spacing w:after="0" w:line="7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Senior Secured Revolver bears interest on a variable rate structure with borrowings bearing interest at either one-month LIBOR plus an applicable margin of 4.00% or the prime lending rate plus an applicable margin of 3.00%. We pay a commitment fee of 0.50% for unused capacity under the Senior Secured Revolver. We had no borrowings outstanding under the Senior Secured Revolver at December 31, 2020. Total capacity under the Senior Secured Revolver was $60.0 million as of December 31, 2020, with $45.4 million available for future borrowings after reductions for outstanding letters of credit.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2020, we amended our Credit Agreement to waive compliance with the financial leverage ratio covenant for the second and third quarters of 2020. During this period, we were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outstanding under our credit facility to become immediately due and payable and would have a material, adverse impact on our financial position. Our ability to borrow under our Senior Secured Revolver is based on our continued compliance with the minimum liquidity requirements and, for periods beginning in the fourth quarter of 2020, the financial leverage ratio covenant, as defined, which became more restrictive upon the occurrence of a qualified sale transaction, which closed on October 6, 2020.</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as of December 31, 2020, with all requirements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contractual obligations and commercial commitments as of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Certain Contractual Obligations</w:t>
            </w:r>
          </w:p>
        </w:tc>
        <w:tc>
          <w:tcPr>
            <w:tcW w:w="30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22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6"/>
                <w:szCs w:val="16"/>
                <w:color w:val="auto"/>
              </w:rPr>
            </w:pPr>
          </w:p>
        </w:tc>
        <w:tc>
          <w:tcPr>
            <w:tcW w:w="1180" w:type="dxa"/>
            <w:vAlign w:val="bottom"/>
          </w:tcPr>
          <w:p>
            <w:pPr>
              <w:jc w:val="right"/>
              <w:ind w:right="213"/>
              <w:spacing w:after="0"/>
              <w:rPr>
                <w:sz w:val="20"/>
                <w:szCs w:val="20"/>
                <w:color w:val="auto"/>
              </w:rPr>
            </w:pPr>
            <w:r>
              <w:rPr>
                <w:rFonts w:ascii="Arial" w:cs="Arial" w:eastAsia="Arial" w:hAnsi="Arial"/>
                <w:sz w:val="14"/>
                <w:szCs w:val="14"/>
                <w:b w:val="1"/>
                <w:bCs w:val="1"/>
                <w:color w:val="auto"/>
              </w:rPr>
              <w:t>After 5 years</w:t>
            </w: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29"/>
        </w:trPr>
        <w:tc>
          <w:tcPr>
            <w:tcW w:w="3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interest payments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3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derivative payments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48,523</w:t>
            </w:r>
          </w:p>
        </w:tc>
      </w:tr>
      <w:tr>
        <w:trPr>
          <w:trHeight w:val="22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52,601</w:t>
            </w:r>
          </w:p>
        </w:tc>
      </w:tr>
      <w:tr>
        <w:trPr>
          <w:trHeight w:val="21"/>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420" w:right="580" w:hanging="412"/>
        <w:spacing w:after="0" w:line="277" w:lineRule="auto"/>
        <w:tabs>
          <w:tab w:leader="none" w:pos="4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interest payments on our variable-rate Senior Secured Term Loan and Incremental Term Loan are based on one-month LIBOR as of December 31, 2020.</w:t>
      </w:r>
    </w:p>
    <w:p>
      <w:pPr>
        <w:spacing w:after="0" w:line="8"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derivative payments are estimated based on the fair value of the interest rate swap as of December 31,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approximately $0.8 million in unrecognized tax benefits accrued within the liabilities section of our balance sheet. We are unsure when or if at all these amounts might be paid to U.S. and/or foreign taxing authorities. Accordingly, these amounts have been excluded from the table above. (See Note 11 of the Notes to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currently have foreign operations in Brazil, China, France, Mexico, and Poland. The local currency of each foreign facility is also its functional currency.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February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21 in the Notes to Consolidated Financial Statements for further discussion about the interest rate swap.</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December 31, 2020, we had $47.7 million and $22.7 million of principal outstanding under the Senior Secured Term Loan and Incremental Term Loan, respectively, without regard to capitalized debt issuance costs. A one-percent increase in one-month LIBOR would result in a net increase in interest expense of $0.4 million on an annualized basis due to the fact that the</w:t>
      </w:r>
    </w:p>
    <w:p>
      <w:pPr>
        <w:sectPr>
          <w:pgSz w:w="11900" w:h="16838" w:orient="portrait"/>
          <w:cols w:equalWidth="0" w:num="1">
            <w:col w:w="11200"/>
          </w:cols>
          <w:pgMar w:left="320" w:top="233"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Term Loan is subject to a LIBOR floor of 0.75% and one-month LIBOR was below the floor as of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we had no principal outstanding under the Senior Secured Revolver.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December 31, 2020.</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7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Index to Financial Statements</w:t>
            </w:r>
          </w:p>
        </w:tc>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49"/>
        </w:trPr>
        <w:tc>
          <w:tcPr>
            <w:tcW w:w="5480" w:type="dxa"/>
            <w:vAlign w:val="bottom"/>
            <w:gridSpan w:val="2"/>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Reports of Independent Registered Public Accounting Firms</w:t>
              </w:r>
            </w:hyperlink>
          </w:p>
        </w:tc>
        <w:tc>
          <w:tcPr>
            <w:tcW w:w="5440" w:type="dxa"/>
            <w:vAlign w:val="bottom"/>
          </w:tcPr>
          <w:p>
            <w:pPr>
              <w:spacing w:after="0"/>
              <w:rPr>
                <w:sz w:val="21"/>
                <w:szCs w:val="21"/>
                <w:color w:val="auto"/>
              </w:rPr>
            </w:pPr>
          </w:p>
        </w:tc>
        <w:tc>
          <w:tcPr>
            <w:tcW w:w="300" w:type="dxa"/>
            <w:vAlign w:val="bottom"/>
            <w:tcBorders>
              <w:top w:val="single" w:sz="8" w:color="auto"/>
            </w:tcBorders>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36</w:t>
              </w:r>
            </w:hyperlink>
          </w:p>
        </w:tc>
        <w:tc>
          <w:tcPr>
            <w:tcW w:w="20" w:type="dxa"/>
            <w:vAlign w:val="bottom"/>
          </w:tcPr>
          <w:p>
            <w:pPr>
              <w:spacing w:after="0"/>
              <w:rPr>
                <w:sz w:val="21"/>
                <w:szCs w:val="21"/>
                <w:color w:val="auto"/>
              </w:rPr>
            </w:pPr>
          </w:p>
        </w:tc>
      </w:tr>
      <w:tr>
        <w:trPr>
          <w:trHeight w:val="229"/>
        </w:trPr>
        <w:tc>
          <w:tcPr>
            <w:tcW w:w="5480" w:type="dxa"/>
            <w:vAlign w:val="bottom"/>
            <w:gridSpan w:val="2"/>
          </w:tcPr>
          <w:p>
            <w:pPr>
              <w:ind w:left="20"/>
              <w:spacing w:after="0"/>
              <w:rPr>
                <w:rFonts w:ascii="Arial" w:cs="Arial" w:eastAsia="Arial" w:hAnsi="Arial"/>
                <w:sz w:val="18"/>
                <w:szCs w:val="18"/>
                <w:u w:val="single" w:color="auto"/>
                <w:color w:val="0000FF"/>
                <w:w w:val="90"/>
              </w:rPr>
            </w:pPr>
            <w:hyperlink w:anchor="page39">
              <w:r>
                <w:rPr>
                  <w:rFonts w:ascii="Arial" w:cs="Arial" w:eastAsia="Arial" w:hAnsi="Arial"/>
                  <w:sz w:val="18"/>
                  <w:szCs w:val="18"/>
                  <w:u w:val="single" w:color="auto"/>
                  <w:color w:val="0000FF"/>
                  <w:w w:val="90"/>
                </w:rPr>
                <w:t>Consolidated Statements of Operations and Comprehensive Income (Loss)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Consolidated Balance Sheets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Consolidated Statements of Changes in Stockholders’ Equity</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Consolidated Statements of Cash Flows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Notes to Consolidated Financial Statements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44</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Note 1. Significant Accounting Policies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Note 2. Discontinued Operations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Note 3. Acquisitions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Note 4. Segment Information</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 5. Accounts Receivable</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 6. Inventories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 7. Property, Plant and Equipment</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 8. Goodwill</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Note 9. Intangible Assets, Net</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Note 10. Investment in Joint Venture</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Note 11. Income Taxes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Note 12. Debt</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Note 13. Leases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62</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Note 14. Restructuring and Integration</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Note 15. Commitments and Contingencies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Note 16. Preferred Stock and Stockholders' Equity</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Note 17. Revenue from Contracts with Customers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c>
          <w:tcPr>
            <w:tcW w:w="20" w:type="dxa"/>
            <w:vAlign w:val="bottom"/>
          </w:tcPr>
          <w:p>
            <w:pPr>
              <w:spacing w:after="0"/>
              <w:rPr>
                <w:sz w:val="19"/>
                <w:szCs w:val="19"/>
                <w:color w:val="auto"/>
              </w:rPr>
            </w:pPr>
          </w:p>
        </w:tc>
      </w:tr>
      <w:tr>
        <w:trPr>
          <w:trHeight w:val="229"/>
        </w:trPr>
        <w:tc>
          <w:tcPr>
            <w:tcW w:w="5480" w:type="dxa"/>
            <w:vAlign w:val="bottom"/>
            <w:gridSpan w:val="2"/>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Note 18. Share-Based Compensation</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 19. Accumulated Other Comprehensive Income</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 20. Net Income (Loss) Per Common Share</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Note 21. Fair Value Measurements</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c>
          <w:tcPr>
            <w:tcW w:w="20" w:type="dxa"/>
            <w:vAlign w:val="bottom"/>
          </w:tcPr>
          <w:p>
            <w:pPr>
              <w:spacing w:after="0"/>
              <w:rPr>
                <w:sz w:val="19"/>
                <w:szCs w:val="19"/>
                <w:color w:val="auto"/>
              </w:rPr>
            </w:pPr>
          </w:p>
        </w:tc>
      </w:tr>
      <w:tr>
        <w:trPr>
          <w:trHeight w:val="230"/>
        </w:trPr>
        <w:tc>
          <w:tcPr>
            <w:tcW w:w="5480" w:type="dxa"/>
            <w:vAlign w:val="bottom"/>
            <w:gridSpan w:val="2"/>
          </w:tcPr>
          <w:p>
            <w:pPr>
              <w:ind w:left="24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Note 22. Quarterly Results of Operations (Unaudited)</w:t>
              </w:r>
            </w:hyperlink>
          </w:p>
        </w:tc>
        <w:tc>
          <w:tcPr>
            <w:tcW w:w="5740" w:type="dxa"/>
            <w:vAlign w:val="bottom"/>
            <w:gridSpan w:val="2"/>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c>
          <w:tcPr>
            <w:tcW w:w="20" w:type="dxa"/>
            <w:vAlign w:val="bottom"/>
          </w:tcPr>
          <w:p>
            <w:pPr>
              <w:spacing w:after="0"/>
              <w:rPr>
                <w:sz w:val="20"/>
                <w:szCs w:val="20"/>
                <w:color w:val="auto"/>
              </w:rPr>
            </w:pPr>
          </w:p>
        </w:tc>
      </w:tr>
      <w:tr>
        <w:trPr>
          <w:trHeight w:val="850"/>
        </w:trPr>
        <w:tc>
          <w:tcPr>
            <w:tcW w:w="7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40" w:type="dxa"/>
            <w:vAlign w:val="bottom"/>
          </w:tcPr>
          <w:p>
            <w:pPr>
              <w:jc w:val="right"/>
              <w:ind w:right="511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Reports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rPr>
          <w:sz w:val="20"/>
          <w:szCs w:val="20"/>
          <w:color w:val="auto"/>
        </w:rPr>
      </w:pPr>
      <w:r>
        <w:rPr>
          <w:rFonts w:ascii="Arial" w:cs="Arial" w:eastAsia="Arial" w:hAnsi="Arial"/>
          <w:sz w:val="18"/>
          <w:szCs w:val="18"/>
          <w:color w:val="auto"/>
        </w:rPr>
        <w:t>NN,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A215E"/>
        </w:rPr>
        <w:t>Opinion on internal control over financial reporting</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have audited the internal control over financial reporting of NN, Inc. (a Delaware corporation) and subsidiaries (the “Company”) as of December 31, 2020,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9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2020, and our report dated March 15, 2021 expressed an unqualified opinion on those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3A215E"/>
        </w:rPr>
        <w:t>Basis for opinion</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3A215E"/>
        </w:rPr>
        <w:t>Definition and limitations of internal control over financial reporting</w:t>
      </w:r>
    </w:p>
    <w:p>
      <w:pPr>
        <w:spacing w:after="0" w:line="2"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audited the accompanying consolidated balance sheet of NN Inc. (a Delaware corporation) and subsidiaries (the “Company”) as of December 31, 2020, the related consolidated statements of operations and comprehensive income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year then ended, in conformity with accounting principles generally accepted in the United States of America.</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15, 2021 expressed an unqualified opinion.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Valuation – Power Solutions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in Note 8 to the consolidated financial statements, the Company’s market capitalization declined to a level that was less than the net book value of the stockholders’ equity during the first quarter of 2020. The decline in market capitalization was a triggering event that resulted in the Company performing an interim quantitative goodwill impairment analysis as of March 31, 2020. As a result of the interim goodwill impairment analysis, it was determined that the carrying value of the Power Solutions reporting unit exceeded its estimated fair value resulting in an impairment charge of $92.9 million. We identified goodwill valuation as a critical audit matter because of the significant judgements made by management to estimate the fair value of goodwill.</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Estimates of future performance and market conditions used to arrive at the net present value of future cash flows, which is used within the goodwill impairment analysis, are subjective in nature. In particular, the Company’s fair value estimate was sensitive to assumptions including the revenue growth rate and discount rate used by the Company, which are affected by expectations about future market or economic conditions. These assumptions proved more subjective during the March 31, 2020 goodwill impairment analysis as a result of the uncertainty surrounding the immediate and long-term impact of the COVID-19 pandemic.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goodwill impairment analysis included the following, among others:</w:t>
      </w:r>
    </w:p>
    <w:p>
      <w:pPr>
        <w:spacing w:after="0" w:line="158" w:lineRule="exact"/>
        <w:rPr>
          <w:sz w:val="20"/>
          <w:szCs w:val="20"/>
          <w:color w:val="auto"/>
        </w:rPr>
      </w:pPr>
    </w:p>
    <w:p>
      <w:pPr>
        <w:ind w:left="660" w:right="12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controls related to the accounting for the March 31, 2020 goodwill impairment, which included the Company’s review over revenue growth rates and discount rate used to determine the fair value estimate of the Power Solutions reporting unit.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right="560" w:hanging="328"/>
        <w:spacing w:after="0" w:line="316"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tested the reasonableness of the revenue growth rates by (1) comparing projected amounts to prior historical periods and trends and (2) obtaining an understanding of drivers underlying projected amounts, including consideration of industry information and economic trends.</w:t>
      </w:r>
    </w:p>
    <w:p>
      <w:pPr>
        <w:spacing w:after="0" w:line="1" w:lineRule="exact"/>
        <w:rPr>
          <w:rFonts w:ascii="Arial" w:cs="Arial" w:eastAsia="Arial" w:hAnsi="Arial"/>
          <w:sz w:val="16"/>
          <w:szCs w:val="16"/>
          <w:color w:val="auto"/>
        </w:rPr>
      </w:pPr>
    </w:p>
    <w:p>
      <w:pPr>
        <w:ind w:left="660" w:right="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utilized valuation specialists to assess the Company’s methodologies and assess the appropriateness of the discount rate used in the March 31, 2020 goodwill impairment analysis. Our specialists calculated a range of rates using market participant inputs and performed analysis to test sensitivity to changes in the discount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Power Solutions Segment for Tax Distribution</w:t>
      </w:r>
    </w:p>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described further in Note 11 to the consolidated financial statements, prior to the sale of the Life Sciences business, the Company completed a tax restructuring in which Precision Engineered Products Holdings, Inc., a wholly owned U.S. domestic subsidiary, distributed to NN, Inc., all of its assets and equity holdings related to the Power Solutions segment. The restructuring process created a deferred gain, required to be realized upon the sale of Life Sciences, equal to the fair market value of the distributed assets over tax basis. We identified the valuation of the Power Solutions segment as a critical audit matter because of the significant judgements made by management to estimate the fair value. The distribution resulted in a step-up in tax basis and a taxable gain, both of which were directly impacted by the valuation.</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Estimates of future performance and market conditions used to arrive at the net present value of future cash flows, which is used in the valuation of Power Solutions segment, are subjective in nature. In particular, the Company’s fair value estimate was sensitive to assumptions including the revenue growth rate and discount rate used by the Company, which are affected by expectations about future market or economic conditions.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of the Power Solutions segment included the following, among others:</w:t>
      </w:r>
    </w:p>
    <w:p>
      <w:pPr>
        <w:spacing w:after="0" w:line="144" w:lineRule="exact"/>
        <w:rPr>
          <w:sz w:val="20"/>
          <w:szCs w:val="20"/>
          <w:color w:val="auto"/>
        </w:rPr>
      </w:pPr>
    </w:p>
    <w:p>
      <w:pPr>
        <w:ind w:left="660" w:right="18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the Company’s controls related to the valuation of the Power Solutions segment, including the Company’s review over revenue growth rates and discount rate used to determine the fair value estimate.</w:t>
      </w:r>
    </w:p>
    <w:p>
      <w:pPr>
        <w:spacing w:after="0" w:line="21" w:lineRule="exact"/>
        <w:rPr>
          <w:rFonts w:ascii="Arial" w:cs="Arial" w:eastAsia="Arial" w:hAnsi="Arial"/>
          <w:sz w:val="18"/>
          <w:szCs w:val="18"/>
          <w:color w:val="auto"/>
        </w:rPr>
      </w:pPr>
    </w:p>
    <w:p>
      <w:pPr>
        <w:ind w:left="660" w:right="200" w:hanging="328"/>
        <w:spacing w:after="0" w:line="29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tested the reasonableness of the growth rates by (1) comparing projected amounts to prior historical periods and trends, and (2) obtaining an understanding of drivers underlying projected amounts, including consideration of industry information and economic trends.</w:t>
      </w:r>
    </w:p>
    <w:p>
      <w:pPr>
        <w:ind w:left="660" w:right="2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utilized valuation specialists to assess the Company’s methodologies and assess the appropriateness of the discount rate used in the valuation. Our specialists calculated a range of rates using market participant inputs and performed analysis to test sensitivity to changes in the discount rate.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audited the accompanying consolidated balance sheet of NN, Inc. and its subsidiaries (the “Company”) as of December 31, 2019, and the related consolidated statements of operations and comprehensive income (loss), of changes in stockholders’ equity and of cash flows for each of the two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the results of its operations and its cash flows for each of the two years in the period ended December 31, 2019 in conformity with accounting principles generally accepted in the United States of America.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the Company changed the manner in which it accounts for leases in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disclosed in Note 1 (not presented herein) to the consolidated financial statements appearing under Item 8 of the Company’s 2019 Annual Report on Form 10-K, the Company is required to comply with a financial ratio covenant pursuant to its Credit Agreement which becomes more restrictive over time and will require the Company to improve financial performance or take other measures to maintain compliance with its debt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ind w:right="520"/>
        <w:spacing w:after="0" w:line="243" w:lineRule="auto"/>
        <w:rPr>
          <w:sz w:val="20"/>
          <w:szCs w:val="20"/>
          <w:color w:val="auto"/>
        </w:rPr>
      </w:pPr>
      <w:r>
        <w:rPr>
          <w:rFonts w:ascii="Arial" w:cs="Arial" w:eastAsia="Arial" w:hAnsi="Arial"/>
          <w:sz w:val="18"/>
          <w:szCs w:val="18"/>
          <w:color w:val="auto"/>
        </w:rPr>
        <w:t>March 16, 2020, except for the effect of discontinued operations discussed in Note 2 to the consolidated financial statements, as to which the date is March 15,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2003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427,534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489,514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524,194</w:t>
            </w:r>
          </w:p>
        </w:tc>
        <w:tc>
          <w:tcPr>
            <w:tcW w:w="0" w:type="dxa"/>
            <w:vAlign w:val="bottom"/>
          </w:tcPr>
          <w:p>
            <w:pPr>
              <w:spacing w:after="0"/>
              <w:rPr>
                <w:sz w:val="1"/>
                <w:szCs w:val="1"/>
                <w:color w:val="auto"/>
              </w:rPr>
            </w:pPr>
          </w:p>
        </w:tc>
      </w:tr>
      <w:tr>
        <w:trPr>
          <w:trHeight w:val="186"/>
        </w:trPr>
        <w:tc>
          <w:tcPr>
            <w:tcW w:w="7980" w:type="dxa"/>
            <w:vAlign w:val="bottom"/>
          </w:tcPr>
          <w:p>
            <w:pPr>
              <w:ind w:left="36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343,594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392,482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413,394</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72,764</w:t>
            </w:r>
          </w:p>
        </w:tc>
        <w:tc>
          <w:tcPr>
            <w:tcW w:w="0" w:type="dxa"/>
            <w:vAlign w:val="bottom"/>
          </w:tcPr>
          <w:p>
            <w:pPr>
              <w:spacing w:after="0"/>
              <w:rPr>
                <w:sz w:val="1"/>
                <w:szCs w:val="1"/>
                <w:color w:val="auto"/>
              </w:rPr>
            </w:pPr>
          </w:p>
        </w:tc>
      </w:tr>
      <w:tr>
        <w:trPr>
          <w:trHeight w:val="186"/>
        </w:trPr>
        <w:tc>
          <w:tcPr>
            <w:tcW w:w="79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44,896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43,026</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Restructuring and integration expense, net</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86"/>
        </w:trPr>
        <w:tc>
          <w:tcPr>
            <w:tcW w:w="7980" w:type="dxa"/>
            <w:vAlign w:val="bottom"/>
          </w:tcPr>
          <w:p>
            <w:pPr>
              <w:ind w:left="360"/>
              <w:spacing w:after="0"/>
              <w:rPr>
                <w:sz w:val="20"/>
                <w:szCs w:val="20"/>
                <w:color w:val="auto"/>
              </w:rPr>
            </w:pPr>
            <w:r>
              <w:rPr>
                <w:rFonts w:ascii="Arial" w:cs="Arial" w:eastAsia="Arial" w:hAnsi="Arial"/>
                <w:sz w:val="14"/>
                <w:szCs w:val="14"/>
                <w:color w:val="auto"/>
              </w:rPr>
              <w:t>Goodwill impairment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182,542</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operating expense, net</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179"/>
        </w:trPr>
        <w:tc>
          <w:tcPr>
            <w:tcW w:w="79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(117,457)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(195,047)</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11,315</w:t>
            </w:r>
          </w:p>
        </w:tc>
        <w:tc>
          <w:tcPr>
            <w:tcW w:w="0" w:type="dxa"/>
            <w:vAlign w:val="bottom"/>
          </w:tcPr>
          <w:p>
            <w:pPr>
              <w:spacing w:after="0"/>
              <w:rPr>
                <w:sz w:val="1"/>
                <w:szCs w:val="1"/>
                <w:color w:val="auto"/>
              </w:rPr>
            </w:pPr>
          </w:p>
        </w:tc>
      </w:tr>
      <w:tr>
        <w:trPr>
          <w:trHeight w:val="186"/>
        </w:trPr>
        <w:tc>
          <w:tcPr>
            <w:tcW w:w="7980" w:type="dxa"/>
            <w:vAlign w:val="bottom"/>
          </w:tcPr>
          <w:p>
            <w:pPr>
              <w:ind w:left="36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payments on interest rate swap</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980" w:type="dxa"/>
            <w:vAlign w:val="bottom"/>
          </w:tcPr>
          <w:p>
            <w:pPr>
              <w:ind w:left="360"/>
              <w:spacing w:after="0"/>
              <w:rPr>
                <w:sz w:val="20"/>
                <w:szCs w:val="20"/>
                <w:color w:val="auto"/>
              </w:rPr>
            </w:pPr>
            <w:r>
              <w:rPr>
                <w:rFonts w:ascii="Arial" w:cs="Arial" w:eastAsia="Arial" w:hAnsi="Arial"/>
                <w:sz w:val="14"/>
                <w:szCs w:val="14"/>
                <w:color w:val="auto"/>
              </w:rPr>
              <w:t>Loss on interest rate swap</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11,669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expense (income), net</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79"/>
        </w:trPr>
        <w:tc>
          <w:tcPr>
            <w:tcW w:w="7980" w:type="dxa"/>
            <w:vAlign w:val="bottom"/>
          </w:tcPr>
          <w:p>
            <w:pPr>
              <w:ind w:left="20"/>
              <w:spacing w:after="0"/>
              <w:rPr>
                <w:sz w:val="20"/>
                <w:szCs w:val="20"/>
                <w:color w:val="auto"/>
              </w:rPr>
            </w:pPr>
            <w:r>
              <w:rPr>
                <w:rFonts w:ascii="Arial" w:cs="Arial" w:eastAsia="Arial" w:hAnsi="Arial"/>
                <w:sz w:val="14"/>
                <w:szCs w:val="14"/>
                <w:color w:val="auto"/>
              </w:rPr>
              <w:t>Loss from continuing operations before benefit (provision) for income taxes and share of net income (loss) from joint venture</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(152,088)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(208,378)</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Benefit (provision) for income taxes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86"/>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Share of net income (loss) from joint venture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(14,390)</w:t>
            </w:r>
          </w:p>
        </w:tc>
        <w:tc>
          <w:tcPr>
            <w:tcW w:w="0" w:type="dxa"/>
            <w:vAlign w:val="bottom"/>
          </w:tcPr>
          <w:p>
            <w:pPr>
              <w:spacing w:after="0"/>
              <w:rPr>
                <w:sz w:val="1"/>
                <w:szCs w:val="1"/>
                <w:color w:val="auto"/>
              </w:rPr>
            </w:pPr>
          </w:p>
        </w:tc>
      </w:tr>
      <w:tr>
        <w:trPr>
          <w:trHeight w:val="18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(221,220)</w:t>
            </w:r>
          </w:p>
        </w:tc>
        <w:tc>
          <w:tcPr>
            <w:tcW w:w="0" w:type="dxa"/>
            <w:vAlign w:val="bottom"/>
          </w:tcPr>
          <w:p>
            <w:pPr>
              <w:spacing w:after="0"/>
              <w:rPr>
                <w:sz w:val="1"/>
                <w:szCs w:val="1"/>
                <w:color w:val="auto"/>
              </w:rPr>
            </w:pPr>
          </w:p>
        </w:tc>
      </w:tr>
      <w:tr>
        <w:trPr>
          <w:trHeight w:val="18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from discontinued operations, net of tax (Note 2)</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38,898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(41,767)</w:t>
            </w:r>
          </w:p>
        </w:tc>
        <w:tc>
          <w:tcPr>
            <w:tcW w:w="0" w:type="dxa"/>
            <w:vAlign w:val="bottom"/>
          </w:tcPr>
          <w:p>
            <w:pPr>
              <w:spacing w:after="0"/>
              <w:rPr>
                <w:sz w:val="1"/>
                <w:szCs w:val="1"/>
                <w:color w:val="auto"/>
              </w:rPr>
            </w:pPr>
          </w:p>
        </w:tc>
      </w:tr>
      <w:tr>
        <w:trPr>
          <w:trHeight w:val="18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(46,741)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(262,987)</w:t>
            </w:r>
          </w:p>
        </w:tc>
        <w:tc>
          <w:tcPr>
            <w:tcW w:w="0" w:type="dxa"/>
            <w:vAlign w:val="bottom"/>
          </w:tcPr>
          <w:p>
            <w:pPr>
              <w:spacing w:after="0"/>
              <w:rPr>
                <w:sz w:val="1"/>
                <w:szCs w:val="1"/>
                <w:color w:val="auto"/>
              </w:rPr>
            </w:pPr>
          </w:p>
        </w:tc>
      </w:tr>
      <w:tr>
        <w:trPr>
          <w:trHeight w:val="166"/>
        </w:trPr>
        <w:tc>
          <w:tcPr>
            <w:tcW w:w="79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Reclassification adjustment for discontinued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980" w:type="dxa"/>
            <w:vAlign w:val="bottom"/>
          </w:tcPr>
          <w:p>
            <w:pPr>
              <w:ind w:left="360"/>
              <w:spacing w:after="0"/>
              <w:rPr>
                <w:sz w:val="20"/>
                <w:szCs w:val="20"/>
                <w:color w:val="auto"/>
              </w:rPr>
            </w:pPr>
            <w:r>
              <w:rPr>
                <w:rFonts w:ascii="Arial" w:cs="Arial" w:eastAsia="Arial" w:hAnsi="Arial"/>
                <w:sz w:val="14"/>
                <w:szCs w:val="14"/>
                <w:color w:val="auto"/>
              </w:rPr>
              <w:t>Foreign currency translation loss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(13,609)</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swap:</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80" w:type="dxa"/>
            <w:vAlign w:val="bottom"/>
          </w:tcPr>
          <w:p>
            <w:pPr>
              <w:ind w:left="560"/>
              <w:spacing w:after="0"/>
              <w:rPr>
                <w:sz w:val="20"/>
                <w:szCs w:val="20"/>
                <w:color w:val="auto"/>
              </w:rPr>
            </w:pPr>
            <w:r>
              <w:rPr>
                <w:rFonts w:ascii="Arial" w:cs="Arial" w:eastAsia="Arial" w:hAnsi="Arial"/>
                <w:sz w:val="14"/>
                <w:szCs w:val="14"/>
                <w:color w:val="auto"/>
              </w:rPr>
              <w:t>Change in fair value, net of tax</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Reclassification adjustment for losses included in net loss, net of tax</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(13,609)</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(276,596)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Basic net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86"/>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(loss) from discontinued operations per common share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loss per common share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42,030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31,678</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loss per common share: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80" w:type="dxa"/>
            <w:vAlign w:val="bottom"/>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(loss) from discontinued operations per common share</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79"/>
        </w:trPr>
        <w:tc>
          <w:tcPr>
            <w:tcW w:w="7980" w:type="dxa"/>
            <w:vAlign w:val="bottom"/>
          </w:tcPr>
          <w:p>
            <w:pPr>
              <w:ind w:left="360"/>
              <w:spacing w:after="0"/>
              <w:rPr>
                <w:sz w:val="20"/>
                <w:szCs w:val="20"/>
                <w:color w:val="auto"/>
              </w:rPr>
            </w:pPr>
            <w:r>
              <w:rPr>
                <w:rFonts w:ascii="Arial" w:cs="Arial" w:eastAsia="Arial" w:hAnsi="Arial"/>
                <w:sz w:val="14"/>
                <w:szCs w:val="14"/>
                <w:color w:val="auto"/>
              </w:rPr>
              <w:t>Net loss per common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17,911</w:t>
            </w:r>
          </w:p>
        </w:tc>
        <w:tc>
          <w:tcPr>
            <w:tcW w:w="0" w:type="dxa"/>
            <w:vAlign w:val="bottom"/>
          </w:tcPr>
          <w:p>
            <w:pPr>
              <w:spacing w:after="0"/>
              <w:rPr>
                <w:sz w:val="1"/>
                <w:szCs w:val="1"/>
                <w:color w:val="auto"/>
              </w:rPr>
            </w:pPr>
          </w:p>
        </w:tc>
      </w:tr>
      <w:tr>
        <w:trPr>
          <w:trHeight w:val="186"/>
        </w:trPr>
        <w:tc>
          <w:tcPr>
            <w:tcW w:w="826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84,615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83,240</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62,517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67,078</w:t>
            </w:r>
          </w:p>
        </w:tc>
        <w:tc>
          <w:tcPr>
            <w:tcW w:w="0" w:type="dxa"/>
            <w:vAlign w:val="bottom"/>
          </w:tcPr>
          <w:p>
            <w:pPr>
              <w:spacing w:after="0"/>
              <w:rPr>
                <w:sz w:val="1"/>
                <w:szCs w:val="1"/>
                <w:color w:val="auto"/>
              </w:rPr>
            </w:pPr>
          </w:p>
        </w:tc>
      </w:tr>
      <w:tr>
        <w:trPr>
          <w:trHeight w:val="186"/>
        </w:trPr>
        <w:tc>
          <w:tcPr>
            <w:tcW w:w="8260" w:type="dxa"/>
            <w:vAlign w:val="bottom"/>
          </w:tcPr>
          <w:p>
            <w:pPr>
              <w:ind w:left="360"/>
              <w:spacing w:after="0"/>
              <w:rPr>
                <w:sz w:val="20"/>
                <w:szCs w:val="20"/>
                <w:color w:val="auto"/>
              </w:rPr>
            </w:pPr>
            <w:r>
              <w:rPr>
                <w:rFonts w:ascii="Arial" w:cs="Arial" w:eastAsia="Arial" w:hAnsi="Arial"/>
                <w:sz w:val="14"/>
                <w:szCs w:val="14"/>
                <w:color w:val="auto"/>
              </w:rPr>
              <w:t>Income tax receivable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8,800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5,973</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assets of discontinued operations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117,000</w:t>
            </w: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11,148</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11,778</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215,218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302,980</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223,690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255,977</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50,264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45,452</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94,779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117,413</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Investment in joint venture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26,983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21,755</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Non-current assets of discontinued operations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695,054</w:t>
            </w: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assets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8,574</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624,962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1,541,984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Preferred Stock,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37,435</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40,973</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salaries, wages and benefits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15,584</w:t>
            </w:r>
          </w:p>
        </w:tc>
        <w:tc>
          <w:tcPr>
            <w:tcW w:w="0" w:type="dxa"/>
            <w:vAlign w:val="bottom"/>
          </w:tcPr>
          <w:p>
            <w:pPr>
              <w:spacing w:after="0"/>
              <w:rPr>
                <w:sz w:val="1"/>
                <w:szCs w:val="1"/>
                <w:color w:val="auto"/>
              </w:rPr>
            </w:pPr>
          </w:p>
        </w:tc>
      </w:tr>
      <w:tr>
        <w:trPr>
          <w:trHeight w:val="186"/>
        </w:trPr>
        <w:tc>
          <w:tcPr>
            <w:tcW w:w="8260" w:type="dxa"/>
            <w:vAlign w:val="bottom"/>
          </w:tcPr>
          <w:p>
            <w:pPr>
              <w:ind w:left="360"/>
              <w:spacing w:after="0"/>
              <w:rPr>
                <w:sz w:val="20"/>
                <w:szCs w:val="20"/>
                <w:color w:val="auto"/>
              </w:rPr>
            </w:pPr>
            <w:r>
              <w:rPr>
                <w:rFonts w:ascii="Arial" w:cs="Arial" w:eastAsia="Arial" w:hAnsi="Arial"/>
                <w:sz w:val="14"/>
                <w:szCs w:val="14"/>
                <w:color w:val="auto"/>
              </w:rPr>
              <w:t>Income tax payable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debt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19,106</w:t>
            </w:r>
          </w:p>
        </w:tc>
        <w:tc>
          <w:tcPr>
            <w:tcW w:w="0" w:type="dxa"/>
            <w:vAlign w:val="bottom"/>
          </w:tcPr>
          <w:p>
            <w:pPr>
              <w:spacing w:after="0"/>
              <w:rPr>
                <w:sz w:val="1"/>
                <w:szCs w:val="1"/>
                <w:color w:val="auto"/>
              </w:rPr>
            </w:pPr>
          </w:p>
        </w:tc>
      </w:tr>
      <w:tr>
        <w:trPr>
          <w:trHeight w:val="186"/>
        </w:trPr>
        <w:tc>
          <w:tcPr>
            <w:tcW w:w="8260" w:type="dxa"/>
            <w:vAlign w:val="bottom"/>
          </w:tcPr>
          <w:p>
            <w:pPr>
              <w:ind w:left="360"/>
              <w:spacing w:after="0"/>
              <w:rPr>
                <w:sz w:val="20"/>
                <w:szCs w:val="20"/>
                <w:color w:val="auto"/>
              </w:rPr>
            </w:pPr>
            <w:r>
              <w:rPr>
                <w:rFonts w:ascii="Arial" w:cs="Arial" w:eastAsia="Arial" w:hAnsi="Arial"/>
                <w:sz w:val="14"/>
                <w:szCs w:val="14"/>
                <w:color w:val="auto"/>
              </w:rPr>
              <w:t>Current portion of operating lease liabilities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4,288</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liabilities of discontinued operations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41,546</w:t>
            </w: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31,261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17,300</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103,231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139,481</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11,178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24,461</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Non-current income tax payable</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Long-term debt, net of current portion</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757,250</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48,575</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Non-current liabilities of discontinued operations</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84,199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17,237</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40,457</w:t>
            </w: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Total liabilities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265,724</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1,095,695</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and contingencies (Note 15)</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140"/>
              <w:spacing w:after="0" w:line="135" w:lineRule="exact"/>
              <w:rPr>
                <w:sz w:val="20"/>
                <w:szCs w:val="20"/>
                <w:color w:val="auto"/>
              </w:rPr>
            </w:pPr>
            <w:r>
              <w:rPr>
                <w:rFonts w:ascii="Arial" w:cs="Arial" w:eastAsia="Arial" w:hAnsi="Arial"/>
                <w:sz w:val="14"/>
                <w:szCs w:val="14"/>
                <w:color w:val="auto"/>
                <w:w w:val="95"/>
              </w:rPr>
              <w:t>Series B convertible preferred stock - $0.01 par value per share, 100 shares authorized, 100 shares issued and outstanding at December</w:t>
            </w: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105,086</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93,012</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31, 2019, and December 31, 2020</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60"/>
              <w:spacing w:after="0" w:line="135" w:lineRule="exact"/>
              <w:rPr>
                <w:sz w:val="20"/>
                <w:szCs w:val="20"/>
                <w:color w:val="auto"/>
              </w:rPr>
            </w:pPr>
            <w:r>
              <w:rPr>
                <w:rFonts w:ascii="Arial" w:cs="Arial" w:eastAsia="Arial" w:hAnsi="Arial"/>
                <w:sz w:val="14"/>
                <w:szCs w:val="14"/>
                <w:color w:val="auto"/>
                <w:w w:val="95"/>
              </w:rPr>
              <w:t>Common stock - $0.01 par value per share, 90,000 shares authorized, 42,313 and 42,686 shares issued and outstanding at December</w:t>
            </w: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86"/>
        </w:trPr>
        <w:tc>
          <w:tcPr>
            <w:tcW w:w="8260" w:type="dxa"/>
            <w:vAlign w:val="bottom"/>
          </w:tcPr>
          <w:p>
            <w:pPr>
              <w:ind w:left="260"/>
              <w:spacing w:after="0"/>
              <w:rPr>
                <w:sz w:val="20"/>
                <w:szCs w:val="20"/>
                <w:color w:val="auto"/>
              </w:rPr>
            </w:pPr>
            <w:r>
              <w:rPr>
                <w:rFonts w:ascii="Arial" w:cs="Arial" w:eastAsia="Arial" w:hAnsi="Arial"/>
                <w:sz w:val="14"/>
                <w:szCs w:val="14"/>
                <w:color w:val="auto"/>
              </w:rPr>
              <w:t>31, 2019, and December 31, 2020, respectively</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493,332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501,615</w:t>
            </w:r>
          </w:p>
        </w:tc>
        <w:tc>
          <w:tcPr>
            <w:tcW w:w="0" w:type="dxa"/>
            <w:vAlign w:val="bottom"/>
          </w:tcPr>
          <w:p>
            <w:pPr>
              <w:spacing w:after="0"/>
              <w:rPr>
                <w:sz w:val="1"/>
                <w:szCs w:val="1"/>
                <w:color w:val="auto"/>
              </w:rPr>
            </w:pPr>
          </w:p>
        </w:tc>
      </w:tr>
      <w:tr>
        <w:trPr>
          <w:trHeight w:val="186"/>
        </w:trPr>
        <w:tc>
          <w:tcPr>
            <w:tcW w:w="8260" w:type="dxa"/>
            <w:vAlign w:val="bottom"/>
          </w:tcPr>
          <w:p>
            <w:pPr>
              <w:ind w:left="260"/>
              <w:spacing w:after="0"/>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(205,875)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(105,283)</w:t>
            </w: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(33,732)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(44,554)</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254,152</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353,277</w:t>
            </w:r>
          </w:p>
        </w:tc>
        <w:tc>
          <w:tcPr>
            <w:tcW w:w="0" w:type="dxa"/>
            <w:vAlign w:val="bottom"/>
          </w:tcPr>
          <w:p>
            <w:pPr>
              <w:spacing w:after="0"/>
              <w:rPr>
                <w:sz w:val="1"/>
                <w:szCs w:val="1"/>
                <w:color w:val="auto"/>
              </w:rPr>
            </w:pP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Total liabilities, preferred stock,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624,962</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1,541,984</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Retained earnings</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60" w:type="dxa"/>
            <w:vAlign w:val="bottom"/>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2017</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292,494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210,265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485,329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(262,987)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(262,987)</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 or accrued for common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(8,803)</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Shares issued</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14,375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217,168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217,312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issued for option exercises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6"/>
              </w:rPr>
              <w:t>Restricted shares and performance shares forgiven for taxes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forfeited</w:t>
            </w: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Change in estimate of share-based award vesting</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Adoption of new accounting standard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42,104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508,655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(58,491)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419,271</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(46,741)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(46,741)</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 or accrued for common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Dividends accrued for preferred stock</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issued for option exercises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Change in estimate of share-based award vesting</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warrants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35"/>
        </w:trPr>
        <w:tc>
          <w:tcPr>
            <w:tcW w:w="3860" w:type="dxa"/>
            <w:vAlign w:val="bottom"/>
          </w:tcPr>
          <w:p>
            <w:pPr>
              <w:ind w:left="220"/>
              <w:spacing w:after="0" w:line="135" w:lineRule="exact"/>
              <w:rPr>
                <w:sz w:val="20"/>
                <w:szCs w:val="20"/>
                <w:color w:val="auto"/>
              </w:rPr>
            </w:pPr>
            <w:r>
              <w:rPr>
                <w:rFonts w:ascii="Arial" w:cs="Arial" w:eastAsia="Arial" w:hAnsi="Arial"/>
                <w:sz w:val="14"/>
                <w:szCs w:val="14"/>
                <w:color w:val="auto"/>
              </w:rPr>
              <w:t>Change in fair value of interest rate swap, net of tax of</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(10,479)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(10,479)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$3,166</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Reclassification of interest rate swap settlement to net loss,</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of tax of $327</w:t>
            </w: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Foreign currency translation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(3,845)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Adoption of new accounting standard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9"/>
        </w:trPr>
        <w:tc>
          <w:tcPr>
            <w:tcW w:w="386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42,313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501,615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(105,283)</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(44,554)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353,277</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(100,592)</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Dividends accrued for preferred stock</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Restricted shares forgiven for taxes</w:t>
            </w:r>
          </w:p>
        </w:tc>
        <w:tc>
          <w:tcPr>
            <w:tcW w:w="8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estimate of share-based award vesting</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Reclassification of warrants to liabilities (Note 21)</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Change in fair value of interest rate swap, net of tax of</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$3,764</w:t>
            </w: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20"/>
              <w:spacing w:after="0" w:line="135" w:lineRule="exact"/>
              <w:rPr>
                <w:sz w:val="20"/>
                <w:szCs w:val="20"/>
                <w:color w:val="auto"/>
              </w:rPr>
            </w:pPr>
            <w:r>
              <w:rPr>
                <w:rFonts w:ascii="Arial" w:cs="Arial" w:eastAsia="Arial" w:hAnsi="Arial"/>
                <w:sz w:val="14"/>
                <w:szCs w:val="14"/>
                <w:color w:val="auto"/>
              </w:rPr>
              <w:t>Reclassification of interest rate swap to net loss, net of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18,987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18,987</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of $5,742</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Sale of discontinued operations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5,961</w:t>
            </w: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493,332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254,152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r>
      <w:tr>
        <w:trPr>
          <w:trHeight w:val="18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r>
      <w:tr>
        <w:trPr>
          <w:trHeight w:val="1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(100,592)</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(46,741)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(262,987)</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8100" w:type="dxa"/>
            <w:vAlign w:val="bottom"/>
          </w:tcPr>
          <w:p>
            <w:pPr>
              <w:ind w:left="480"/>
              <w:spacing w:after="0"/>
              <w:rPr>
                <w:sz w:val="20"/>
                <w:szCs w:val="20"/>
                <w:color w:val="auto"/>
              </w:rPr>
            </w:pPr>
            <w:r>
              <w:rPr>
                <w:rFonts w:ascii="Arial" w:cs="Arial" w:eastAsia="Arial" w:hAnsi="Arial"/>
                <w:sz w:val="14"/>
                <w:szCs w:val="14"/>
                <w:color w:val="auto"/>
              </w:rPr>
              <w:t>Depreciation and amortization of continuing operations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45,680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44,896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43,026</w:t>
            </w:r>
          </w:p>
        </w:tc>
      </w:tr>
      <w:tr>
        <w:trPr>
          <w:trHeight w:val="192"/>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 of discontinued operations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28,102</w:t>
            </w:r>
          </w:p>
        </w:tc>
      </w:tr>
      <w:tr>
        <w:trPr>
          <w:trHeight w:val="186"/>
        </w:trPr>
        <w:tc>
          <w:tcPr>
            <w:tcW w:w="8100" w:type="dxa"/>
            <w:vAlign w:val="bottom"/>
          </w:tcPr>
          <w:p>
            <w:pPr>
              <w:ind w:left="48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4,845</w:t>
            </w:r>
          </w:p>
        </w:tc>
      </w:tr>
      <w:tr>
        <w:trPr>
          <w:trHeight w:val="192"/>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Goodwill impairment of continuing operations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182,542</w:t>
            </w:r>
          </w:p>
        </w:tc>
      </w:tr>
      <w:tr>
        <w:trPr>
          <w:trHeight w:val="186"/>
        </w:trPr>
        <w:tc>
          <w:tcPr>
            <w:tcW w:w="8100" w:type="dxa"/>
            <w:vAlign w:val="bottom"/>
          </w:tcPr>
          <w:p>
            <w:pPr>
              <w:ind w:left="480"/>
              <w:spacing w:after="0"/>
              <w:rPr>
                <w:sz w:val="20"/>
                <w:szCs w:val="20"/>
                <w:color w:val="auto"/>
              </w:rPr>
            </w:pPr>
            <w:r>
              <w:rPr>
                <w:rFonts w:ascii="Arial" w:cs="Arial" w:eastAsia="Arial" w:hAnsi="Arial"/>
                <w:sz w:val="14"/>
                <w:szCs w:val="14"/>
                <w:color w:val="auto"/>
              </w:rPr>
              <w:t>Goodwill impairment of discontinued operations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146,757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impairments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21,825</w:t>
            </w:r>
          </w:p>
        </w:tc>
      </w:tr>
      <w:tr>
        <w:trPr>
          <w:trHeight w:val="186"/>
        </w:trPr>
        <w:tc>
          <w:tcPr>
            <w:tcW w:w="8100" w:type="dxa"/>
            <w:vAlign w:val="bottom"/>
          </w:tcPr>
          <w:p>
            <w:pPr>
              <w:ind w:left="48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19,562</w:t>
            </w:r>
          </w:p>
        </w:tc>
      </w:tr>
      <w:tr>
        <w:trPr>
          <w:trHeight w:val="192"/>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derivative loss, net of cash settlements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00" w:type="dxa"/>
            <w:vAlign w:val="bottom"/>
          </w:tcPr>
          <w:p>
            <w:pPr>
              <w:ind w:left="480"/>
              <w:spacing w:after="0"/>
              <w:rPr>
                <w:sz w:val="20"/>
                <w:szCs w:val="20"/>
                <w:color w:val="auto"/>
              </w:rPr>
            </w:pPr>
            <w:r>
              <w:rPr>
                <w:rFonts w:ascii="Arial" w:cs="Arial" w:eastAsia="Arial" w:hAnsi="Arial"/>
                <w:sz w:val="14"/>
                <w:szCs w:val="14"/>
                <w:color w:val="auto"/>
              </w:rPr>
              <w:t>Share of net income (loss) from joint venture, net of cash dividends received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642</w:t>
            </w:r>
          </w:p>
        </w:tc>
      </w:tr>
      <w:tr>
        <w:trPr>
          <w:trHeight w:val="192"/>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Gain on disposal of discontinued operations, net of tax and cost to sell</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00" w:type="dxa"/>
            <w:vAlign w:val="bottom"/>
          </w:tcPr>
          <w:p>
            <w:pPr>
              <w:ind w:left="480"/>
              <w:spacing w:after="0"/>
              <w:rPr>
                <w:sz w:val="20"/>
                <w:szCs w:val="20"/>
                <w:color w:val="auto"/>
              </w:rPr>
            </w:pPr>
            <w:r>
              <w:rPr>
                <w:rFonts w:ascii="Arial" w:cs="Arial" w:eastAsia="Arial" w:hAnsi="Arial"/>
                <w:sz w:val="14"/>
                <w:szCs w:val="14"/>
                <w:color w:val="auto"/>
              </w:rPr>
              <w:t>Compensation expense from issuance of share-based awards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2,416</w:t>
            </w:r>
          </w:p>
        </w:tc>
      </w:tr>
      <w:tr>
        <w:trPr>
          <w:trHeight w:val="192"/>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(22,402)</w:t>
            </w:r>
          </w:p>
        </w:tc>
      </w:tr>
      <w:tr>
        <w:trPr>
          <w:trHeight w:val="186"/>
        </w:trPr>
        <w:tc>
          <w:tcPr>
            <w:tcW w:w="8100" w:type="dxa"/>
            <w:vAlign w:val="bottom"/>
          </w:tcPr>
          <w:p>
            <w:pPr>
              <w:ind w:left="48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1,290</w:t>
            </w:r>
          </w:p>
        </w:tc>
      </w:tr>
      <w:tr>
        <w:trPr>
          <w:trHeight w:val="192"/>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8100" w:type="dxa"/>
            <w:vAlign w:val="bottom"/>
          </w:tcPr>
          <w:p>
            <w:pPr>
              <w:ind w:left="88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(3,543)</w:t>
            </w:r>
          </w:p>
        </w:tc>
      </w:tr>
      <w:tr>
        <w:trPr>
          <w:trHeight w:val="192"/>
        </w:trPr>
        <w:tc>
          <w:tcPr>
            <w:tcW w:w="81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(16,208)</w:t>
            </w:r>
          </w:p>
        </w:tc>
      </w:tr>
      <w:tr>
        <w:trPr>
          <w:trHeight w:val="186"/>
        </w:trPr>
        <w:tc>
          <w:tcPr>
            <w:tcW w:w="8100" w:type="dxa"/>
            <w:vAlign w:val="bottom"/>
          </w:tcPr>
          <w:p>
            <w:pPr>
              <w:ind w:left="8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2,693</w:t>
            </w:r>
          </w:p>
        </w:tc>
      </w:tr>
      <w:tr>
        <w:trPr>
          <w:trHeight w:val="192"/>
        </w:trPr>
        <w:tc>
          <w:tcPr>
            <w:tcW w:w="81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Income taxes receivable and payable, net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39,615</w:t>
            </w:r>
          </w:p>
        </w:tc>
      </w:tr>
      <w:tr>
        <w:trPr>
          <w:trHeight w:val="186"/>
        </w:trPr>
        <w:tc>
          <w:tcPr>
            <w:tcW w:w="810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r>
      <w:tr>
        <w:trPr>
          <w:trHeight w:val="186"/>
        </w:trPr>
        <w:tc>
          <w:tcPr>
            <w:tcW w:w="81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49,208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40,939</w:t>
            </w:r>
          </w:p>
        </w:tc>
      </w:tr>
      <w:tr>
        <w:trPr>
          <w:trHeight w:val="168"/>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plant and equipment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(64,036)</w:t>
            </w: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Proceeds from liquidation of short-term investment</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business, net of cash sold</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743,178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Cash paid to acquire businesses, net of cash received</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(399,009)</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property, plant, and equipment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Cash settlements of interest rate swap</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179"/>
        </w:trPr>
        <w:tc>
          <w:tcPr>
            <w:tcW w:w="810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719,284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(461,290)</w:t>
            </w: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Cash paid for debt issuance costs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(20,726)</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(8,826)</w:t>
            </w: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217,312</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preferred stock</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Proceeds from long-term debt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66,195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54,209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311,841</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long-term debt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(776,331)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(290,687)</w:t>
            </w: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Proceeds from (repayments of) short-term debt, net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10,305</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w:t>
            </w:r>
          </w:p>
        </w:tc>
      </w:tr>
      <w:tr>
        <w:trPr>
          <w:trHeight w:val="179"/>
        </w:trPr>
        <w:tc>
          <w:tcPr>
            <w:tcW w:w="810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(714,854)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215,093</w:t>
            </w:r>
          </w:p>
        </w:tc>
      </w:tr>
      <w:tr>
        <w:trPr>
          <w:trHeight w:val="186"/>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exchange rate changes on cash flows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(206,458)</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 at beginning of period (1)</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31,703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224,446</w:t>
            </w:r>
          </w:p>
        </w:tc>
      </w:tr>
      <w:tr>
        <w:trPr>
          <w:trHeight w:val="179"/>
        </w:trPr>
        <w:tc>
          <w:tcPr>
            <w:tcW w:w="8100" w:type="dxa"/>
            <w:vAlign w:val="bottom"/>
          </w:tcPr>
          <w:p>
            <w:pPr>
              <w:ind w:left="140"/>
              <w:spacing w:after="0"/>
              <w:rPr>
                <w:sz w:val="20"/>
                <w:szCs w:val="20"/>
                <w:color w:val="auto"/>
              </w:rPr>
            </w:pPr>
            <w:r>
              <w:rPr>
                <w:rFonts w:ascii="Arial" w:cs="Arial" w:eastAsia="Arial" w:hAnsi="Arial"/>
                <w:sz w:val="14"/>
                <w:szCs w:val="14"/>
                <w:color w:val="auto"/>
              </w:rPr>
              <w:t>Cash and cash equivalents at end of period (1)</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48,138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9"/>
        </w:trPr>
        <w:tc>
          <w:tcPr>
            <w:tcW w:w="81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Supplemental schedule of non-cash operating, investing and financing activities: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Non-cash additions to property, plant and equipment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23,281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26,605</w:t>
            </w: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Restructuring charges in other current and non-current liabilities</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w:t>
            </w:r>
          </w:p>
        </w:tc>
      </w:tr>
      <w:tr>
        <w:trPr>
          <w:trHeight w:val="188"/>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56,223</w:t>
            </w:r>
          </w:p>
        </w:tc>
      </w:tr>
      <w:tr>
        <w:trPr>
          <w:trHeight w:val="182"/>
        </w:trPr>
        <w:tc>
          <w:tcPr>
            <w:tcW w:w="8100" w:type="dxa"/>
            <w:vAlign w:val="bottom"/>
          </w:tcPr>
          <w:p>
            <w:pPr>
              <w:ind w:left="140"/>
              <w:spacing w:after="0"/>
              <w:rPr>
                <w:sz w:val="20"/>
                <w:szCs w:val="20"/>
                <w:color w:val="auto"/>
              </w:rPr>
            </w:pPr>
            <w:r>
              <w:rPr>
                <w:rFonts w:ascii="Arial" w:cs="Arial" w:eastAsia="Arial" w:hAnsi="Arial"/>
                <w:sz w:val="14"/>
                <w:szCs w:val="14"/>
                <w:color w:val="auto"/>
              </w:rPr>
              <w:t>Cash paid (received) for income taxes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(32,582)</w:t>
            </w: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w:t>
      </w:r>
    </w:p>
    <w:p>
      <w:pPr>
        <w:spacing w:after="0" w:line="40" w:lineRule="exact"/>
        <w:rPr>
          <w:sz w:val="20"/>
          <w:szCs w:val="20"/>
          <w:color w:val="auto"/>
        </w:rPr>
      </w:pPr>
    </w:p>
    <w:p>
      <w:pPr>
        <w:ind w:left="900" w:right="100" w:hanging="244"/>
        <w:spacing w:after="0" w:line="273" w:lineRule="auto"/>
        <w:tabs>
          <w:tab w:leader="none" w:pos="861"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and cash equivalents include $13.8 million, $10.2 million, and $0.2 million of cash and cash equivalents that were included in current assets of discontinued operations as of December 31, 2019; December 31, 2018; and December 31, 2017, respectively.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and defense, and medical markets. As used in this Annual Report on Form 10-K (this “Annual Report”), the terms “NN,” the “Company,” “we,” “our,” or “us” refer to NN, Inc., and its subsidiaries. We have 32 facilities in North America, Europe, South America, and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(“U.S. GAAP”). Certain prior period amounts have been reclassified to conform to the current year’s presentation. Historical periods presented reflect reclassifications for discontinued operations (see Note 2). Except for per share data or as otherwise indicated, all U.S. dollar amounts presented in the tables in these Notes to Consolidated Financial Statements are in thousands.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July 2020, we amended our Credit Agreement to waive compliance with our Consolidated Net Leverage Ratio (the “financial leverage ratio”) covenant for the second and third quarters of 2020. During this period, we were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outstanding under our credit facility to become immediately due and payable and would have a material, adverse impact on our financial position.</w:t>
      </w:r>
    </w:p>
    <w:p>
      <w:pPr>
        <w:spacing w:after="0" w:line="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August 2020, we entered into an agreement to sell our Life Sciences business (see Note 2). The sale closed on October 6, 2020, at which time we received cash proceeds of $757.2 million. We immediately prepaid $700.0 million in the aggregate on the Senior Secured Term Loan and the Incremental Term Loan. We also paid in full the outstanding balance on the Senior Secured Revolver. Additionally, in August 2020, we amended our Credit Agreement to obtain the lenders’ consent to the sale of the Life Sciences business, subject to certain terms and conditions.</w:t>
      </w:r>
    </w:p>
    <w:p>
      <w:pPr>
        <w:spacing w:after="0" w:line="6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full extent of the effect of the COVID-19 pandemic on our customers, our supply chain, and our business cannot be reasonably assessed at this time. We have developed a plan to mitigate the impact of COVID-19, which includes the implementation of a series of specific and identified cost reductions in both our corporate and business groups, in addition to actions already taken, including further reducing our direct and indirect labor costs and benefits. The impact of COVID-19 on our operating results will depend on future developments, which are highly uncertain and cannot be predicted, including governmental and business reactions to the pandemic. We have made appropriate accounting estimates based on the facts and circumstances available as of the reporting date. If there are differences between these estimates and actual results, our consolidated financial statements may be materially affected.</w:t>
      </w:r>
    </w:p>
    <w:p>
      <w:pPr>
        <w:spacing w:after="0" w:line="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accordance with Accounting Standards Update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205-40), </w:t>
      </w:r>
      <w:r>
        <w:rPr>
          <w:rFonts w:ascii="Arial" w:cs="Arial" w:eastAsia="Arial" w:hAnsi="Arial"/>
          <w:sz w:val="18"/>
          <w:szCs w:val="18"/>
          <w:color w:val="auto"/>
        </w:rPr>
        <w:t>we have evaluated whether there are conditions and events, considered in the aggregate, that raise substantial doubt about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as a going concern within one year after the date that the Consolidated Financial Statements are issued. We rely on cash flow generated from operations and available borrowings under our Senior Secured Revolver to fund our working capital and other operating and investing needs. Our ability to borrow under our Senior Secured Revolver is based on our continued compliance with the minimum liquidity requirements and, for periods beginning in the fourth quarter of 2020, the financial leverage ratio covenant, as defined, which became more restrictive upon the occurrence of a qualified sale transaction, which closed on October 6, 2020.</w:t>
      </w:r>
    </w:p>
    <w:p>
      <w:pPr>
        <w:spacing w:after="0" w:line="8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Based on available borrowing capacity of the Senior Secured Revolver, the reduction in debt service costs as a result of the debt prepayment with net proceeds from the sale of the Life Sciences business in October 2020, and cash flows expected to be generated from operations and investing activities, we anticipate that our cash and cash equivalents are sufficient to support our operations and meet our obligations, and that we will be able to maintain compliance with the existing financial leverage ratio covenant for the next twelve months from issuance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Our consolidated financial statements include the accounts of NN, Inc., and its wholly owned subsidiaries. We own a 49% interest in a joint venture which we account for using the equity method (see Note 10). All intercompany transactions and balances have been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Consolidated Financial Statements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In June 2016, the Financial Accounting Standards Board (the “FASB”) issued ASU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2016-13”), which modifies the measurement of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on certain financial instruments and the timing of when such losses are recorded. In November 2019, the SEC issued Staff Accounting Bulletin (“SAB”) No. 119, codified in Accounting Standards Codification (“ASC”)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which provides guidance on accounting of credit losses. We adopted ASU 2016-13 on January 1, 2020, using the modified retrospective transition method, which resulted in no material impact on our consolidated financial statements.</w:t>
      </w:r>
    </w:p>
    <w:p>
      <w:pPr>
        <w:spacing w:after="0" w:line="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Fair Value Disclosures. </w:t>
      </w: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xml:space="preserve"> Fair Value Measurement (Topic 820): Disclosure Framework - Changes to the Disclosure Requirements for Fair Value Measurement </w:t>
      </w:r>
      <w:r>
        <w:rPr>
          <w:rFonts w:ascii="Arial" w:cs="Arial" w:eastAsia="Arial" w:hAnsi="Arial"/>
          <w:sz w:val="18"/>
          <w:szCs w:val="18"/>
          <w:color w:val="auto"/>
        </w:rPr>
        <w:t>(“ASU 2018-13”)</w:t>
      </w:r>
      <w:r>
        <w:rPr>
          <w:rFonts w:ascii="Arial" w:cs="Arial" w:eastAsia="Arial" w:hAnsi="Arial"/>
          <w:sz w:val="18"/>
          <w:szCs w:val="18"/>
          <w:i w:val="1"/>
          <w:iCs w:val="1"/>
          <w:color w:val="auto"/>
        </w:rPr>
        <w:t xml:space="preserve">, </w:t>
      </w:r>
      <w:r>
        <w:rPr>
          <w:rFonts w:ascii="Arial" w:cs="Arial" w:eastAsia="Arial" w:hAnsi="Arial"/>
          <w:sz w:val="18"/>
          <w:szCs w:val="18"/>
          <w:color w:val="auto"/>
        </w:rPr>
        <w:t>that modifies fair value disclosure requirements. The new guidance streamlines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Level 3 fair value measurements. The modified disclosures were effective for us beginning in the first quarter of 2020. ASU 2018-13 changes disclosures only and does not impact our consolidated financial statements.</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Internal-Use Software. </w:t>
      </w:r>
      <w:r>
        <w:rPr>
          <w:rFonts w:ascii="Arial" w:cs="Arial" w:eastAsia="Arial" w:hAnsi="Arial"/>
          <w:sz w:val="16"/>
          <w:szCs w:val="16"/>
          <w:color w:val="auto"/>
        </w:rPr>
        <w:t>In August 2018, the FASB issued ASU 2018-15,</w:t>
      </w:r>
      <w:r>
        <w:rPr>
          <w:rFonts w:ascii="Arial" w:cs="Arial" w:eastAsia="Arial" w:hAnsi="Arial"/>
          <w:sz w:val="16"/>
          <w:szCs w:val="16"/>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Arial" w:cs="Arial" w:eastAsia="Arial" w:hAnsi="Arial"/>
          <w:sz w:val="16"/>
          <w:szCs w:val="16"/>
          <w:color w:val="auto"/>
        </w:rPr>
        <w:t>(“ASU 2018-15”)</w:t>
      </w:r>
      <w:r>
        <w:rPr>
          <w:rFonts w:ascii="Arial" w:cs="Arial" w:eastAsia="Arial" w:hAnsi="Arial"/>
          <w:sz w:val="16"/>
          <w:szCs w:val="16"/>
          <w:i w:val="1"/>
          <w:iCs w:val="1"/>
          <w:color w:val="auto"/>
        </w:rPr>
        <w:t>,</w:t>
      </w:r>
      <w:r>
        <w:rPr>
          <w:rFonts w:ascii="Arial" w:cs="Arial" w:eastAsia="Arial" w:hAnsi="Arial"/>
          <w:sz w:val="16"/>
          <w:szCs w:val="16"/>
          <w:color w:val="auto"/>
        </w:rPr>
        <w:t xml:space="preserve"> that provides guidance on a customer’s accounting for implementation, set-up, and other upfront costs incurred in a cloud computing arrangement that is hosted by the vendor. Under the new guidance, customers apply the same criteria for capitalizing implementation costs as they would for an arrangement that has a software license. We adopted ASU 2018-15 as of January 1, 2020, prospectively. We have had no such costs after the adoption date, and we do not expect the new guidance to have a material impact on our consolidated financial statements.</w:t>
      </w:r>
    </w:p>
    <w:p>
      <w:pPr>
        <w:spacing w:after="0" w:line="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In March 2020, the FASB issued ASU 2020-04,</w:t>
      </w:r>
      <w:r>
        <w:rPr>
          <w:rFonts w:ascii="Arial" w:cs="Arial" w:eastAsia="Arial" w:hAnsi="Arial"/>
          <w:sz w:val="17"/>
          <w:szCs w:val="17"/>
          <w:i w:val="1"/>
          <w:iCs w:val="1"/>
          <w:color w:val="auto"/>
        </w:rPr>
        <w:t xml:space="preserve"> Reference Rate Reform (Topic 848), Facilitation of the Effects of Reference Rate Reform on Financial Reporting, </w:t>
      </w:r>
      <w:r>
        <w:rPr>
          <w:rFonts w:ascii="Arial" w:cs="Arial" w:eastAsia="Arial" w:hAnsi="Arial"/>
          <w:sz w:val="17"/>
          <w:szCs w:val="17"/>
          <w:color w:val="auto"/>
        </w:rPr>
        <w:t>which provides temporary optional expedients and exceptions for applying U.S. GAAP to contracts, hedging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transactions that reference the London Interbank Offered Rate (“LIBOR”) or another reference rate expected to be discontinued because of reference rate reform. Among other things, for all types of hedging relationships, the guidance allows an entity to change the reference rate and other critical terms related to reference rate reform without having to remeasure the value or reassess a previous accounting determination. The amendments in this guidance should be applied on a prospective basis and, for companies with a fiscal year ending December 31, are effective from January 1, 2020, through December 31, 2022. We adopted this guidance effective January 1, 2020. When the transition occurs, we expect to apply this expedient to new transactions that reference LIBOR or another reference rate that is discontinued, through December 31, 2022. The adoption of this ASU is not expected to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 Simplifying the Accounting for Income Taxes,</w:t>
      </w:r>
      <w:r>
        <w:rPr>
          <w:rFonts w:ascii="Arial" w:cs="Arial" w:eastAsia="Arial" w:hAnsi="Arial"/>
          <w:sz w:val="16"/>
          <w:szCs w:val="16"/>
          <w:color w:val="auto"/>
        </w:rPr>
        <w:t xml:space="preserve"> (“ASU 2019-12”) as part of its initiative to reduce complexity in accounting standards. ASU 2019-12 removes certain exceptions and provides simplification to specific tax items to improve consistent application. This standard is effective for fiscal years beginning after December 15, 2020, and interim periods within those fiscal years. Early adoption is permitted, including adoption in any interim period for which consolidated financial statements have not yet been issued. Adoption methods vary based on the specific items impacted. We are currently evaluating the impact on our consolidated financial statements and related disclosures.</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ASU 2020-06 is effective for fiscal years beginning after December 15, 2021, and interim periods within those fiscal years. Early adoption is permitted for fiscal years beginning after December 15, 2020, and interim periods within those fiscal years. Either the full or modified retrospective adoption method is allowed. We are currently evaluating the impact on our consolidated financial statements and related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 We maintain cash balances in transaction accounts with various financial institutions that are insured by the Federal Deposit Insurance Corporation (“FDIC”). Although we maintain balances that exceed the federally insured limit, we have not experienced any losses related to these balances, and we believe credit risk to be minimal. We had approximately $17.0 million and $12.7 million in cash and cash equivalents as of December 31, 2020 and 2019, respectively, held at foreign financial institutions.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Trade accounts receivable are recorded at their net realizable value. We maintain allowances for estimated losses resulting from the inability of our customers to make required payments. The allowances are based on the amount that we ultimately expect to collect from our customers. We evaluate the collectability of accounts receivable based on a combination of factors including number of days receivables are past due, historical collection experience, current market conditions, and forecasted direction of economic and business environment. Accounts receivable are written off at the time a customer receivable is deemed uncollectible.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improvements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Depreciation is calculated based on historical cost using the straight-line method over the estimated useful lives of the depreciable assets. Estimated useful lives for buildings and land improvements generally range from 10 to 40 years. Estimated useful lives for machinery and equipment generally range from 3 to 12 years. Estimated useful lives for leasehold improvements are based on the life of the lease.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Goodwill is tested for impairment on an annual basis in the fourth quarter and between annual tests if a triggering event occurs. The impairment analysis is performed at the reporting unit level. An impairment charge is calculated based on a reporting unit’s carrying amount in excess of its fair value (i.e., step 1 of the two-step impairment test). If the carrying value of the reporting unit including goodwill is less than fair value of the reporting unit, the goodwill is not considered impaired.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not recoverable, then the asset is considered impaired and adjusted to fair value which is then depreciated or amortized over its remaining useful life. Assets to be disposed of are recorded at the lesser of carrying value or fair value less costs of disposal.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equity method investment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we would write down the investment to its estimated fair market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treat global intangible low-taxed income (“GILTI”) as a periodic charge in the year in which it arises and therefore do not record deferred taxes for basis differences associated with GILTI. We eliminate disproportionate tax effects from accumulated other comprehensive income (loss) when the circumstances upon which they are premised cease to exist.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recognize revenues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cost of stock options, restricted stock, and performance share units is recognized as compensation expense over the vesting periods based on the grant date fair value, net of expected forfeitures. We determine grant date fair value using the Black Scholes financial pricing model for stock options and a Monte Carlo simulation for performance share units that include a market condition for vesting because these awards are not traded in open markets. We determine grant date fair value using the closing price of our common stock on the date of grant for restricted stock and performance share units that include performance conditions for vesting.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Preferred Stock Dividends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Dividends are recorded as a reduction to retained earnings. When we have an accumulated deficit, dividends are recorded as a reduction of additional paid-in capital.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(loss)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as incurred in either cost of sales or selling, general and administrative expense in the Consolidated Statements of Operations and Comprehensive Income (Loss) and were immaterial to the years ended December 31, 2020, 2019, and 2018. Transaction gains or losses on intercompany loan transactions are recognized as incurred in the “Other expense (income), net” line in the Consolidated Statements of Operations and Comprehensive Income (Loss). For the years ended December 31, 2020, 2019, and 2018, transaction gains or losses on intercompany loan transactions were $0.8 million, $0.4 million, and $3.6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required to allocate earnings or losses for a reporting period to common stockholders and participating securities using the two-class method to compute earnings per share. The two-class method is an earnings allocation formula that treats participating securities as having rights to earnings that otherwise would have been available to common stockholders. Participating securities may participate in undistributed earnings with common stock whether or not that participation is conditioned upon the occurrence of a specified event. Under the two-class method, our net income (loss) is reduced (or increased) by the amount that has been or will be distributed to our participating security holders. Preferred shares are participating securities that participate in earnings but do not participate in losses.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Basic net income (loss) per common share is computed by dividing net income (loss) allocable to common shares by the weighted average number of common shares outstanding. Diluted net income (loss) per common share includes the effect of warrants, convertible preferred stock, stock options and the respective tax benefits unless inclusion would not be 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allocate the total purchase price of tangible and intangible assets acquired and liabilities assumed based on their estimated fair values as of the business combination date, with the excess purchase price recorded as goodwill. The purchase price allocation process requires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Our assumptions and estimates are also partially based on valuation models that incorporate projections of expected future cash flows and operating plans and are inherently uncertain. Valuations are performed by management or third-party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relief from royalty and excess earnings model), the market approach, or the replacement cost approach.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1"/>
          <w:szCs w:val="11"/>
          <w:color w:val="auto"/>
        </w:rPr>
      </w:pPr>
      <w:r>
        <w:rPr>
          <w:rFonts w:ascii="Arial" w:cs="Arial" w:eastAsia="Arial" w:hAnsi="Arial"/>
          <w:sz w:val="18"/>
          <w:szCs w:val="18"/>
          <w:color w:val="auto"/>
        </w:rPr>
        <w:t>sales volume, pricing, and future cash flows of the business overall;</w:t>
      </w:r>
    </w:p>
    <w:p>
      <w:pPr>
        <w:spacing w:after="0" w:line="117" w:lineRule="exact"/>
        <w:rPr>
          <w:rFonts w:ascii="Arial" w:cs="Arial" w:eastAsia="Arial" w:hAnsi="Arial"/>
          <w:sz w:val="11"/>
          <w:szCs w:val="11"/>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the combined company’s product portfolio;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Different assumptions regarding projected performance and other factors associated with the acquired assets may affect the amount recorded under each type of asset and liability. The valuations of property, plant and equipment, intangible assets, goodwill and deferred income tax liabilities depend heavily on assumptions. Subsequent assessment could result in future impairment charges. We refine these estimates over a measurement period not to exceed one year to reflect new information obtained surrounding facts and circumstances existing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2020, we entered into a Stock Purchase Agreement (the “SPA”) with affiliates of American Securities LLC for the sale of our Life Sciences business for an aggregate purchase price of up to $825 million, which includes a $755 million cash base purchase price and a potential earnout payment of up to $70 million. The cash base purchase price was subject to certain adjustments and was payable at the closing of the transaction, which occurred on October 6, 2020. The earnout payment is subject to the performance of the Life Sciences business during the year ending December 31, 2022, measured by Adjusted EBITDA targets, as defined by the SPA. The Life Sciences business includes facilities that are engaged in the production of a variety of components, assemblies, and instruments, such as surgical knives, bioresorbable implants, surgical staples, cases and trays, orthopaedic implants and tools, laparoscopic devices, and drug delivery devices for the orthopaedics and medical/surgical end markets. The sale of the Life Sciences business furthers management’s strategy to improve liquidity and creates the financial flexibility to pursue key growth areas in the Mobile Solutions and Power Solutions segments.</w:t>
      </w:r>
    </w:p>
    <w:p>
      <w:pPr>
        <w:spacing w:after="0" w:line="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After working capital and other closing adjustments, the final cash purchase price was approximately $753.3 million. We received cash proceeds at closing of $757.2 million and recorded a $3.9 million payable at December 31, 2020, for the balance. We prepaid $700.0 million in the aggregate on the Senior Secured Term Loan and the Incremental Term Loan immediately following the sale. We also paid in full the outstanding balance on the Senior Secured Revolver. We recognized a gain on sale of $214.9 million, net of income taxes. Under the terms of a transition services agreement, we are providing certain support services for up to 180 days from the closing date of the sale. In accordance with the terms of the SPA, we agreed to indemnify the buyer for certain tax liabilities on its consolidated federal income tax return related to the Life Sciences business during the portion of the year ended December 31, 2020, prior to the change in ownership on October 6, 2020. We estimate that the tax indemnification will result in a payment of approximately $1.2 million to the buyer during the year ending December 31, 2021, and we have recorded this estimated obligation in the “Other current liabilities” line item on the Consolidated Balance Sheets at December 31, 2020.</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accordance with ASC 205-20,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the Life Sciences business are classified as discontinued operations. The presentation of discontinued operations includes revenues and expenses of the discontinued operations and will also include any gain on the disposition of the business, all net of tax, as one line item on the Consolidated Statements of Operations and Comprehensive Income (Loss). The Consolidated Statements of Operations and Comprehensive Income (Loss) for all periods presented have been revised to reflect this presentation. Accordingly, the results of the Life Sciences business have been excluded from continuing operations and segment results for all periods presented in the consolidated financial statements and the accompanying notes unless otherwise stated. The Consolidated Statements of Cash Flows include cash flows of the Life Sciences business in each line item unless otherwise stated.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of the discontinued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r>
      <w:tr>
        <w:trPr>
          <w:trHeight w:val="18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225,255</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357,937</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246,463</w:t>
            </w:r>
          </w:p>
        </w:tc>
      </w:tr>
      <w:tr>
        <w:trPr>
          <w:trHeight w:val="186"/>
        </w:trPr>
        <w:tc>
          <w:tcPr>
            <w:tcW w:w="7600" w:type="dxa"/>
            <w:vAlign w:val="bottom"/>
          </w:tcPr>
          <w:p>
            <w:pPr>
              <w:ind w:left="2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160,464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249,157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175,787</w:t>
            </w:r>
          </w:p>
        </w:tc>
      </w:tr>
      <w:tr>
        <w:trPr>
          <w:trHeight w:val="19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34,328</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20,927</w:t>
            </w:r>
          </w:p>
        </w:tc>
      </w:tr>
      <w:tr>
        <w:trPr>
          <w:trHeight w:val="186"/>
        </w:trPr>
        <w:tc>
          <w:tcPr>
            <w:tcW w:w="7600" w:type="dxa"/>
            <w:vAlign w:val="bottom"/>
          </w:tcPr>
          <w:p>
            <w:pPr>
              <w:ind w:left="20"/>
              <w:spacing w:after="0"/>
              <w:rPr>
                <w:sz w:val="20"/>
                <w:szCs w:val="20"/>
                <w:color w:val="auto"/>
              </w:rPr>
            </w:pPr>
            <w:r>
              <w:rPr>
                <w:rFonts w:ascii="Arial" w:cs="Arial" w:eastAsia="Arial" w:hAnsi="Arial"/>
                <w:sz w:val="14"/>
                <w:szCs w:val="14"/>
                <w:color w:val="auto"/>
              </w:rPr>
              <w:t>Acquisition related costs excluded from selling, general and administrative expense</w:t>
            </w:r>
          </w:p>
        </w:tc>
        <w:tc>
          <w:tcPr>
            <w:tcW w:w="24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5,763</w:t>
            </w:r>
          </w:p>
        </w:tc>
      </w:tr>
      <w:tr>
        <w:trPr>
          <w:trHeight w:val="19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46,950</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28,102</w:t>
            </w:r>
          </w:p>
        </w:tc>
      </w:tr>
      <w:tr>
        <w:trPr>
          <w:trHeight w:val="186"/>
        </w:trPr>
        <w:tc>
          <w:tcPr>
            <w:tcW w:w="7600" w:type="dxa"/>
            <w:vAlign w:val="bottom"/>
          </w:tcPr>
          <w:p>
            <w:pPr>
              <w:ind w:left="20"/>
              <w:spacing w:after="0"/>
              <w:rPr>
                <w:sz w:val="20"/>
                <w:szCs w:val="20"/>
                <w:color w:val="auto"/>
              </w:rPr>
            </w:pPr>
            <w:r>
              <w:rPr>
                <w:rFonts w:ascii="Arial" w:cs="Arial" w:eastAsia="Arial" w:hAnsi="Arial"/>
                <w:sz w:val="14"/>
                <w:szCs w:val="14"/>
                <w:color w:val="auto"/>
              </w:rPr>
              <w:t>Restructuring and integration expense, net</w:t>
            </w:r>
          </w:p>
        </w:tc>
        <w:tc>
          <w:tcPr>
            <w:tcW w:w="24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1,438</w:t>
            </w:r>
          </w:p>
        </w:tc>
      </w:tr>
      <w:tr>
        <w:trPr>
          <w:trHeight w:val="19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impairment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146,757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operating expense (income), net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(138,517)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27,482</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15,183</w:t>
            </w:r>
          </w:p>
        </w:tc>
      </w:tr>
      <w:tr>
        <w:trPr>
          <w:trHeight w:val="186"/>
        </w:trPr>
        <w:tc>
          <w:tcPr>
            <w:tcW w:w="76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48,893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44,125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49,928</w:t>
            </w:r>
          </w:p>
        </w:tc>
      </w:tr>
      <w:tr>
        <w:trPr>
          <w:trHeight w:val="19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2,753</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19,562</w:t>
            </w:r>
          </w:p>
        </w:tc>
      </w:tr>
      <w:tr>
        <w:trPr>
          <w:trHeight w:val="18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before costs of disposal and benefit for income taxes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(188,476)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(19,574)</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(53,632)</w:t>
            </w:r>
          </w:p>
        </w:tc>
      </w:tr>
      <w:tr>
        <w:trPr>
          <w:trHeight w:val="18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for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12,468</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3,582</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11,865</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before gain on disposal</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(176,008)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(15,992)</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(41,767)</w:t>
            </w:r>
          </w:p>
        </w:tc>
      </w:tr>
      <w:tr>
        <w:trPr>
          <w:trHeight w:val="186"/>
        </w:trPr>
        <w:tc>
          <w:tcPr>
            <w:tcW w:w="7600" w:type="dxa"/>
            <w:vAlign w:val="bottom"/>
          </w:tcPr>
          <w:p>
            <w:pPr>
              <w:ind w:left="20"/>
              <w:spacing w:after="0"/>
              <w:rPr>
                <w:sz w:val="20"/>
                <w:szCs w:val="20"/>
                <w:color w:val="auto"/>
              </w:rPr>
            </w:pPr>
            <w:r>
              <w:rPr>
                <w:rFonts w:ascii="Arial" w:cs="Arial" w:eastAsia="Arial" w:hAnsi="Arial"/>
                <w:sz w:val="14"/>
                <w:szCs w:val="14"/>
                <w:color w:val="auto"/>
              </w:rPr>
              <w:t>Gain on disposal of discontinued operations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212,319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for income taxes on gain on disposal</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00" w:type="dxa"/>
            <w:vAlign w:val="bottom"/>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38,898</w:t>
            </w:r>
          </w:p>
        </w:tc>
        <w:tc>
          <w:tcPr>
            <w:tcW w:w="2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(15,992)</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(41,767)</w:t>
            </w:r>
          </w:p>
        </w:tc>
      </w:tr>
      <w:tr>
        <w:trPr>
          <w:trHeight w:val="24"/>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impairment analysis as of March 31, 2020. The carrying value of the Life Sciences reporting unit exceeded its estimated fair value as of March 31, 2020. As a result of our analysis, we recorded an impairment loss on goodwill of $146.8 million for Life Sciences. The judgments, assumptions, and estimates involved in the goodwill impairment analysis for the Life Sciences reporting unit are consistent with those discussed in Note 8.</w:t>
      </w:r>
    </w:p>
    <w:p>
      <w:pPr>
        <w:spacing w:after="0" w:line="11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Our credit facility required us to use proceeds from the sale of the Life Sciences business to prepay a portion of our existing debt. We paid $700 million in the aggregate on our term loans as described in Note 12. The prepayment was applied to debt in accordance with the prepayment provisions of the Credit</w:t>
      </w:r>
    </w:p>
    <w:p>
      <w:pPr>
        <w:ind w:right="80"/>
        <w:spacing w:after="0" w:line="258" w:lineRule="auto"/>
        <w:rPr>
          <w:sz w:val="20"/>
          <w:szCs w:val="20"/>
          <w:color w:val="auto"/>
        </w:rPr>
      </w:pPr>
      <w:r>
        <w:rPr>
          <w:rFonts w:ascii="Arial" w:cs="Arial" w:eastAsia="Arial" w:hAnsi="Arial"/>
          <w:sz w:val="17"/>
          <w:szCs w:val="17"/>
          <w:color w:val="auto"/>
        </w:rPr>
        <w:t>Agreement immediately after the transaction closed on October 6, 2020. Average quarterly interest rates were multiplied by the required prepayment amounts to calculate interest expense to be reclassified to discontinued operations for all periods presented. Write-offs of credit facility debt issuance costs were allocated to discontinued operations by multiplying the ratio of the required prepayment amounts as a percentage of total outstanding principal by the total write-off charges in each period. Write-offs of credit facility debt issuance costs that have been allocated to discontinued operations are presented in the “Loss on extinguishment of debt and write-off of debt issuance costs” line the table above. The following table summarizes the amount of interest expense related to the credit facility that has been reclassified to discontinued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46,406</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13,990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3,571</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Total interest expense of discontinued operations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44,125</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49,928</w:t>
            </w:r>
          </w:p>
        </w:tc>
      </w:tr>
      <w:tr>
        <w:trPr>
          <w:trHeight w:val="21"/>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carrying amounts of major classes of assets and liabilities of discontinued operations for each of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December 31, 2019</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48,318</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51,644</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4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3,246</w:t>
            </w:r>
          </w:p>
        </w:tc>
      </w:tr>
      <w:tr>
        <w:trPr>
          <w:trHeight w:val="223"/>
        </w:trPr>
        <w:tc>
          <w:tcPr>
            <w:tcW w:w="7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assets of discontinued operations</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117,000</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118,536</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20,044</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344,316</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211,847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4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3"/>
        </w:trPr>
        <w:tc>
          <w:tcPr>
            <w:tcW w:w="7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non-current assets of discontinued operations</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695,054</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assets of discontinued operations</w:t>
            </w:r>
          </w:p>
        </w:tc>
        <w:tc>
          <w:tcPr>
            <w:tcW w:w="1440" w:type="dxa"/>
            <w:vAlign w:val="bottom"/>
            <w:tcBorders>
              <w:bottom w:val="single" w:sz="8" w:color="auto"/>
            </w:tcBorders>
          </w:tcPr>
          <w:p>
            <w:pPr>
              <w:jc w:val="right"/>
              <w:ind w:right="125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812,054</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40" w:type="dxa"/>
            <w:vAlign w:val="bottom"/>
          </w:tcPr>
          <w:p>
            <w:pPr>
              <w:jc w:val="right"/>
              <w:ind w:right="125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16,367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benefits</w:t>
            </w:r>
          </w:p>
        </w:tc>
        <w:tc>
          <w:tcPr>
            <w:tcW w:w="14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144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4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4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7,627</w:t>
            </w:r>
          </w:p>
        </w:tc>
      </w:tr>
      <w:tr>
        <w:trPr>
          <w:trHeight w:val="223"/>
        </w:trPr>
        <w:tc>
          <w:tcPr>
            <w:tcW w:w="7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liabilities of discontinued operations</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41,546</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61,338</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44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4,456</w:t>
            </w:r>
          </w:p>
        </w:tc>
      </w:tr>
      <w:tr>
        <w:trPr>
          <w:trHeight w:val="223"/>
        </w:trPr>
        <w:tc>
          <w:tcPr>
            <w:tcW w:w="7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non-current liabilities of discontinued operations</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84,199</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liabilities of discontinued operations</w:t>
            </w:r>
          </w:p>
        </w:tc>
        <w:tc>
          <w:tcPr>
            <w:tcW w:w="1440" w:type="dxa"/>
            <w:vAlign w:val="bottom"/>
            <w:tcBorders>
              <w:bottom w:val="single" w:sz="8" w:color="auto"/>
            </w:tcBorders>
          </w:tcPr>
          <w:p>
            <w:pPr>
              <w:jc w:val="right"/>
              <w:ind w:right="125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125,745</w:t>
            </w:r>
          </w:p>
        </w:tc>
      </w:tr>
      <w:tr>
        <w:trPr>
          <w:trHeight w:val="20"/>
        </w:trPr>
        <w:tc>
          <w:tcPr>
            <w:tcW w:w="7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cash paid for capital expenditures of discontinued operations for each period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16"/>
                <w:szCs w:val="16"/>
                <w:color w:val="auto"/>
              </w:rPr>
            </w:pPr>
          </w:p>
        </w:tc>
      </w:tr>
      <w:tr>
        <w:trPr>
          <w:trHeight w:val="187"/>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28,102</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146,757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19,562</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Includes new leases, renewals, and modifications after the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Inc.</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Inc. (“Paragon Medical”). For accounting purposes, Paragon Medical met the definition of a business and was accounted for as a business combination. Paragon Medical is a medical device manufacturer which focuses on the orthopaedic, case and tray, implant, and instrument markets. We finalized the purchase price allocation and recorded measurement period adjustments to the initial allocation as disclosed in our 2018 Annual Report. Operating results of Paragon Medical were included in our historical consolidated financial statements after the date of acquisition as part of our Life Sciences business. The Life Sciences business was subsequently sold on October 6, 2020, and is included in discontinued operations as discussed in Note 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Bridgemedica, LLC</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February 22, 2018, we completed the acquisition of 100% of the assets of Bridgemedica, LLC (“Bridgemedica”). For accounting purposes, Bridgemedica met the definition of a business and was accounted for as a business combination. Bridgemedica is a medical device company that provides concept to supply solutions through design, development engineering, and manufacturing. We finalized our valuation related to the assets acquired and liabilities assumed during 2019 with no material changes to the initial allocation. Operating results of Bridgemedica were included in our historical consolidated financial statements report after the acquisition date as part of our Life Sciences business. The Life Sciences business was subsequently sold on October 6, 2020, and is included in discontinued operations as discussed in Note 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California Technical Arts, Inc.</w:t>
      </w:r>
    </w:p>
    <w:p>
      <w:pPr>
        <w:spacing w:after="0" w:line="117"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August 9, 2018, we completed the acquisition of 100% of the capital stock of Southern California Technical Arts, Inc. (“Technical Arts”). For accounting purposes, Technical Arts met the definition of a business and was accounted for as a business combination.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 after the acquisition date. We finalized our valuation related to the assets acquired and liabilities assumed during 2019 with no material changes to the initial allocation.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historically been aggregated into the following three reportable segments.</w:t>
      </w:r>
    </w:p>
    <w:p>
      <w:pPr>
        <w:spacing w:after="0" w:line="117" w:lineRule="exact"/>
        <w:rPr>
          <w:sz w:val="20"/>
          <w:szCs w:val="20"/>
          <w:color w:val="auto"/>
        </w:rPr>
      </w:pPr>
    </w:p>
    <w:p>
      <w:pPr>
        <w:ind w:left="660" w:right="60" w:hanging="328"/>
        <w:spacing w:after="0" w:line="259"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Mobile Solutions. </w:t>
      </w:r>
      <w:r>
        <w:rPr>
          <w:rFonts w:ascii="Arial" w:cs="Arial" w:eastAsia="Arial" w:hAnsi="Arial"/>
          <w:sz w:val="18"/>
          <w:szCs w:val="18"/>
          <w:color w:val="auto"/>
        </w:rPr>
        <w:t>Mobile Solutions is focused on growth in the general industrial and automotive end markets. We have developed an expertise in</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78"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Power Solutions is focused on growth in the electrical and aerospace and defense end markets, while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80"/>
        <w:spacing w:after="0" w:line="239" w:lineRule="auto"/>
        <w:rPr>
          <w:sz w:val="20"/>
          <w:szCs w:val="20"/>
          <w:color w:val="auto"/>
        </w:rPr>
      </w:pPr>
      <w:r>
        <w:rPr>
          <w:rFonts w:ascii="Arial" w:cs="Arial" w:eastAsia="Arial" w:hAnsi="Arial"/>
          <w:sz w:val="18"/>
          <w:szCs w:val="18"/>
          <w:color w:val="auto"/>
        </w:rPr>
        <w:t>also serving the automotive and medical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83" w:lineRule="exact"/>
        <w:rPr>
          <w:sz w:val="20"/>
          <w:szCs w:val="20"/>
          <w:color w:val="auto"/>
        </w:rPr>
      </w:pPr>
    </w:p>
    <w:p>
      <w:pPr>
        <w:ind w:left="660" w:hanging="328"/>
        <w:spacing w:after="0" w:line="257" w:lineRule="auto"/>
        <w:tabs>
          <w:tab w:leader="none" w:pos="65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Life Sciences. </w:t>
      </w:r>
      <w:r>
        <w:rPr>
          <w:rFonts w:ascii="Arial" w:cs="Arial" w:eastAsia="Arial" w:hAnsi="Arial"/>
          <w:sz w:val="18"/>
          <w:szCs w:val="18"/>
          <w:color w:val="auto"/>
        </w:rPr>
        <w:t>Life Sciences was focused on growth in the medical end market, primarily in the orthopaedics and medical/surgical end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this group we combined advanced engineering and production capabilities to design and manufacture a broad range of high-precision metal and plastic components, assemblies, and finished devices. We manufactured a variety of components, assemblies, and instruments, such as surgical knives, bioresorbable implants, surgical staples, cases and trays, orthopaedic implants and tools, laparoscopic devices, and drug delivery devices for the orthopaedics and medical/surgical end markets.</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divisions have historically been considered our three operating segments as each has engaged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 See Note 2 for information regarding the sale of the Life Sciences business on October 6, 2020. The results of the Life Sciences business are classified as discontinued operations for all periods in the consolidated financial statements and accompanying notes unless otherwise stated. Accordingly, results of the Life Sciences business are not included in the tabular presentation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continuing operations by reportable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9"/>
              </w:rPr>
              <w:t>Mobile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4"/>
                <w:szCs w:val="14"/>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34"/>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Consolidations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Year Ended December 31, 2020</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28,298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(85,983)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(36,702)</w:t>
            </w:r>
          </w:p>
        </w:tc>
        <w:tc>
          <w:tcPr>
            <w:tcW w:w="3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(117,457)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3,626</w:t>
            </w:r>
          </w:p>
        </w:tc>
        <w:tc>
          <w:tcPr>
            <w:tcW w:w="60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bottom w:val="single" w:sz="8" w:color="CCEEFF"/>
            </w:tcBorders>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92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370,985</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(b)</w:t>
            </w:r>
          </w:p>
        </w:tc>
        <w:tc>
          <w:tcPr>
            <w:tcW w:w="1040" w:type="dxa"/>
            <w:vAlign w:val="bottom"/>
          </w:tcPr>
          <w:p>
            <w:pPr>
              <w:jc w:val="right"/>
              <w:spacing w:after="0"/>
              <w:rPr>
                <w:sz w:val="20"/>
                <w:szCs w:val="20"/>
                <w:color w:val="auto"/>
              </w:rPr>
            </w:pPr>
            <w:r>
              <w:rPr>
                <w:rFonts w:ascii="Arial" w:cs="Arial" w:eastAsia="Arial" w:hAnsi="Arial"/>
                <w:sz w:val="18"/>
                <w:szCs w:val="18"/>
                <w:color w:val="auto"/>
              </w:rPr>
              <w:t>197,348</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56,629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624,962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9"/>
              </w:rPr>
              <w:t>Mobile</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21"/>
                <w:szCs w:val="21"/>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34"/>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Consolidations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27,146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24,969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373,256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(b)</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310,545</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858,183</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4"/>
                <w:szCs w:val="14"/>
                <w:color w:val="auto"/>
              </w:rPr>
            </w:pPr>
          </w:p>
        </w:tc>
        <w:tc>
          <w:tcPr>
            <w:tcW w:w="14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4"/>
                <w:szCs w:val="14"/>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Consolidations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335,037</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189,778</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(a)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26,217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14,753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73,442</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(55,079)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(95,115)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(44,853)</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1"/>
              </w:rPr>
              <w:t>Loss from continuing operations before income taxes and share of net loss from joint venture</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9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Share of net loss from joint venture</w:t>
            </w:r>
          </w:p>
        </w:tc>
        <w:tc>
          <w:tcPr>
            <w:tcW w:w="24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(14,390)</w:t>
            </w: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tcBorders>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920" w:type="dxa"/>
            <w:vAlign w:val="bottom"/>
            <w:tcBorders>
              <w:top w:val="single" w:sz="8" w:color="CCEEFF"/>
            </w:tcBorders>
            <w:gridSpan w:val="2"/>
            <w:vMerge w:val="continue"/>
          </w:tcPr>
          <w:p>
            <w:pPr>
              <w:spacing w:after="0"/>
              <w:rPr>
                <w:sz w:val="17"/>
                <w:szCs w:val="17"/>
                <w:color w:val="auto"/>
              </w:rPr>
            </w:pPr>
          </w:p>
        </w:tc>
        <w:tc>
          <w:tcPr>
            <w:tcW w:w="240" w:type="dxa"/>
            <w:vAlign w:val="bottom"/>
            <w:tcBorders>
              <w:top w:val="single" w:sz="8" w:color="CCEEFF"/>
            </w:tcBorders>
            <w:vMerge w:val="continue"/>
          </w:tcPr>
          <w:p>
            <w:pPr>
              <w:spacing w:after="0"/>
              <w:rPr>
                <w:sz w:val="17"/>
                <w:szCs w:val="17"/>
                <w:color w:val="auto"/>
              </w:rPr>
            </w:pPr>
          </w:p>
        </w:tc>
        <w:tc>
          <w:tcPr>
            <w:tcW w:w="1020" w:type="dxa"/>
            <w:vAlign w:val="bottom"/>
            <w:tcBorders>
              <w:top w:val="single" w:sz="8" w:color="CCEEFF"/>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top w:val="single" w:sz="8" w:color="CCEEFF"/>
            </w:tcBorders>
            <w:vMerge w:val="continue"/>
          </w:tcPr>
          <w:p>
            <w:pPr>
              <w:spacing w:after="0"/>
              <w:rPr>
                <w:sz w:val="17"/>
                <w:szCs w:val="17"/>
                <w:color w:val="auto"/>
              </w:rPr>
            </w:pPr>
          </w:p>
        </w:tc>
        <w:tc>
          <w:tcPr>
            <w:tcW w:w="14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CCEEFF"/>
            </w:tcBorders>
            <w:vMerge w:val="continue"/>
          </w:tcPr>
          <w:p>
            <w:pPr>
              <w:spacing w:after="0"/>
              <w:rPr>
                <w:sz w:val="17"/>
                <w:szCs w:val="17"/>
                <w:color w:val="auto"/>
              </w:rPr>
            </w:pPr>
          </w:p>
        </w:tc>
        <w:tc>
          <w:tcPr>
            <w:tcW w:w="1160" w:type="dxa"/>
            <w:vAlign w:val="bottom"/>
            <w:tcBorders>
              <w:top w:val="single" w:sz="8" w:color="CCEEFF"/>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36,660</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49,277</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eliminations of intersegment transactions which occur during the ordinary course of business.</w:t>
      </w:r>
    </w:p>
    <w:p>
      <w:pPr>
        <w:spacing w:after="0" w:line="63" w:lineRule="exact"/>
        <w:rPr>
          <w:rFonts w:ascii="Arial" w:cs="Arial" w:eastAsia="Arial" w:hAnsi="Arial"/>
          <w:sz w:val="18"/>
          <w:szCs w:val="18"/>
          <w:color w:val="auto"/>
        </w:rPr>
      </w:pPr>
    </w:p>
    <w:p>
      <w:pPr>
        <w:ind w:left="980" w:right="500" w:hanging="324"/>
        <w:spacing w:after="0" w:line="277" w:lineRule="auto"/>
        <w:tabs>
          <w:tab w:leader="none" w:pos="9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assets in Mobile Solutions includes $27.0 million and $21.8 million as of December 31, 2020 and 2019, respectively, related to the investment in our 49% owned joint venture (Note 10).</w:t>
      </w:r>
    </w:p>
    <w:p>
      <w:pPr>
        <w:spacing w:after="0" w:line="8"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assets in Corporate and Consolidations includes $812.1 million in assets of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long-lived tangible assets by geographical region.</w:t>
      </w:r>
    </w:p>
    <w:p>
      <w:pPr>
        <w:spacing w:after="0" w:line="3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Property, Plant, and Equipment, Net</w:t>
      </w:r>
    </w:p>
    <w:p>
      <w:pPr>
        <w:jc w:val="center"/>
        <w:ind w:left="7500"/>
        <w:spacing w:after="0"/>
        <w:rPr>
          <w:sz w:val="20"/>
          <w:szCs w:val="20"/>
          <w:color w:val="auto"/>
        </w:rPr>
      </w:pPr>
      <w:r>
        <w:rPr>
          <w:rFonts w:ascii="Arial" w:cs="Arial" w:eastAsia="Arial" w:hAnsi="Arial"/>
          <w:sz w:val="14"/>
          <w:szCs w:val="14"/>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Europe</w:t>
            </w: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40,663</w:t>
            </w:r>
          </w:p>
        </w:tc>
        <w:tc>
          <w:tcPr>
            <w:tcW w:w="120" w:type="dxa"/>
            <w:vAlign w:val="bottom"/>
          </w:tcPr>
          <w:p>
            <w:pPr>
              <w:spacing w:after="0"/>
              <w:rPr>
                <w:sz w:val="19"/>
                <w:szCs w:val="19"/>
                <w:color w:val="auto"/>
              </w:rPr>
            </w:pPr>
          </w:p>
        </w:tc>
        <w:tc>
          <w:tcPr>
            <w:tcW w:w="14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Asia</w:t>
            </w:r>
          </w:p>
        </w:tc>
        <w:tc>
          <w:tcPr>
            <w:tcW w:w="1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Mexico</w:t>
            </w: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America</w:t>
            </w:r>
          </w:p>
        </w:tc>
        <w:tc>
          <w:tcPr>
            <w:tcW w:w="1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foreign locations</w:t>
            </w:r>
          </w:p>
        </w:tc>
        <w:tc>
          <w:tcPr>
            <w:tcW w:w="15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Accounts Receivable</w:t>
            </w:r>
          </w:p>
        </w:tc>
        <w:tc>
          <w:tcPr>
            <w:tcW w:w="1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2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spacing w:after="0"/>
              <w:rPr>
                <w:sz w:val="20"/>
                <w:szCs w:val="20"/>
                <w:color w:val="auto"/>
              </w:rPr>
            </w:pPr>
            <w:r>
              <w:rPr>
                <w:rFonts w:ascii="Arial" w:cs="Arial" w:eastAsia="Arial" w:hAnsi="Arial"/>
                <w:sz w:val="18"/>
                <w:szCs w:val="18"/>
                <w:color w:val="auto"/>
                <w:w w:val="98"/>
              </w:rPr>
              <w:t>Accounts receivable, net, are comprised of the following amounts:</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7"/>
          </w:tcPr>
          <w:p>
            <w:pPr>
              <w:jc w:val="center"/>
              <w:ind w:left="373"/>
              <w:spacing w:after="0"/>
              <w:rPr>
                <w:sz w:val="20"/>
                <w:szCs w:val="20"/>
                <w:color w:val="auto"/>
              </w:rPr>
            </w:pPr>
            <w:r>
              <w:rPr>
                <w:rFonts w:ascii="Arial" w:cs="Arial" w:eastAsia="Arial" w:hAnsi="Arial"/>
                <w:sz w:val="14"/>
                <w:szCs w:val="14"/>
                <w:b w:val="1"/>
                <w:bCs w:val="1"/>
                <w:color w:val="auto"/>
                <w:w w:val="92"/>
              </w:rPr>
              <w:t>As of December 31,</w:t>
            </w: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w:t>
            </w:r>
          </w:p>
        </w:tc>
        <w:tc>
          <w:tcPr>
            <w:tcW w:w="1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Less—allowance for credit losses</w:t>
            </w:r>
          </w:p>
        </w:tc>
        <w:tc>
          <w:tcPr>
            <w:tcW w:w="15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2,044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84,615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6"/>
              </w:rPr>
              <w:t>The following table presents changes in allowance for credit losses.</w:t>
            </w:r>
          </w:p>
        </w:tc>
        <w:tc>
          <w:tcPr>
            <w:tcW w:w="1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52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impact</w:t>
            </w:r>
          </w:p>
        </w:tc>
        <w:tc>
          <w:tcPr>
            <w:tcW w:w="15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53</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As of December 31, 2020, one customer represented 11% of consolidated accounts receivable from continuing operations. As of December 31, 2019, another customer represented 10% of consolidated accounts receivable from continuing operations. Amounts due from these customers are primarily related to Mobile Solutions.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34,816</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20,758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17,810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62,517</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Note 7. Property, Plant and Equipment</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7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spacing w:after="0"/>
              <w:rPr>
                <w:sz w:val="20"/>
                <w:szCs w:val="20"/>
                <w:color w:val="auto"/>
              </w:rPr>
            </w:pPr>
            <w:r>
              <w:rPr>
                <w:rFonts w:ascii="Arial" w:cs="Arial" w:eastAsia="Arial" w:hAnsi="Arial"/>
                <w:sz w:val="18"/>
                <w:szCs w:val="18"/>
                <w:color w:val="auto"/>
              </w:rPr>
              <w:t>Property, plant and equipment are comprised of the following amounts:</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Land and buildings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58,296</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57,222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339,268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321,110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Construction in progress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398,834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403,748</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175,144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147,771</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223,690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255,977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monitor property, plant and equipment for any indicators of potential impairment. We recognized impairment charges of $4.1 million, $0.6 million, and $5.2 million for the years ended December 31, 2020, 2019, and 2018, respectively, related to the early retirement of identified fixed assets. The impairment charges were recorded to the “Other operating expense, net,” line item on the Consolidated Statements of Operations and Comprehensive Income (Loss). The impairment charges were determined by writing the assets down to the estimated salvage value, less disposal costs.</w:t>
      </w:r>
    </w:p>
    <w:p>
      <w:pPr>
        <w:spacing w:after="0" w:line="4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For the years ended December 31, 2020, 2019, and 2018, we recorded depreciation expense of $31.3 million, $30.4 million, and $28.5 million, respectively.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our net goodwill is recorded in the Power Solutions reportable segment, and no goodwill is recorded in the Mobile Solutions reportable segment. The following table shows changes in the carrying amount of Power Solutions goodwill.</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6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impact and other</w:t>
            </w:r>
          </w:p>
        </w:tc>
        <w:tc>
          <w:tcPr>
            <w:tcW w:w="5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5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94,779</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Currency impact and other</w:t>
            </w:r>
          </w:p>
        </w:tc>
        <w:tc>
          <w:tcPr>
            <w:tcW w:w="5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Impairments</w:t>
            </w:r>
          </w:p>
        </w:tc>
        <w:tc>
          <w:tcPr>
            <w:tcW w:w="59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59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980" w:type="dxa"/>
            <w:vAlign w:val="bottom"/>
            <w:vMerge w:val="restart"/>
          </w:tcPr>
          <w:p>
            <w:pPr>
              <w:jc w:val="right"/>
              <w:ind w:right="4170"/>
              <w:spacing w:after="0"/>
              <w:rPr>
                <w:sz w:val="20"/>
                <w:szCs w:val="20"/>
                <w:color w:val="auto"/>
              </w:rPr>
            </w:pPr>
            <w:r>
              <w:rPr>
                <w:rFonts w:ascii="Arial" w:cs="Arial" w:eastAsia="Arial" w:hAnsi="Arial"/>
                <w:sz w:val="18"/>
                <w:szCs w:val="18"/>
                <w:color w:val="auto"/>
              </w:rPr>
              <w:t>54</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0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gross carrying amount of goodwill and accumulated impairment charges as of December 31, 2020, and 2019.</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2020</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Impairment</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Book Value</w:t>
            </w: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Charges</w:t>
            </w:r>
          </w:p>
        </w:tc>
        <w:tc>
          <w:tcPr>
            <w:tcW w:w="11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Charges</w:t>
            </w:r>
          </w:p>
        </w:tc>
        <w:tc>
          <w:tcPr>
            <w:tcW w:w="160" w:type="dxa"/>
            <w:vAlign w:val="bottom"/>
          </w:tcPr>
          <w:p>
            <w:pPr>
              <w:spacing w:after="0"/>
              <w:rPr>
                <w:sz w:val="16"/>
                <w:szCs w:val="16"/>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Mobile Solutions</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Power Solutions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213,791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(213,791)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94,779</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goodwill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each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Consolidated Statements of Operations and Comprehensive Income (Loss). As of December 31, 2020, there is no remaining goodwill balance.</w:t>
      </w:r>
    </w:p>
    <w:p>
      <w:pPr>
        <w:spacing w:after="0" w:line="6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During the fourth quarter of 2018, our market capitalization declined to a level that was less than the net book value of our stockholders’ equity. We performed our annual goodwill impairment analysis as of October 1, 2018, and elected to early adopt ASU 2017-4,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 Simplifying the Test for Goodwill Impairment</w:t>
      </w:r>
      <w:r>
        <w:rPr>
          <w:rFonts w:ascii="Arial" w:cs="Arial" w:eastAsia="Arial" w:hAnsi="Arial"/>
          <w:sz w:val="18"/>
          <w:szCs w:val="18"/>
          <w:color w:val="auto"/>
        </w:rPr>
        <w:t>. As a result of our analysis, we recorded an impairment loss on goodwill in 2018 of $73.4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$109.1 million for Mobile Solutions and Power Solutions, respectively, to the “Goodwill impairment” line on the Consolidated Statements of Operations and Comprehensive Income (Loss).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b w:val="1"/>
                <w:bCs w:val="1"/>
                <w:color w:val="auto"/>
              </w:rPr>
              <w:t>Mobile Solutions</w:t>
            </w:r>
          </w:p>
        </w:tc>
        <w:tc>
          <w:tcPr>
            <w:tcW w:w="1440" w:type="dxa"/>
            <w:vAlign w:val="bottom"/>
            <w:gridSpan w:val="5"/>
          </w:tcPr>
          <w:p>
            <w:pPr>
              <w:ind w:left="160"/>
              <w:spacing w:after="0"/>
              <w:rPr>
                <w:sz w:val="20"/>
                <w:szCs w:val="20"/>
                <w:color w:val="auto"/>
              </w:rPr>
            </w:pPr>
            <w:r>
              <w:rPr>
                <w:rFonts w:ascii="Arial" w:cs="Arial" w:eastAsia="Arial" w:hAnsi="Arial"/>
                <w:sz w:val="14"/>
                <w:szCs w:val="14"/>
                <w:b w:val="1"/>
                <w:bCs w:val="1"/>
                <w:color w:val="auto"/>
              </w:rPr>
              <w:t>Power Solutions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35,892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w w:val="92"/>
              </w:rPr>
              <w:t>(10,994)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w w:val="92"/>
              </w:rPr>
              <w:t>(14,473)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32,416</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84,997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117,413</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(10,994)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92"/>
              </w:rPr>
              <w:t>(14,348)</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29,062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103,065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080" w:type="dxa"/>
            <w:vAlign w:val="bottom"/>
            <w:gridSpan w:val="19"/>
          </w:tcPr>
          <w:p>
            <w:pPr>
              <w:spacing w:after="0"/>
              <w:rPr>
                <w:sz w:val="20"/>
                <w:szCs w:val="20"/>
                <w:color w:val="auto"/>
              </w:rPr>
            </w:pPr>
            <w:r>
              <w:rPr>
                <w:rFonts w:ascii="Arial" w:cs="Arial" w:eastAsia="Arial" w:hAnsi="Arial"/>
                <w:sz w:val="18"/>
                <w:szCs w:val="18"/>
                <w:color w:val="auto"/>
                <w:w w:val="90"/>
              </w:rPr>
              <w:t>The following table shows the cost and accumulated amortization of our intangible assets as of December 31, 2020 and 2019.</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56"/>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56"/>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Estimated</w:t>
            </w:r>
          </w:p>
        </w:tc>
        <w:tc>
          <w:tcPr>
            <w:tcW w:w="140" w:type="dxa"/>
            <w:vAlign w:val="bottom"/>
          </w:tcPr>
          <w:p>
            <w:pPr>
              <w:spacing w:after="0"/>
              <w:rPr>
                <w:sz w:val="11"/>
                <w:szCs w:val="11"/>
                <w:color w:val="auto"/>
              </w:rPr>
            </w:pPr>
          </w:p>
        </w:tc>
        <w:tc>
          <w:tcPr>
            <w:tcW w:w="90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36"/>
              <w:spacing w:after="0" w:line="135"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center"/>
              <w:ind w:left="161"/>
              <w:spacing w:after="0" w:line="135" w:lineRule="exact"/>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1"/>
                <w:szCs w:val="11"/>
                <w:color w:val="auto"/>
              </w:rPr>
            </w:pPr>
          </w:p>
        </w:tc>
        <w:tc>
          <w:tcPr>
            <w:tcW w:w="90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81"/>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36"/>
              <w:spacing w:after="0" w:line="135"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 in Years</w:t>
            </w:r>
          </w:p>
        </w:tc>
        <w:tc>
          <w:tcPr>
            <w:tcW w:w="140" w:type="dxa"/>
            <w:vAlign w:val="bottom"/>
          </w:tcPr>
          <w:p>
            <w:pPr>
              <w:spacing w:after="0"/>
              <w:rPr>
                <w:sz w:val="16"/>
                <w:szCs w:val="16"/>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173,746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99,496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173,746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(60,603)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 and trade name</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7,527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identified intangible assets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181,273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103,065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181,273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(63,860)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that are fully amortized are removed and no longer represented in the gross carrying value or accumulated amortization.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estimated future amortization expense for the next five years and thereafter.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14,347</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14,347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14,262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13,919</w:t>
            </w:r>
          </w:p>
        </w:tc>
      </w:tr>
      <w:tr>
        <w:trPr>
          <w:trHeight w:val="22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32,271</w:t>
            </w:r>
          </w:p>
        </w:tc>
      </w:tr>
      <w:tr>
        <w:trPr>
          <w:trHeight w:val="248"/>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103,065</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Intangible assets are reviewed for impairment when changes in circumstances indicate the carrying value of those assets may not be recoverable. As of December 31, 2020 and 2019, there were no indications of impairment.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our investment in the JV.</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21,755</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Share of earnings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3,626</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23"/>
        </w:trPr>
        <w:tc>
          <w:tcPr>
            <w:tcW w:w="1000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26,983</w:t>
            </w:r>
          </w:p>
        </w:tc>
      </w:tr>
      <w:tr>
        <w:trPr>
          <w:trHeight w:val="21"/>
        </w:trPr>
        <w:tc>
          <w:tcPr>
            <w:tcW w:w="10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fourth quarter of 2018, as a result of changing market conditions, the fair value of the JV was assessed, and we recorded an impairment of $16.6 million against our investment in the JV. The fair value assessment was significantly affected by changes in our assessment of future growth rates. During the first quarter of 2020, the goodwill impairment testing trigger caused us to test the JV for impairment as well. Based on our analysis, no impairment charge was deemed necessary. It is reasonably possible that material deviation of future performance from the estimates used in the March 31, 2020, impairment test could result in additional impairment to our investment in the JV in subsequent periods.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loss from continuing operations before benefit (provision) for income taxes and share of net income (loss) from joint venture.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60" w:type="dxa"/>
            <w:vAlign w:val="bottom"/>
            <w:shd w:val="clear" w:color="auto" w:fill="CCEEFF"/>
          </w:tcPr>
          <w:p>
            <w:pPr>
              <w:ind w:left="480"/>
              <w:spacing w:after="0" w:line="156" w:lineRule="exact"/>
              <w:rPr>
                <w:sz w:val="20"/>
                <w:szCs w:val="20"/>
                <w:color w:val="auto"/>
              </w:rPr>
            </w:pPr>
            <w:r>
              <w:rPr>
                <w:rFonts w:ascii="Arial" w:cs="Arial" w:eastAsia="Arial" w:hAnsi="Arial"/>
                <w:sz w:val="18"/>
                <w:szCs w:val="18"/>
                <w:color w:val="auto"/>
              </w:rPr>
              <w:t>Loss from continuing operations before benefit (provision) for income</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(152,088)</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taxes and share of net income (loss) from joint venture</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56</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income tax expense (benefit) recognized in each year.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58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r>
      <w:tr>
        <w:trPr>
          <w:trHeight w:val="21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(299)</w:t>
            </w: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5,684</w:t>
            </w:r>
          </w:p>
        </w:tc>
      </w:tr>
      <w:tr>
        <w:trPr>
          <w:trHeight w:val="23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2,247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r>
      <w:tr>
        <w:trPr>
          <w:trHeight w:val="22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r>
      <w:tr>
        <w:trPr>
          <w:trHeight w:val="20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r>
      <w:tr>
        <w:trPr>
          <w:trHeight w:val="230"/>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(5,368)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federal and foreign valuation allowance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r>
      <w:tr>
        <w:trPr>
          <w:trHeight w:val="230"/>
        </w:trPr>
        <w:tc>
          <w:tcPr>
            <w:tcW w:w="6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(1,852)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r>
      <w:tr>
        <w:trPr>
          <w:trHeight w:val="22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w:t>
            </w: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Total income tax expense (benefit)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(8,972)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r>
      <w:tr>
        <w:trPr>
          <w:trHeight w:val="20"/>
        </w:trPr>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26"/>
        </w:trPr>
        <w:tc>
          <w:tcPr>
            <w:tcW w:w="8240" w:type="dxa"/>
            <w:vAlign w:val="bottom"/>
            <w:gridSpan w:val="9"/>
          </w:tcPr>
          <w:p>
            <w:pPr>
              <w:spacing w:after="0"/>
              <w:rPr>
                <w:sz w:val="20"/>
                <w:szCs w:val="20"/>
                <w:color w:val="auto"/>
              </w:rPr>
            </w:pPr>
            <w:r>
              <w:rPr>
                <w:rFonts w:ascii="Arial" w:cs="Arial" w:eastAsia="Arial" w:hAnsi="Arial"/>
                <w:sz w:val="18"/>
                <w:szCs w:val="18"/>
                <w:color w:val="auto"/>
                <w:w w:val="91"/>
              </w:rPr>
              <w:t>The following table presents a reconciliation of income taxes based on the U.S. federal statutory income tax rate.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1"/>
        </w:trPr>
        <w:tc>
          <w:tcPr>
            <w:tcW w:w="5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7"/>
        </w:trPr>
        <w:tc>
          <w:tcPr>
            <w:tcW w:w="5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 exclusive of state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taxes, exclusive of tax reform</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Non-U.S. earnings taxed at different rates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GILTI</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asset loss</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tax credit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Impact of tax reform:</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Toll charge, net of foreign tax credit</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Remeasurement of deferred taxes pursuant to tax reform</w:t>
            </w:r>
          </w:p>
        </w:tc>
        <w:tc>
          <w:tcPr>
            <w:tcW w:w="28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Impact of 2019 Treasury regulations</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CARES Act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Divestiture of business segment, exclusive of tax reform</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Return to provision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Taxes on unremitted foreign earnings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Restructuring gain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adjustments, net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580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0.7 %</w:t>
            </w:r>
          </w:p>
        </w:tc>
      </w:tr>
      <w:tr>
        <w:trPr>
          <w:trHeight w:val="21"/>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enacted. Among other provisions, the CARES Act allows for the carryback of certain tax losses and favorably impacts the deductibility of interest expense and depreciation. The CARES Act had a material impact on our consolidated financial statements, primarily due to enacted federal rate difference in the carryback periods, and has been accounted for in the benefit for income taxes for the twelve months ended December 31, 2020.</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October 6, 2020, we sold our Life Sciences business via a sale of our equity interest in Precision Engineered Products Holdings, Inc., a wholly owned U.S. domestic subsidiary. Prior to the sale, we completed tax restructuring in which Precision Engineered Products Holdings, Inc., distributed to NN, Inc., all of its asset and equity holdings related to the Power Solutions segment. The restructuring process created a deferred gain, required to be realized upon the third party equity sale, equal to the fair market value of the distributed assets over tax basis. The associated U.S. federal, state and foreign tax impacts are reflected in the tables within this footnote. The tax impacts of the sale of the Life Sciences business are included in income from discontinued operations and excluded from the tables presented within this footnote. For comparative purposes, the prior period information contained in the tables in this footnote have been adjusted to exclude the Life Sciences business, unless otherwise noted.</w:t>
      </w:r>
    </w:p>
    <w:p>
      <w:pPr>
        <w:spacing w:after="0" w:line="6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effective tax rate for continuing operations was 5.9% for 2020. The 2020 effective tax rate for continuing operations differs from the U.S. federal statutory tax rate of 21% primarily due to (1) the impact of the impairment of nondeductible goodwill which is treated as a permanent difference and (2) the company’s accrual of taxes on unremitted earnings of foreign subsidiaries which may be repatriated.</w:t>
      </w:r>
    </w:p>
    <w:p>
      <w:pPr>
        <w:spacing w:after="0" w:line="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effective tax rate for continuing operations was (1.0)% for 2019. The 2019 effective tax rate for continuing operations differs from the U.S. federal statutory tax rate of 21% principally due to a discrete tax charge of $6.0 million related to final tax regulations published by the Department of the Treasury and Internal Revenue Service on February 4, 2019. The tax rate was also impacted by valuation of its state tax attributes.</w:t>
      </w:r>
    </w:p>
    <w:p>
      <w:pPr>
        <w:spacing w:after="0" w:line="5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effective tax rate for continuing operations was 0.7% for 2018. The 2018 effective tax rate for continuing operations differs from the U.S. federal statutory income tax rate of 21% primarily due to the impact of goodwill impairment which was nondeductible for tax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principal components of the deferred tax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1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Tax in excess of book depreciation</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27,459</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28,329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11,149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12,697</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unremitted foreign earnings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deferred tax liabilities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r>
      <w:tr>
        <w:trPr>
          <w:trHeight w:val="223"/>
        </w:trPr>
        <w:tc>
          <w:tcPr>
            <w:tcW w:w="7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deferred income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69,678</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limitation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25,653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Pension/Personnel accruals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14,438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R&amp;D credit carryforwards</w:t>
            </w:r>
          </w:p>
        </w:tc>
        <w:tc>
          <w:tcPr>
            <w:tcW w:w="9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2,463</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credit carryforwards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Deferred income tax assets before valuation allowance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79,940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60,711</w:t>
            </w: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(21,681)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r>
      <w:tr>
        <w:trPr>
          <w:trHeight w:val="223"/>
        </w:trPr>
        <w:tc>
          <w:tcPr>
            <w:tcW w:w="78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deferred income tax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45,217</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2020, we had no U.S. federal net operating loss (“NOL”) carryover, $3.8 million of consolidated state NOL carryovers, and $234.8 million of separate state NOL carryovers. The state NOLs begin to expire in 2030. Management believes that certain of the state NOL carryovers will more likely than not expire prior to utilization. As such, a valuation allowance of $12.6 million (net of federal benefit) has been established to reduce the state attribute balance to the amount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expected to be utilized before expiration. We also have $6.1 million, tax-effected, of foreign NOL carryovers at December 31, 2020. The foreign NOLs have an indefinite life; however, management believes that benefit for certain of the foreign NOLs may not be realized. Therefore, we have established a valuation allowance of $3.1 million to reduce the carrying value of the asset related to foreign NOLs to the amount that has been determined to be more likely than not realized.</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have $0.2 million of state credit carryforwards and $0.7 million of other consolidated state deferred tax assets for which we believe recognition is not appropriate. In addition, we have $3.4 million of tax credits in other foreign jurisdictions as of December 31, 2020. The tax credits in these jurisdictions begin to expire in 2026. Valuation allowances have been recorded for these state and foreign items accordingly.</w:t>
      </w:r>
    </w:p>
    <w:p>
      <w:pPr>
        <w:spacing w:after="0" w:line="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a U.S. federal and state deferred tax asset related to currency losses on intercompany loans. Management believes it is more likely than not that the benefit for the asset will not be realized based on timing of expected repayment of the intercompany loans. We have established a valuation allowance of $1.7 million to eliminate the carrying value of this asset.</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 believes all remaining tax assets will more likely than not be realized. However, the amount of the deferred tax considered realizable could be reduced based on changing conditions.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2020, the state valuation allowance increased by approximately $3.1 million, primarily due to a valuation allowance recorded to offset the current year generation of separate state loss carryforwards that management does not believe are realizable given anticipated changes in state nexus. The federal valuation allowance increased by approximately $1.0 million, to offset current year changes in unrealized exchange losses on intercompany loans. The foreign valuation allowance increased by $2.2 million in 2020 primarily to offset current year loss generation in jurisdictions where realization of the asset is not more likely than not.</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deemed mandatory repatriation provisions in the Tax Act and our recognition in income of GILTI as part of the changes from the Tax Act, we do not have material basis differences related to cumulative unremitted earnings for U.S. income tax purposes. However, we continue to evaluate quarterly the impact that repatriation of foreign earnings would have on withholding and other taxes. As of December 31, 2020, we have recorded a liability of $6.6 million for the anticipated withholding taxes that would be due upon repatriation of the unremitted earnings of those subsidiaries for which management does not intend to permanently reinvest all earnings.</w:t>
      </w:r>
    </w:p>
    <w:p>
      <w:pPr>
        <w:spacing w:after="0" w:line="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subject to U.S. federal income tax as well as tax in several foreign jurisdictions. We are also subject to tax by various state authorities. The tax years subject to examination vary by jurisdiction. We are no longer subject to U.S. federal examination for periods before 2017. During 2020 we concluded, with no material findings, an audit by French tax authorities for the 2016 tax year. We regularly assess the outcomes of both ongoing and future examinations for the current or prior years to ensure our provision for income taxes is sufficient. We recognize liabilities based on estimates of whether additional taxes will be due, and we believe our reserves are adequate in relation to any potential assessments. The outcome of any one examination, some of which may conclude during the next twelve months, is not expected to have a material impact on our financial position or results of operations.</w:t>
      </w:r>
    </w:p>
    <w:p>
      <w:pPr>
        <w:spacing w:after="0" w:line="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Consolidated Statements of Operations and Comprehensive Income (Loss). Accrued interest and penalties of $0.6 million, $1.5 million, and $1.3 million are included in other non-current liabilities as of December 31, 2020, 2019, and 2018,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beginning and ending amounts of unrecognized tax benefits, excluding interest and penalties.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for tax positions of prior years</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reduction to unrecognized tax benefits in 2020 is related to (1) expiring statutes of limitations in certain U.S. state and foreign jurisdictions and (2) the remeasurement of previously unrecognized tax benefits. As of December 31, 2020, the unrecognized tax benefits would, if recognized, impact our effective tax rate by $0.8 million, inclusive of the impact of interest and penalties. Management believes that it is reasonably possible that the amount of unrecognized income tax benefits, including interest and penalties, may not decrease during the next twelve months as no statutes are expected to lapse within the period.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operate under tax holidays in other countries, which are effective through December 31, 2026, and may be extended if certain additional requirements are satisfied. The tax holidays are conditional upon our meeting certain employment and investment thresholds. The impact of these tax holidays decreased foreign taxes by $0.2 million for 2020. The tax holidays had no impact on our 2019 and 2018 foreign taxes.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Collectively, our credit facility is comprised of a term loan with a face amount of $545.0 million, maturing on October 19, 2022 (the “Senior Secured Term Loan”); a term loan with a face amount of $300.0 million, maturing on October 19, 2022 (the “Incremental Term Loan”); and a revolving line of credit with a face amount of $60.0 million, maturing on July 20, 2022 (the “Senior Secured Revolver”). The credit facility is collateralized by all of our assets.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outstanding debt balances as of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47,728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526,313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Incremental Term Loan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22,716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257,111</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lines of credit and other loans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14,418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r>
      <w:tr>
        <w:trPr>
          <w:trHeight w:val="223"/>
        </w:trPr>
        <w:tc>
          <w:tcPr>
            <w:tcW w:w="7800" w:type="dxa"/>
            <w:vAlign w:val="bottom"/>
          </w:tcPr>
          <w:p>
            <w:pPr>
              <w:ind w:left="220"/>
              <w:spacing w:after="0"/>
              <w:rPr>
                <w:sz w:val="20"/>
                <w:szCs w:val="20"/>
                <w:color w:val="auto"/>
              </w:rPr>
            </w:pPr>
            <w:r>
              <w:rPr>
                <w:rFonts w:ascii="Arial" w:cs="Arial" w:eastAsia="Arial" w:hAnsi="Arial"/>
                <w:sz w:val="18"/>
                <w:szCs w:val="18"/>
                <w:color w:val="auto"/>
              </w:rPr>
              <w:t>Total principal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84,862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793,003</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Less-current maturities of long-term debt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r>
      <w:tr>
        <w:trPr>
          <w:trHeight w:val="223"/>
        </w:trPr>
        <w:tc>
          <w:tcPr>
            <w:tcW w:w="7800" w:type="dxa"/>
            <w:vAlign w:val="bottom"/>
          </w:tcPr>
          <w:p>
            <w:pPr>
              <w:ind w:left="220"/>
              <w:spacing w:after="0"/>
              <w:rPr>
                <w:sz w:val="20"/>
                <w:szCs w:val="20"/>
                <w:color w:val="auto"/>
              </w:rPr>
            </w:pPr>
            <w:r>
              <w:rPr>
                <w:rFonts w:ascii="Arial" w:cs="Arial" w:eastAsia="Arial" w:hAnsi="Arial"/>
                <w:sz w:val="18"/>
                <w:szCs w:val="18"/>
                <w:color w:val="auto"/>
              </w:rPr>
              <w:t>Principal, net of current portion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79,977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773,897</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Less-unamortized debt issuance costs (1)</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r>
      <w:tr>
        <w:trPr>
          <w:trHeight w:val="223"/>
        </w:trPr>
        <w:tc>
          <w:tcPr>
            <w:tcW w:w="7800" w:type="dxa"/>
            <w:vAlign w:val="bottom"/>
          </w:tcPr>
          <w:p>
            <w:pPr>
              <w:ind w:left="220"/>
              <w:spacing w:after="0"/>
              <w:rPr>
                <w:sz w:val="20"/>
                <w:szCs w:val="20"/>
                <w:color w:val="auto"/>
              </w:rPr>
            </w:pPr>
            <w:r>
              <w:rPr>
                <w:rFonts w:ascii="Arial" w:cs="Arial" w:eastAsia="Arial" w:hAnsi="Arial"/>
                <w:sz w:val="18"/>
                <w:szCs w:val="18"/>
                <w:color w:val="auto"/>
              </w:rPr>
              <w:t>Long-term debt, net of current portion</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79,025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757,250</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right="420" w:hanging="244"/>
        <w:spacing w:after="0" w:line="277" w:lineRule="auto"/>
        <w:tabs>
          <w:tab w:leader="none" w:pos="9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to this amount, costs of $1.8 million and $3.0 million related to the Senior Secured Revolver are recorded in other non-current assets as of December 31, 2020, and December 31, 2019,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capitalized interest costs of $0.2 million, $1.5 million, and $1.1 million in the years ended December 31, 2020, 2019, and 2018, respectively, related to construction in progress.</w:t>
      </w:r>
    </w:p>
    <w:p>
      <w:pPr>
        <w:spacing w:after="0" w:line="17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August 2020, we entered into an agreement to sell our Life Sciences business (see Note 2). The sale closed on October 6, 2020, at which time we received cash proceeds of $757.2 million. We immediately prepaid $700.0 million in the aggregate on the Senior Secured Term Loan and the Incremental Term Loan. We also paid in full the outstanding balance on the Senior Secured Revolver. The prepayment was applied to debt in accordance with the prepayment provisions of the credit agreement immediately after the transaction closed on October 6, 2020. See Note 2 for a description of the methodology for allocating debt-related costs in historical periods to discontinued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Outstanding borrowings under the Senior Secured Term Loan bear interest at one-month LIBOR (subject to a 0.75% floor) plus an applicable margin of 5.75%. At December 31, 2020, the Senior Secured Term Loan bore interest at 6.50%.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Outstanding borrowings under the Incremental Term Loan bear interest at one-month LIBOR plus an applicable margin of 5.75%. At December 31, 2020, the Incremental Term Loan bore interest at 5.90%.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Outstanding borrowings under the Senior Secured Revolver bear interest on a variable rate structure at either 1) one-month LIBOR plus an applicable margin of 4.00% or 2) the prime lending rate plus an applicable margin of 3.00%. We pay a commitment fee of 0.50% for unused capacity under the Senior Secured Revolver. We had no outstanding borrowings under the Senior Secured Revolver at December 31, 2020 or 2019. Total capacity under the Senior Secured Revolver was $60.0 million as of December 31, 2020, with $45.4 million available for future borrowings after reductions for outstanding letters of credit of $14.6 million. Our credit facility is subject to certain financial covenants based on a consolidated net leverage ratio, becoming more restrictive over time. We were in compliance with all covenants under our credit facility at December 31, 2020.</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Amendments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July 2020, we amended our Credit Agreement to waive compliance with the financial leverage ratio covenant for the second and third quarters of 2020. During this period, we were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outstanding under our credit facility to become immediately due and payable and could have a material, adverse impact on our financial position.</w:t>
      </w:r>
    </w:p>
    <w:p>
      <w:pPr>
        <w:spacing w:after="0" w:line="5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August 2020, we amended our Credit Agreement to obtain the lenders’ consent to the sale of the Life Sciences business, subject to certain terms and conditions. The amendment required a minimum of $675.0 million in cash proceeds from the sale. All cash proceeds, less certain allowable costs, were required by the amendment to be used to prepay the Senior Secured Term Loan and the Incremental Term Loan. The amendment also required a minimum $15.0 million payment on the Senior Secured Revolver and reduced total capacity from $75.0 million to $60.0 million immediately after the sale of the Life Sciences business. The capacity will decrease to $50.0 million on June 30, 2021. The amendment requires cash in excess of $35.0 million on the last day of each month to be used to pay down the Senior Secured Revolver. Liquidity thresholds were amended so that the threshold decreases commensurate with any principal payment on the Senior Secured Revolver.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under our credit facility at December 31, 2020.</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capitalized a total of $0.4 million in new debt issuance costs related to the July 2020 and August 2020 amendments. Costs related to the Senior Secured Term Loan and the Incremental Term Loan are recorded as a direct reduction to the carrying amount of the associated long-term debt. Costs related to the Senior Secured Revolver are recorded in other non-current assets. Additionally, $1.5 million of unamortized debt issuance costs were written off in the twelve months ended December 31, 2020, in connection with the July 2020 and August 2020 amendments. See Note 2 for a description of the methodology for allocating amortization and write-offs of debt issuance costs in historical periods to discontinued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Lines of Credit and Other Loans</w:t>
      </w:r>
    </w:p>
    <w:p>
      <w:pPr>
        <w:spacing w:after="0" w:line="11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International lines of credit and other loans consist of loans with financial institutions in France, Brazil, China, and the United States with a weighted average interest rate of 2.77% as of December 31, 2020. These sources are used to fund working capital and equipment purchases for our manufacturing plants and have a weighted average remaining term of 6.7 years. As of December 31, 2020, the international lines of credit and other loans had $14.4 million outstanding of which $4.5 million is classified as “Current maturities of long-term debt” on the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prepayment of debt on October 6, 2020, with proceeds from the sale of our Life Sciences business, the outstanding balance of our variable rate debt fell below the $700.0 million notional amount of the interest rate swap contract. Refer to Note 21 for further discussion of the interest rate swap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aggregate maturities of long-term debt for the next five years and thereafter.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9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135"/>
        </w:trPr>
        <w:tc>
          <w:tcPr>
            <w:tcW w:w="9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1"/>
                <w:szCs w:val="11"/>
                <w:color w:val="auto"/>
              </w:rPr>
            </w:pPr>
          </w:p>
        </w:tc>
        <w:tc>
          <w:tcPr>
            <w:tcW w:w="134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88"/>
        </w:trPr>
        <w:tc>
          <w:tcPr>
            <w:tcW w:w="9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24"/>
        </w:trPr>
        <w:tc>
          <w:tcPr>
            <w:tcW w:w="9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71,664</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outstanding principal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84,862</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adopted ASC 842 on January 1, 2019, and elected the modified retrospective approach in which the new standard is applied to all leases existing at the date of adoption through a cumulative-effect adjustment of less than $0.1 million to accumulated deficit. Consequently, financial information is not updated, and the disclosures required under the new standard are not provided for periods prior to January 1, 2019. As part of the adoption, we elected the package of practical expedients, the short-term lease exemption, and the practical expedient to not separate lease and non-lease components. Accordingly, we accounted for our existing operating leases as operating leases under the new standard, without reassessing (a) whether the contracts contain a lease under ASC 842, (b) whether classification of the operating leases would be different in accordance with ASC 842, or (c) whether any unamortized initial direct costs would have met the definition of initial direct costs in ASC 842 at lease commencement.</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determine whether an arrangement is a lease at inception. Right-of-use (“ROU”) lease assets represent our right to use an underlying asset for the lease term, and lease liabilities represent our obligation to make lease payments arising from the lease. ROU lease assets and liabilities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ROU lease assets is recognized in expense on a straight-line basis over the lease term.</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Short-term leases are leases having a term of twelve months or less. We recognize short-term leases on a straight-line basis and do not record a related lease asset or liability for such leases. Finance lease ROU assets consist primarily of equipment used in the manufacturing process with terms greater than two years to seven years. Operating lease ROU assets consist of the following:</w:t>
      </w:r>
    </w:p>
    <w:p>
      <w:pPr>
        <w:spacing w:after="0" w:line="7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Equipment used in the manufacturing process as well as office equipment with terms two years to five years;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plants and office facilities with terms two years to twenty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lease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w w:val="99"/>
              </w:rPr>
              <w:t>Years Ended December 31,</w:t>
            </w:r>
          </w:p>
        </w:tc>
      </w:tr>
      <w:tr>
        <w:trPr>
          <w:trHeight w:val="189"/>
        </w:trPr>
        <w:tc>
          <w:tcPr>
            <w:tcW w:w="3540" w:type="dxa"/>
            <w:vAlign w:val="bottom"/>
            <w:shd w:val="clear" w:color="auto" w:fill="CCEEFF"/>
          </w:tcPr>
          <w:p>
            <w:pPr>
              <w:spacing w:after="0"/>
              <w:rPr>
                <w:sz w:val="16"/>
                <w:szCs w:val="16"/>
                <w:color w:val="auto"/>
              </w:rPr>
            </w:pPr>
          </w:p>
        </w:tc>
        <w:tc>
          <w:tcPr>
            <w:tcW w:w="4980" w:type="dxa"/>
            <w:vAlign w:val="bottom"/>
            <w:gridSpan w:val="2"/>
            <w:shd w:val="clear" w:color="auto" w:fill="CCEEFF"/>
          </w:tcPr>
          <w:p>
            <w:pPr>
              <w:ind w:left="1500"/>
              <w:spacing w:after="0"/>
              <w:rPr>
                <w:sz w:val="20"/>
                <w:szCs w:val="20"/>
                <w:color w:val="auto"/>
              </w:rPr>
            </w:pPr>
            <w:r>
              <w:rPr>
                <w:rFonts w:ascii="Arial" w:cs="Arial" w:eastAsia="Arial" w:hAnsi="Arial"/>
                <w:sz w:val="14"/>
                <w:szCs w:val="14"/>
                <w:b w:val="1"/>
                <w:bCs w:val="1"/>
                <w:color w:val="auto"/>
              </w:rPr>
              <w:t>Financial Statement Line Item</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09"/>
        </w:trPr>
        <w:tc>
          <w:tcPr>
            <w:tcW w:w="35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4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0"/>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 and selling, general, and administrative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Short-term lease cost (1)</w:t>
            </w:r>
          </w:p>
        </w:tc>
        <w:tc>
          <w:tcPr>
            <w:tcW w:w="4980" w:type="dxa"/>
            <w:vAlign w:val="bottom"/>
            <w:gridSpan w:val="2"/>
          </w:tcPr>
          <w:p>
            <w:pPr>
              <w:spacing w:after="0"/>
              <w:rPr>
                <w:sz w:val="20"/>
                <w:szCs w:val="20"/>
                <w:color w:val="auto"/>
              </w:rPr>
            </w:pPr>
            <w:r>
              <w:rPr>
                <w:rFonts w:ascii="Arial" w:cs="Arial" w:eastAsia="Arial" w:hAnsi="Arial"/>
                <w:sz w:val="18"/>
                <w:szCs w:val="18"/>
                <w:color w:val="auto"/>
              </w:rPr>
              <w:t>Cost of sales and selling, general, and administrative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 (2)</w:t>
            </w: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 and selling, general, and administrative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w:t>
            </w:r>
          </w:p>
        </w:tc>
      </w:tr>
      <w:tr>
        <w:trPr>
          <w:trHeight w:val="20"/>
        </w:trPr>
        <w:tc>
          <w:tcPr>
            <w:tcW w:w="3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expenses related to leases with a lease term of one month or less.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changes to index-based lease payments.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lease-related assets and liabilities recorded on the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5"/>
              </w:rPr>
              <w:t>As of December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spacing w:after="0"/>
              <w:rPr>
                <w:sz w:val="16"/>
                <w:szCs w:val="16"/>
                <w:color w:val="auto"/>
              </w:rPr>
            </w:pPr>
          </w:p>
        </w:tc>
        <w:tc>
          <w:tcPr>
            <w:tcW w:w="5000" w:type="dxa"/>
            <w:vAlign w:val="bottom"/>
            <w:gridSpan w:val="2"/>
            <w:shd w:val="clear" w:color="auto" w:fill="CCEEFF"/>
          </w:tcPr>
          <w:p>
            <w:pPr>
              <w:ind w:left="1500"/>
              <w:spacing w:after="0"/>
              <w:rPr>
                <w:sz w:val="20"/>
                <w:szCs w:val="20"/>
                <w:color w:val="auto"/>
              </w:rPr>
            </w:pPr>
            <w:r>
              <w:rPr>
                <w:rFonts w:ascii="Arial" w:cs="Arial" w:eastAsia="Arial" w:hAnsi="Arial"/>
                <w:sz w:val="14"/>
                <w:szCs w:val="14"/>
                <w:b w:val="1"/>
                <w:bCs w:val="1"/>
                <w:color w:val="auto"/>
              </w:rPr>
              <w:t>Financial Statement Line Item</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140"/>
              <w:spacing w:after="0"/>
              <w:rPr>
                <w:sz w:val="20"/>
                <w:szCs w:val="20"/>
                <w:color w:val="auto"/>
              </w:rPr>
            </w:pPr>
            <w:r>
              <w:rPr>
                <w:rFonts w:ascii="Arial" w:cs="Arial" w:eastAsia="Arial" w:hAnsi="Arial"/>
                <w:sz w:val="18"/>
                <w:szCs w:val="18"/>
                <w:color w:val="auto"/>
              </w:rPr>
              <w:t>Assets:</w:t>
            </w:r>
          </w:p>
        </w:tc>
        <w:tc>
          <w:tcPr>
            <w:tcW w:w="4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assets</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0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50,264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45,452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Finance lease assets</w:t>
            </w:r>
          </w:p>
        </w:tc>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14,644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13,267</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assets</w:t>
            </w:r>
          </w:p>
        </w:tc>
        <w:tc>
          <w:tcPr>
            <w:tcW w:w="4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64,908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58,719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4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0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0"/>
        </w:trPr>
        <w:tc>
          <w:tcPr>
            <w:tcW w:w="2860" w:type="dxa"/>
            <w:vAlign w:val="bottom"/>
          </w:tcPr>
          <w:p>
            <w:pPr>
              <w:ind w:left="360"/>
              <w:spacing w:after="0"/>
              <w:rPr>
                <w:sz w:val="20"/>
                <w:szCs w:val="20"/>
                <w:color w:val="auto"/>
              </w:rPr>
            </w:pPr>
            <w:r>
              <w:rPr>
                <w:rFonts w:ascii="Arial" w:cs="Arial" w:eastAsia="Arial" w:hAnsi="Arial"/>
                <w:sz w:val="18"/>
                <w:szCs w:val="18"/>
                <w:color w:val="auto"/>
              </w:rPr>
              <w:t>Finance lease liabilities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liabilities:</w:t>
            </w:r>
          </w:p>
        </w:tc>
        <w:tc>
          <w:tcPr>
            <w:tcW w:w="4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55,053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48,575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liabilities</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23"/>
        </w:trPr>
        <w:tc>
          <w:tcPr>
            <w:tcW w:w="2860" w:type="dxa"/>
            <w:vAlign w:val="bottom"/>
          </w:tcPr>
          <w:p>
            <w:pPr>
              <w:ind w:left="140"/>
              <w:spacing w:after="0"/>
              <w:rPr>
                <w:sz w:val="20"/>
                <w:szCs w:val="20"/>
                <w:color w:val="auto"/>
              </w:rPr>
            </w:pPr>
            <w:r>
              <w:rPr>
                <w:rFonts w:ascii="Arial" w:cs="Arial" w:eastAsia="Arial" w:hAnsi="Arial"/>
                <w:sz w:val="18"/>
                <w:szCs w:val="18"/>
                <w:color w:val="auto"/>
              </w:rPr>
              <w:t>Total lease liabilities</w:t>
            </w:r>
          </w:p>
        </w:tc>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70,960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63,475</w:t>
            </w:r>
          </w:p>
        </w:tc>
        <w:tc>
          <w:tcPr>
            <w:tcW w:w="0" w:type="dxa"/>
            <w:vAlign w:val="bottom"/>
          </w:tcPr>
          <w:p>
            <w:pPr>
              <w:spacing w:after="0"/>
              <w:rPr>
                <w:sz w:val="1"/>
                <w:szCs w:val="1"/>
                <w:color w:val="auto"/>
              </w:rPr>
            </w:pPr>
          </w:p>
        </w:tc>
      </w:tr>
      <w:tr>
        <w:trPr>
          <w:trHeight w:val="21"/>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w w:val="92"/>
              </w:rPr>
              <w:t>The following table contains supplemental cash flow information related to leases of continuing operations.</w:t>
            </w: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3"/>
          </w:tcPr>
          <w:p>
            <w:pPr>
              <w:ind w:left="140"/>
              <w:spacing w:after="0"/>
              <w:rPr>
                <w:sz w:val="20"/>
                <w:szCs w:val="20"/>
                <w:color w:val="auto"/>
              </w:rPr>
            </w:pPr>
            <w:r>
              <w:rPr>
                <w:rFonts w:ascii="Arial" w:cs="Arial" w:eastAsia="Arial" w:hAnsi="Arial"/>
                <w:sz w:val="18"/>
                <w:szCs w:val="18"/>
                <w:color w:val="auto"/>
              </w:rPr>
              <w:t>Operating cash flows used in finance leases</w:t>
            </w:r>
          </w:p>
        </w:tc>
        <w:tc>
          <w:tcPr>
            <w:tcW w:w="10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7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cash flows used in operating leases</w:t>
            </w: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14,090</w:t>
            </w:r>
          </w:p>
        </w:tc>
        <w:tc>
          <w:tcPr>
            <w:tcW w:w="0" w:type="dxa"/>
            <w:vAlign w:val="bottom"/>
          </w:tcPr>
          <w:p>
            <w:pPr>
              <w:spacing w:after="0"/>
              <w:rPr>
                <w:sz w:val="1"/>
                <w:szCs w:val="1"/>
                <w:color w:val="auto"/>
              </w:rPr>
            </w:pPr>
          </w:p>
        </w:tc>
      </w:tr>
      <w:tr>
        <w:trPr>
          <w:trHeight w:val="230"/>
        </w:trPr>
        <w:tc>
          <w:tcPr>
            <w:tcW w:w="7860" w:type="dxa"/>
            <w:vAlign w:val="bottom"/>
            <w:gridSpan w:val="3"/>
          </w:tcPr>
          <w:p>
            <w:pPr>
              <w:ind w:left="140"/>
              <w:spacing w:after="0"/>
              <w:rPr>
                <w:sz w:val="20"/>
                <w:szCs w:val="20"/>
                <w:color w:val="auto"/>
              </w:rPr>
            </w:pPr>
            <w:r>
              <w:rPr>
                <w:rFonts w:ascii="Arial" w:cs="Arial" w:eastAsia="Arial" w:hAnsi="Arial"/>
                <w:sz w:val="18"/>
                <w:szCs w:val="18"/>
                <w:color w:val="auto"/>
              </w:rPr>
              <w:t>Financing cash flows used in finance leases</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30"/>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02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30"/>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10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25"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As of December 31, 2020, the weighted average remaining lease term and weighted-average discount rate for finance and operating leases of continuing operations were as follows:</w:t>
      </w: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486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3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years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33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11.7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11.0 years</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877"/>
        </w:trPr>
        <w:tc>
          <w:tcPr>
            <w:tcW w:w="4860" w:type="dxa"/>
            <w:vAlign w:val="bottom"/>
          </w:tcPr>
          <w:p>
            <w:pPr>
              <w:spacing w:after="0"/>
              <w:rPr>
                <w:sz w:val="24"/>
                <w:szCs w:val="24"/>
                <w:color w:val="auto"/>
              </w:rPr>
            </w:pPr>
          </w:p>
        </w:tc>
        <w:tc>
          <w:tcPr>
            <w:tcW w:w="3380" w:type="dxa"/>
            <w:vAlign w:val="bottom"/>
          </w:tcPr>
          <w:p>
            <w:pPr>
              <w:jc w:val="right"/>
              <w:ind w:right="2430"/>
              <w:spacing w:after="0"/>
              <w:rPr>
                <w:sz w:val="20"/>
                <w:szCs w:val="20"/>
                <w:color w:val="auto"/>
              </w:rPr>
            </w:pPr>
            <w:r>
              <w:rPr>
                <w:rFonts w:ascii="Arial" w:cs="Arial" w:eastAsia="Arial" w:hAnsi="Arial"/>
                <w:sz w:val="18"/>
                <w:szCs w:val="18"/>
                <w:color w:val="auto"/>
              </w:rPr>
              <w:t>63</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greater than twelve months as of December 31, 2020,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Arial" w:cs="Arial" w:eastAsia="Arial" w:hAnsi="Arial"/>
                <w:sz w:val="14"/>
                <w:szCs w:val="14"/>
                <w:b w:val="1"/>
                <w:bCs w:val="1"/>
                <w:color w:val="auto"/>
                <w:w w:val="99"/>
              </w:rPr>
              <w:t>Finance Leases</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3,107</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2019, we had an operating lease commitment that had not yet commenced. In March 2020, the operating lease for the manufacturing facility commenced and requires us to pay a total of approximately $27.5 million base rent payments over the lease term of 15 years. We began making rent payments in the third quarter of 2020.</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March 2020, we amended the lease of our corporate headquarters building to exit over half of the previously leased space and reduce annual base rent payments by approximately $1.3 million over the remaining lease term which ends in 2030.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expense, net,” on the Consolidated Statements of Operations and Comprehensive Income (Loss). In connection with the discontinued use of the previously leased space, we also recognized a $4.4 million termination charge and a $2.9 million impairment charge on the associated leasehold improvements, all of which were also recognized in “Other operating expense, net.”</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second quarter of 2020 and as part of our overall plan to improve liquidity during the COVID-19 pandemic, we negotiated with certain lessors to defer rent payments on leased buildings. In total, $0.5 million of operating lease payments for continuing operations were deferred over a period ranging from April 2020 to December 2020 and are being repaid over a period ranging from June 2020 through December 2022. The deferral of rent payments did not result in a substantial change in total lease payments over the individual lease terms. We have elected to apply lease accounting relief announced by the FASB in April 2020 and have treated these lease concessions as if they existed in the original contracts rather than applying lease modification accounting. The net impact on cash flows from operating activities on the Consolidated Statements of Cash Flows for the twelve months ended December 31, 2020, was $0.7 million in cash savings which includes $0.4 million related to continuing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we recognized rent expense of $8.7 million in continuing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and Integration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restructuring and integration charges for the years ended December 31, 2019 and 2018. There were no restructuring and integration charges for the year ended December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jc w:val="right"/>
              <w:ind w:right="39"/>
              <w:spacing w:after="0"/>
              <w:rPr>
                <w:sz w:val="20"/>
                <w:szCs w:val="20"/>
                <w:color w:val="auto"/>
              </w:rPr>
            </w:pPr>
            <w:r>
              <w:rPr>
                <w:rFonts w:ascii="Arial" w:cs="Arial" w:eastAsia="Arial" w:hAnsi="Arial"/>
                <w:sz w:val="14"/>
                <w:szCs w:val="14"/>
                <w:b w:val="1"/>
                <w:bCs w:val="1"/>
                <w:color w:val="auto"/>
              </w:rPr>
              <w:t>Mobile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4"/>
                <w:szCs w:val="14"/>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Solutions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Consolidations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CCEEFF"/>
            </w:tcBorders>
            <w:shd w:val="clear" w:color="auto" w:fill="CCEEFF"/>
          </w:tcPr>
          <w:p>
            <w:pPr>
              <w:spacing w:after="0"/>
              <w:rPr>
                <w:sz w:val="11"/>
                <w:szCs w:val="11"/>
                <w:color w:val="auto"/>
              </w:rPr>
            </w:pPr>
          </w:p>
        </w:tc>
        <w:tc>
          <w:tcPr>
            <w:tcW w:w="4200" w:type="dxa"/>
            <w:vAlign w:val="bottom"/>
            <w:tcBorders>
              <w:top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Year Ended December 31, 2019</w:t>
            </w:r>
          </w:p>
        </w:tc>
        <w:tc>
          <w:tcPr>
            <w:tcW w:w="24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Site closure and other associated costs</w:t>
            </w:r>
          </w:p>
        </w:tc>
        <w:tc>
          <w:tcPr>
            <w:tcW w:w="3560" w:type="dxa"/>
            <w:vAlign w:val="bottom"/>
            <w:gridSpan w:val="2"/>
          </w:tcPr>
          <w:p>
            <w:pPr>
              <w:jc w:val="right"/>
              <w:ind w:right="859"/>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line="135" w:lineRule="exact"/>
              <w:rPr>
                <w:sz w:val="20"/>
                <w:szCs w:val="20"/>
                <w:color w:val="auto"/>
              </w:rPr>
            </w:pPr>
            <w:r>
              <w:rPr>
                <w:rFonts w:ascii="Arial" w:cs="Arial" w:eastAsia="Arial" w:hAnsi="Arial"/>
                <w:sz w:val="14"/>
                <w:szCs w:val="14"/>
                <w:b w:val="1"/>
                <w:bCs w:val="1"/>
                <w:color w:val="auto"/>
              </w:rPr>
              <w:t>Year Ended December 31, 2018</w:t>
            </w: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continue"/>
          </w:tcPr>
          <w:p>
            <w:pPr>
              <w:spacing w:after="0"/>
              <w:rPr>
                <w:sz w:val="8"/>
                <w:szCs w:val="8"/>
                <w:color w:val="auto"/>
              </w:rPr>
            </w:pPr>
          </w:p>
        </w:tc>
        <w:tc>
          <w:tcPr>
            <w:tcW w:w="420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Severance and other employee costs</w:t>
            </w:r>
          </w:p>
        </w:tc>
        <w:tc>
          <w:tcPr>
            <w:tcW w:w="356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Site closure and other associated costs</w:t>
            </w:r>
          </w:p>
        </w:tc>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64</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restructuring and integration reserve activity for the years ended December 31, 2019 and 2018. There was no restructuring and integration reserve activity for the year ended December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Reserve Balance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Non-cash</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14"/>
                <w:szCs w:val="14"/>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Reserve Balance</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2018</w:t>
            </w: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Reductions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other employee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Site closure and other associated costs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left="617"/>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Reserve Balance</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Non-cash</w:t>
            </w:r>
          </w:p>
        </w:tc>
        <w:tc>
          <w:tcPr>
            <w:tcW w:w="200" w:type="dxa"/>
            <w:vAlign w:val="bottom"/>
          </w:tcPr>
          <w:p>
            <w:pPr>
              <w:spacing w:after="0"/>
              <w:rPr>
                <w:sz w:val="20"/>
                <w:szCs w:val="20"/>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20"/>
                <w:szCs w:val="20"/>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Reserve Balance</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2017</w:t>
            </w: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Reductions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other employee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Site closure and other associated costs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97"/>
              <w:spacing w:after="0"/>
              <w:rPr>
                <w:sz w:val="20"/>
                <w:szCs w:val="20"/>
                <w:color w:val="auto"/>
              </w:rPr>
            </w:pPr>
            <w:r>
              <w:rPr>
                <w:rFonts w:ascii="Arial" w:cs="Arial" w:eastAsia="Arial" w:hAnsi="Arial"/>
                <w:sz w:val="18"/>
                <w:szCs w:val="18"/>
                <w:color w:val="auto"/>
                <w:w w:val="93"/>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697"/>
              <w:spacing w:after="0"/>
              <w:rPr>
                <w:sz w:val="20"/>
                <w:szCs w:val="20"/>
                <w:color w:val="auto"/>
              </w:rPr>
            </w:pPr>
            <w:r>
              <w:rPr>
                <w:rFonts w:ascii="Arial" w:cs="Arial" w:eastAsia="Arial" w:hAnsi="Arial"/>
                <w:sz w:val="18"/>
                <w:szCs w:val="18"/>
                <w:color w:val="auto"/>
                <w:w w:val="93"/>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2018, we recognized severance and other employee costs of $0.6 million at corporate headquarters related to the restructuring of our former Precision Engineered Products Group, effective January 2, 2018.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October 26, 2020, Corre Opportunities Qualified Master Fund, LP, and Corre Horizon Fund, LP, filed a complaint in the Chancery Court of the State of Delaware against the Company. The complaint alleges that the Company’s sale of its Life Sciences business without obtaining the prior consent of the plaintiffs was a breach of the terms of the Series B Preferred Stock.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Preferred Stock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11, 2019, we issued to affiliates of existing common stockholders in a private placement 0.1 million shares of contingently redeemable Series B convertible preferred stock (“Preferred Stock”), par value of $0.01 per share and at a price of $1,000 per share, together with detachable warrants (the “Warrants”) to purchase up to 1.5 million shares of our common stock at an exercise price of $12.00 per share. The Preferred Stock has a liquidation preference of $1,000 per share; is redeemable at our option in cash (or, under certain circumstances, in stock), subject to the applicable redemption premium; is convertible into a variable number of common shares on certain terms and conditions on or after March 31, 2023; and is subject to certain other rights and obligations. In connection with the issuance of Preferred Stock, we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cash proceeds of $95.7 million from the issuance of the Preferred Stock were used for debt repayment, fees associated with the amendment and extension of our credit facility, and for general corporate purposes. Preferred Stock shares earn cumulative dividends at a rate of 10.625% per year, payable quarterly in arrears if declared, and accrue whether or not earned or declared. If a Preferred Stock dividend is declared by the Board of Directors, then it will be paid in cash. Additionally, holders of Preferred Stock participate in any dividends paid on shares of our common stock on an as-converted basis at a fixed conversion rate. Our common stockholders approved a proposal at our 2020 annual stockholder meeting to issue common stock in excess of thresholds established by certain Nasdaq stock market rules upon the exercise of Warrants or the conversion or redemption of Preferred Stock.</w:t>
      </w:r>
    </w:p>
    <w:p>
      <w:pPr>
        <w:spacing w:after="0" w:line="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Preferred Stock is classified as mezzanine equity, between liabilities and stockholders’ equity, because certain features of the Preferred Stock could require redemption of some or all Preferred Stock upon events that are considered not solely within our control, including a leverage ratio threshold and the passage of time. For initial recognition in 2019, the Preferred Stock was recognized at a discounted value, net of issuance costs and allocation to warrants and bifurcated embedded derivatives. The aggregate discount is amortized as a deemed dividend through December 31, 2023, which is the date the holders have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(“ASC 815-15”) certain features of the Preferred Stock were bifurcated and accounted for as derivatives separate from the Preferred Stock. Note 21 discusses the accounting for these features.</w:t>
      </w:r>
    </w:p>
    <w:p>
      <w:pPr>
        <w:spacing w:after="0" w:line="6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As of December 31, 2020, the carrying value of the Preferred Stock shares was $105.1 million which included $13.0 million of accumulated unpaid and deemed dividends. The following table presents the change in the Preferred Stock carrying value during the year ended December 31, 2020.</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2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Gross proceeds from issuance of shares</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Relative fair value of Warrants issued</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Recognition of bifurcated embedded derivative</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issuance costs to Preferred Stock</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Accrual of in-kind dividends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93,012</w:t>
            </w: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September 2018, we issued 14.4 million shares of our common stock in a public offering under our shelf registration statement at a price of $16.00 per share. Net proceeds of $217.3 million were used to repay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Purchase Rights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April 15, 2020, our Board of Directors authorized and declared a dividend of one preferred share purchase right for each outstanding share of common stock to shareholders of record on April 27, 2020. The rights will become exercisable if a person or group becomes the beneficial owner of 15% or more of our outstanding common stock (including in the form of synthetic ownership through derivative positions). In the event that the rights become exercisable due to the triggering ownership threshold being crossed, each right will entitle its holder to purchase one thousandth of a share of Series C Junior Participating Preferred Stock for $31.50 per share. Rights held by the triggering person or entity will become void and will not be exercisable. The Board of Directors may, rather than permitting the exercise of the rights, exchange each right (other than rights held by the triggering person or entity) for one share of common stock per right, subject to adjustment. The Board of Directors will, prior to the rights becoming exercisable, in general be entitled to redeem the rights for $0.001 per right. The rights expire on March 31, 2021.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Revenue from Contracts with Customers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2020</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8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(95)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52,005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29,865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256,360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(95)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427,534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2019</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28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(335)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319,055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45,515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32,304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5"/>
              </w:rPr>
              <w:t>(335)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489,514</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2018</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28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(621)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343,914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49,147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39,307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335,037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5"/>
              </w:rPr>
              <w:t>(621)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524,194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generally transfer control and recognize a sale when we ship the product from our manufacturing facility to our customer, at a point in time, as this is when our customer obtains the ability to direct use of, and obtain substantially all of the remaining benefits from, the goods. We have elected to recognize the cost for freight and shipping when control over products has transferred to the customer as a component of cost of sales.</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utilize the portfolio approach practical expedient to evaluate sales-related discounts on a portfolio basis to contracts with similar characteristics. The effect on our consolidated financial statements of applying the portfolio approach would not differ materially from evaluation of individual contracts.</w:t>
      </w:r>
    </w:p>
    <w:p>
      <w:pPr>
        <w:spacing w:after="0" w:line="1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and we estimate the impact to the transaction price based on an analysis of historical experience.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Revenue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December 31, 2020, unless our contracts meet one of the practical expedients. Our contracts met the practical expedient for a performance obligation that is part of a contract that has an original expected duration of one year or less.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recognize commissions paid to internal sales personnel that are incremental to obtaining customer contracts as an expense when incurred since the amortization period is less than one year. Costs to obtain a contract are expensed as selling, general and administrative expense.</w:t>
      </w:r>
    </w:p>
    <w:p>
      <w:pPr>
        <w:spacing w:after="0" w:line="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Sales, VAT, and other taxes we collect concurrent with revenue-producing activities are excluded from revenue. Incidental items that are immaterial in the context of the contract are recognized as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recognized sales from a single customer of $49.7 million, or 10% of consolidated net sales, during the year ended December 31, 2019, and $65.3 million, or 12% of consolidated net sales, during the year ended December 31, 2018. Revenues from this customer are in our Mobile Solutions segment and were less than 10% of consolidated net sales during the year ended December 31,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Compensation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 compensation expense of all employee and non-employee director share-based compensation awards in the consolidated financial statements based upon the grant-date fair value of the awards over the requisite service or vesting period, less any expense incurred for estimated forfeitures. As of December 31, 2020, we have 2.7 million maximum shares available that can be issued as options, stock appreciation rights, and other share-based awards. Shares of our common stock delivered upon exercise or vesting may consist of newly issued shares of our common stock or shares acquired in the open market.</w:t>
      </w:r>
    </w:p>
    <w:p>
      <w:pPr>
        <w:spacing w:after="0" w:line="8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Share-based compensation expense is recognized in the “Selling, general, and administrative expense” line in the Consolidated Statements of Operations and Comprehensive Income (Loss) except for $0.8 million, $0.4 million, and $0.2 million attributable to discontinued operations for the twelve months ended December 31, 2020, 2019, and 2018, respectively. The following table lists the components of share-based compensation expense by type of award.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30"/>
        </w:trPr>
        <w:tc>
          <w:tcPr>
            <w:tcW w:w="6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Change in estimate of share-based award vesting </w:t>
            </w:r>
            <w:r>
              <w:rPr>
                <w:rFonts w:ascii="Arial" w:cs="Arial" w:eastAsia="Arial" w:hAnsi="Arial"/>
                <w:sz w:val="23"/>
                <w:szCs w:val="23"/>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r>
      <w:tr>
        <w:trPr>
          <w:trHeight w:val="248"/>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right="260" w:hanging="247"/>
        <w:spacing w:after="0" w:line="277" w:lineRule="auto"/>
        <w:tabs>
          <w:tab w:leader="none" w:pos="6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 the decrease in share-based compensation expense based on the change in estimate of the probability of vesting of share-based awards.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Unrecognized compensation cost related to unvested awards was $3.6 million as of December 31, 2020. We expect that cost to be recognized over a weighted-average period of 2.2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Option awards are typically granted to key employees on an annual basis. A single option grant is typically awarded to eligible employees each year by the Compensation Committee of the Board of Directors. The Compensation Committee occasionally awards additional individual grants to eligible employees. All employees are awarded options at an exercise price equal to the closing price of our stock on the date of grant. The term life of options is generally ten years with a vesting period of generally three years.</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years ended 2020, 2019, and 2018, we granted options to purchase 158,700, 210,400, and 57,800 shares, respectively, to certain key employees. The weighted average grant-date fair value of the options granted during 2020, 2019, and 2018 was $4.76, $2.77, and $10.60 per share, respectively. The fair value of our options cannot be determined by market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value because they are not traded in an open market. Accordingly, we utilized the Black Scholes financial pricing model to estimate the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weighted average assumptions relevant to determining the fair value of stock options granted in each year.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gridSpan w:val="2"/>
          </w:tcPr>
          <w:p>
            <w:pPr>
              <w:ind w:left="650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740" w:type="dxa"/>
            <w:vAlign w:val="bottom"/>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2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Average 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2.47 %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2.66 %</w:t>
            </w:r>
          </w:p>
        </w:tc>
      </w:tr>
      <w:tr>
        <w:trPr>
          <w:trHeight w:val="22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52.80 %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49.53 %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47.69 %</w:t>
            </w:r>
          </w:p>
        </w:tc>
      </w:tr>
      <w:tr>
        <w:trPr>
          <w:trHeight w:val="22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forfeiture rate</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bl>
    <w:p>
      <w:pPr>
        <w:spacing w:after="0" w:line="20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SAB Topic 14,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The simplified method was used because sufficient historical stock option exercise experience was not available,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 of the management structure over the past several years.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 The expected dividend yield for 2020 grants reflects no expected annual dividends over the expected term because we discontinued dividends in 2019.</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expected volatility rate is derived by a mathematical formula utilizing daily closing price data.</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expected forfeiture rate is determined from examining the historical pre-vesting forfeiture patterns of past option issuances to key employees. While the expected forfeiture rate is not an input of the Black Scholes financial pricing model for determining the fair value of the options, it is an important determinant of stock option compensation expense to be recorded.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year ended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6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2"/>
              </w:rPr>
              <w:t>Aggregate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Options</w:t>
            </w: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5"/>
              </w:rPr>
              <w:t>Intrinsic</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8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Term (years)</w:t>
            </w:r>
          </w:p>
        </w:tc>
        <w:tc>
          <w:tcPr>
            <w:tcW w:w="260" w:type="dxa"/>
            <w:vAlign w:val="bottom"/>
          </w:tcPr>
          <w:p>
            <w:pPr>
              <w:spacing w:after="0"/>
              <w:rPr>
                <w:sz w:val="16"/>
                <w:szCs w:val="16"/>
                <w:color w:val="auto"/>
              </w:rPr>
            </w:pPr>
          </w:p>
        </w:tc>
        <w:tc>
          <w:tcPr>
            <w:tcW w:w="1160" w:type="dxa"/>
            <w:vAlign w:val="bottom"/>
          </w:tcPr>
          <w:p>
            <w:pPr>
              <w:jc w:val="center"/>
              <w:ind w:right="161"/>
              <w:spacing w:after="0"/>
              <w:rPr>
                <w:sz w:val="20"/>
                <w:szCs w:val="20"/>
                <w:color w:val="auto"/>
              </w:rPr>
            </w:pPr>
            <w:r>
              <w:rPr>
                <w:rFonts w:ascii="Arial" w:cs="Arial" w:eastAsia="Arial" w:hAnsi="Arial"/>
                <w:sz w:val="14"/>
                <w:szCs w:val="14"/>
                <w:b w:val="1"/>
                <w:bCs w:val="1"/>
                <w:color w:val="auto"/>
                <w:w w:val="96"/>
              </w:rPr>
              <w:t>Value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4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ind w:left="108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or expired</w:t>
            </w:r>
          </w:p>
        </w:tc>
        <w:tc>
          <w:tcPr>
            <w:tcW w:w="14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3"/>
              </w:rPr>
              <w:t>(63)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1520" w:type="dxa"/>
            <w:vAlign w:val="bottom"/>
            <w:gridSpan w:val="2"/>
          </w:tcPr>
          <w:p>
            <w:pPr>
              <w:ind w:left="760"/>
              <w:spacing w:after="0"/>
              <w:rPr>
                <w:sz w:val="20"/>
                <w:szCs w:val="20"/>
                <w:color w:val="auto"/>
              </w:rPr>
            </w:pPr>
            <w:r>
              <w:rPr>
                <w:rFonts w:ascii="Arial" w:cs="Arial" w:eastAsia="Arial" w:hAnsi="Arial"/>
                <w:sz w:val="18"/>
                <w:szCs w:val="18"/>
                <w:color w:val="auto"/>
                <w:w w:val="99"/>
              </w:rPr>
              <w:t>4.0 years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4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w w:val="99"/>
              </w:rPr>
              <w:t>2.7 years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80" w:right="180" w:hanging="324"/>
        <w:spacing w:after="0" w:line="342" w:lineRule="auto"/>
        <w:tabs>
          <w:tab w:leader="none" w:pos="9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aggregate intrinsic value is the sum of intrinsic values for each exercisable individual option grant. The intrinsic value is the amount by which the closing market price of our stock at December 31, 2020, was greater than the exercise price of any individual option grant.</w:t>
      </w:r>
    </w:p>
    <w:p>
      <w:pPr>
        <w:spacing w:after="0" w:line="12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No options were exercised during the year ended December 31, 2020. Cash proceeds from the exercise of options in the years ended December 31, 2019 and 2018, totaled less than $0.1 million and $0.3 million, respectively. The tax benefit recognized from stock option exercises was less than $0.1 million and $0.1 million in the years ended December 31, 2019 and 2018, respectively. For the years ended December 31, 2019 and 2018, proceeds from stock options are presented exclusive of tax benefits in cash flows from financing activities in the Consolidated Statements of Cash Flows. The total intrinsic value of options exercised during the years ended December 31, 2019 and 2018, was $7.0 thousand and $0.5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years ended December 31, 2020, 2019, and 2018, we granted 460,255, 339,498, and 86,516 shares of restricted stock to non-executive directors, officers, and certain other key employees. The shares of restricted stock granted during the years ended December 31, 2020, 2019, and 2018, vest pro-rata generally over three years for officers and certain other key employees and over one year for non-executive directors and certain key employees. We determined the fair value of the shares awarded by using the closing price of our common stock as of the date of grant. The weighted average grant-date fair value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restricted stock granted in the years ended December 31, 2020, 2019, and 2018, was $9.35, $7.74, and $24.55 per share, respectively. The total grant-date fair value of restricted stock that vested in the years ended December 31, 2020, 2019, and 2018, was $1.9 million, $2.9 million, and $1.8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December 31, 2020, and changes during the year then ended.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2020 were made pursuant to the NN, Inc. 2019 Omnibus Incentive Plan and a Performance Share Unit Agreement (the “2019 Omnibus Agreement”). PSUs granted in 2019 and 2018 were made pursuant to the NN, Inc. 2016 Omnibus Incentive Plan and a Performance Share Unit Agreement (the “2016 Omnibus Agreement”). Some PSUs are based on total shareholder return (“TSR Awards”), and other PSUs are based on return on invested capital (“ROIC Awards”).</w:t>
      </w:r>
    </w:p>
    <w:p>
      <w:pPr>
        <w:spacing w:after="0" w:line="5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and the 2016 Omnibus Agreement. The ROIC Awards will vest, if at all, upon our achieving a specified average return on invested capital during the performance periods. Each performance period generally begins on January 1 of the year of grant and ends 36 months later on December 31.</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goals with respect to TSR Awards and ROIC Awards granted in 2020, 2019, and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TSR Awards:</w:t>
            </w:r>
          </w:p>
        </w:tc>
        <w:tc>
          <w:tcPr>
            <w:tcW w:w="3660" w:type="dxa"/>
            <w:vAlign w:val="bottom"/>
            <w:gridSpan w:val="4"/>
          </w:tcPr>
          <w:p>
            <w:pPr>
              <w:jc w:val="right"/>
              <w:ind w:right="1500"/>
              <w:spacing w:after="0"/>
              <w:rPr>
                <w:sz w:val="20"/>
                <w:szCs w:val="20"/>
                <w:color w:val="auto"/>
              </w:rPr>
            </w:pPr>
            <w:r>
              <w:rPr>
                <w:rFonts w:ascii="Arial" w:cs="Arial" w:eastAsia="Arial" w:hAnsi="Arial"/>
                <w:sz w:val="14"/>
                <w:szCs w:val="14"/>
                <w:b w:val="1"/>
                <w:bCs w:val="1"/>
                <w:color w:val="auto"/>
              </w:rPr>
              <w:t>Threshold Performance</w:t>
            </w:r>
          </w:p>
        </w:tc>
        <w:tc>
          <w:tcPr>
            <w:tcW w:w="2560" w:type="dxa"/>
            <w:vAlign w:val="bottom"/>
            <w:gridSpan w:val="5"/>
          </w:tcPr>
          <w:p>
            <w:pPr>
              <w:jc w:val="center"/>
              <w:ind w:right="1200"/>
              <w:spacing w:after="0"/>
              <w:rPr>
                <w:sz w:val="20"/>
                <w:szCs w:val="20"/>
                <w:color w:val="auto"/>
              </w:rPr>
            </w:pPr>
            <w:r>
              <w:rPr>
                <w:rFonts w:ascii="Arial" w:cs="Arial" w:eastAsia="Arial" w:hAnsi="Arial"/>
                <w:sz w:val="14"/>
                <w:szCs w:val="14"/>
                <w:b w:val="1"/>
                <w:bCs w:val="1"/>
                <w:color w:val="auto"/>
                <w:w w:val="93"/>
              </w:rPr>
              <w:t>Target Performance</w:t>
            </w:r>
          </w:p>
        </w:tc>
        <w:tc>
          <w:tcPr>
            <w:tcW w:w="2480" w:type="dxa"/>
            <w:vAlign w:val="bottom"/>
          </w:tcPr>
          <w:p>
            <w:pPr>
              <w:jc w:val="right"/>
              <w:ind w:right="617"/>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3660" w:type="dxa"/>
            <w:vAlign w:val="bottom"/>
            <w:gridSpan w:val="4"/>
          </w:tcPr>
          <w:p>
            <w:pPr>
              <w:jc w:val="right"/>
              <w:ind w:right="1720"/>
              <w:spacing w:after="0" w:line="149" w:lineRule="exact"/>
              <w:rPr>
                <w:sz w:val="20"/>
                <w:szCs w:val="20"/>
                <w:color w:val="auto"/>
              </w:rPr>
            </w:pPr>
            <w:r>
              <w:rPr>
                <w:rFonts w:ascii="Arial" w:cs="Arial" w:eastAsia="Arial" w:hAnsi="Arial"/>
                <w:sz w:val="14"/>
                <w:szCs w:val="14"/>
                <w:b w:val="1"/>
                <w:bCs w:val="1"/>
                <w:color w:val="auto"/>
              </w:rPr>
              <w:t>(50% of Shares)</w:t>
            </w:r>
          </w:p>
        </w:tc>
        <w:tc>
          <w:tcPr>
            <w:tcW w:w="120" w:type="dxa"/>
            <w:vAlign w:val="bottom"/>
          </w:tcPr>
          <w:p>
            <w:pPr>
              <w:spacing w:after="0"/>
              <w:rPr>
                <w:sz w:val="12"/>
                <w:szCs w:val="12"/>
                <w:color w:val="auto"/>
              </w:rPr>
            </w:pPr>
          </w:p>
        </w:tc>
        <w:tc>
          <w:tcPr>
            <w:tcW w:w="244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8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2020 grants</w:t>
            </w:r>
          </w:p>
        </w:tc>
        <w:tc>
          <w:tcPr>
            <w:tcW w:w="1180" w:type="dxa"/>
            <w:vAlign w:val="bottom"/>
            <w:shd w:val="clear" w:color="auto" w:fill="CCEEFF"/>
          </w:tcPr>
          <w:p>
            <w:pPr>
              <w:spacing w:after="0"/>
              <w:rPr>
                <w:sz w:val="19"/>
                <w:szCs w:val="19"/>
                <w:color w:val="auto"/>
              </w:rPr>
            </w:pPr>
          </w:p>
        </w:tc>
        <w:tc>
          <w:tcPr>
            <w:tcW w:w="1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35 th Percentile</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1"/>
              </w:rPr>
              <w:t>50 th Percentile</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th Percentile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2019 grants</w:t>
            </w:r>
          </w:p>
        </w:tc>
        <w:tc>
          <w:tcPr>
            <w:tcW w:w="1180" w:type="dxa"/>
            <w:vAlign w:val="bottom"/>
          </w:tcPr>
          <w:p>
            <w:pPr>
              <w:spacing w:after="0"/>
              <w:rPr>
                <w:sz w:val="19"/>
                <w:szCs w:val="19"/>
                <w:color w:val="auto"/>
              </w:rPr>
            </w:pPr>
          </w:p>
        </w:tc>
        <w:tc>
          <w:tcPr>
            <w:tcW w:w="2480" w:type="dxa"/>
            <w:vAlign w:val="bottom"/>
            <w:gridSpan w:val="3"/>
          </w:tcPr>
          <w:p>
            <w:pPr>
              <w:ind w:left="540"/>
              <w:spacing w:after="0"/>
              <w:rPr>
                <w:sz w:val="20"/>
                <w:szCs w:val="20"/>
                <w:color w:val="auto"/>
              </w:rPr>
            </w:pPr>
            <w:r>
              <w:rPr>
                <w:rFonts w:ascii="Arial" w:cs="Arial" w:eastAsia="Arial" w:hAnsi="Arial"/>
                <w:sz w:val="18"/>
                <w:szCs w:val="18"/>
                <w:color w:val="auto"/>
              </w:rPr>
              <w:t>35 th Percentile</w:t>
            </w:r>
          </w:p>
        </w:tc>
        <w:tc>
          <w:tcPr>
            <w:tcW w:w="120" w:type="dxa"/>
            <w:vAlign w:val="bottom"/>
          </w:tcPr>
          <w:p>
            <w:pPr>
              <w:spacing w:after="0"/>
              <w:rPr>
                <w:sz w:val="19"/>
                <w:szCs w:val="19"/>
                <w:color w:val="auto"/>
              </w:rPr>
            </w:pPr>
          </w:p>
        </w:tc>
        <w:tc>
          <w:tcPr>
            <w:tcW w:w="2440" w:type="dxa"/>
            <w:vAlign w:val="bottom"/>
            <w:gridSpan w:val="4"/>
          </w:tcPr>
          <w:p>
            <w:pPr>
              <w:ind w:left="760"/>
              <w:spacing w:after="0"/>
              <w:rPr>
                <w:sz w:val="20"/>
                <w:szCs w:val="20"/>
                <w:color w:val="auto"/>
              </w:rPr>
            </w:pPr>
            <w:r>
              <w:rPr>
                <w:rFonts w:ascii="Arial" w:cs="Arial" w:eastAsia="Arial" w:hAnsi="Arial"/>
                <w:sz w:val="18"/>
                <w:szCs w:val="18"/>
                <w:color w:val="auto"/>
              </w:rPr>
              <w:t>50 th Percentile</w:t>
            </w:r>
          </w:p>
        </w:tc>
        <w:tc>
          <w:tcPr>
            <w:tcW w:w="2480" w:type="dxa"/>
            <w:vAlign w:val="bottom"/>
          </w:tcPr>
          <w:p>
            <w:pPr>
              <w:jc w:val="right"/>
              <w:spacing w:after="0"/>
              <w:rPr>
                <w:sz w:val="20"/>
                <w:szCs w:val="20"/>
                <w:color w:val="auto"/>
              </w:rPr>
            </w:pPr>
            <w:r>
              <w:rPr>
                <w:rFonts w:ascii="Arial" w:cs="Arial" w:eastAsia="Arial" w:hAnsi="Arial"/>
                <w:sz w:val="18"/>
                <w:szCs w:val="18"/>
                <w:color w:val="auto"/>
              </w:rPr>
              <w:t>75 th Percentile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2018 grants</w:t>
            </w:r>
          </w:p>
        </w:tc>
        <w:tc>
          <w:tcPr>
            <w:tcW w:w="118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35 th Percentile</w:t>
            </w:r>
          </w:p>
        </w:tc>
        <w:tc>
          <w:tcPr>
            <w:tcW w:w="120" w:type="dxa"/>
            <w:vAlign w:val="bottom"/>
            <w:shd w:val="clear" w:color="auto" w:fill="CCEEFF"/>
          </w:tcPr>
          <w:p>
            <w:pPr>
              <w:spacing w:after="0"/>
              <w:rPr>
                <w:sz w:val="19"/>
                <w:szCs w:val="19"/>
                <w:color w:val="auto"/>
              </w:rPr>
            </w:pPr>
          </w:p>
        </w:tc>
        <w:tc>
          <w:tcPr>
            <w:tcW w:w="244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50 th Percentile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th Percentile</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ROIC Awards:</w:t>
            </w:r>
          </w:p>
        </w:tc>
        <w:tc>
          <w:tcPr>
            <w:tcW w:w="1180" w:type="dxa"/>
            <w:vAlign w:val="bottom"/>
          </w:tcPr>
          <w:p>
            <w:pPr>
              <w:spacing w:after="0"/>
              <w:rPr>
                <w:sz w:val="24"/>
                <w:szCs w:val="2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Threshold Performance</w:t>
            </w:r>
          </w:p>
        </w:tc>
        <w:tc>
          <w:tcPr>
            <w:tcW w:w="12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480" w:type="dxa"/>
            <w:vAlign w:val="bottom"/>
          </w:tcPr>
          <w:p>
            <w:pPr>
              <w:ind w:left="500"/>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(35% of Shares)</w:t>
            </w:r>
          </w:p>
        </w:tc>
        <w:tc>
          <w:tcPr>
            <w:tcW w:w="120" w:type="dxa"/>
            <w:vAlign w:val="bottom"/>
          </w:tcPr>
          <w:p>
            <w:pPr>
              <w:spacing w:after="0"/>
              <w:rPr>
                <w:sz w:val="12"/>
                <w:szCs w:val="12"/>
                <w:color w:val="auto"/>
              </w:rPr>
            </w:pPr>
          </w:p>
        </w:tc>
        <w:tc>
          <w:tcPr>
            <w:tcW w:w="24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80" w:type="dxa"/>
            <w:vAlign w:val="bottom"/>
          </w:tcPr>
          <w:p>
            <w:pPr>
              <w:jc w:val="right"/>
              <w:ind w:right="617"/>
              <w:spacing w:after="0" w:line="149"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2020 grants (1)</w:t>
            </w:r>
          </w:p>
        </w:tc>
        <w:tc>
          <w:tcPr>
            <w:tcW w:w="118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2019 grants</w:t>
            </w:r>
          </w:p>
        </w:tc>
        <w:tc>
          <w:tcPr>
            <w:tcW w:w="3660" w:type="dxa"/>
            <w:vAlign w:val="bottom"/>
            <w:gridSpan w:val="4"/>
          </w:tcPr>
          <w:p>
            <w:pPr>
              <w:jc w:val="right"/>
              <w:ind w:right="20"/>
              <w:spacing w:after="0"/>
              <w:rPr>
                <w:sz w:val="20"/>
                <w:szCs w:val="20"/>
                <w:color w:val="auto"/>
              </w:rPr>
            </w:pPr>
            <w:r>
              <w:rPr>
                <w:rFonts w:ascii="Arial" w:cs="Arial" w:eastAsia="Arial" w:hAnsi="Arial"/>
                <w:sz w:val="18"/>
                <w:szCs w:val="18"/>
                <w:color w:val="auto"/>
              </w:rPr>
              <w:t>4.7 %</w:t>
            </w:r>
          </w:p>
        </w:tc>
        <w:tc>
          <w:tcPr>
            <w:tcW w:w="2460" w:type="dxa"/>
            <w:vAlign w:val="bottom"/>
            <w:gridSpan w:val="4"/>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2018 grants</w:t>
            </w:r>
          </w:p>
        </w:tc>
        <w:tc>
          <w:tcPr>
            <w:tcW w:w="3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15.5 %</w:t>
            </w: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44"/>
        </w:trPr>
        <w:tc>
          <w:tcPr>
            <w:tcW w:w="2500" w:type="dxa"/>
            <w:vAlign w:val="bottom"/>
            <w:gridSpan w:val="4"/>
          </w:tcPr>
          <w:p>
            <w:pPr>
              <w:spacing w:after="0"/>
              <w:rPr>
                <w:sz w:val="20"/>
                <w:szCs w:val="20"/>
                <w:color w:val="auto"/>
              </w:rPr>
            </w:pPr>
            <w:r>
              <w:rPr>
                <w:rFonts w:ascii="Arial" w:cs="Arial" w:eastAsia="Arial" w:hAnsi="Arial"/>
                <w:sz w:val="14"/>
                <w:szCs w:val="14"/>
                <w:color w:val="auto"/>
              </w:rPr>
              <w:t>_______________________________</w:t>
            </w:r>
          </w:p>
        </w:tc>
        <w:tc>
          <w:tcPr>
            <w:tcW w:w="1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980" w:right="60" w:hanging="324"/>
        <w:spacing w:after="0" w:line="287" w:lineRule="auto"/>
        <w:tabs>
          <w:tab w:leader="none" w:pos="97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performance levels for 2020 grants were modified by the compensation committee of the board of directors in the first quarter of 2021 to adjust for the sale of the Life Sciences business and the ongoing effects of the COVID-19 pandemic. Threshold Performance was changed to 6.7% to earn 50% of Shares, Target Performance was changed to 7.9% to earn 100% of Shares, and Maximum Performance was changed to</w:t>
      </w:r>
    </w:p>
    <w:p>
      <w:pPr>
        <w:spacing w:after="0" w:line="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8.7% to earn 150% of Shares.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estimate the grant-date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grant-date fair value of ROIC Awards is based on the closing price of a share of our common stock on the date of grant.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grant-date fair value of each award in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TSR Awards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ROIC Awards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jc w:val="center"/>
              <w:ind w:right="319"/>
              <w:spacing w:after="0" w:line="135" w:lineRule="exact"/>
              <w:rPr>
                <w:sz w:val="20"/>
                <w:szCs w:val="20"/>
                <w:color w:val="auto"/>
              </w:rPr>
            </w:pPr>
            <w:r>
              <w:rPr>
                <w:rFonts w:ascii="Arial" w:cs="Arial" w:eastAsia="Arial" w:hAnsi="Arial"/>
                <w:sz w:val="14"/>
                <w:szCs w:val="14"/>
                <w:b w:val="1"/>
                <w:bCs w:val="1"/>
                <w:color w:val="auto"/>
                <w:w w:val="96"/>
              </w:rPr>
              <w:t>Grant-Date</w:t>
            </w:r>
          </w:p>
        </w:tc>
        <w:tc>
          <w:tcPr>
            <w:tcW w:w="120" w:type="dxa"/>
            <w:vAlign w:val="bottom"/>
          </w:tcPr>
          <w:p>
            <w:pPr>
              <w:spacing w:after="0"/>
              <w:rPr>
                <w:sz w:val="11"/>
                <w:szCs w:val="11"/>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1"/>
                <w:szCs w:val="11"/>
                <w:color w:val="auto"/>
              </w:rPr>
            </w:pPr>
          </w:p>
        </w:tc>
        <w:tc>
          <w:tcPr>
            <w:tcW w:w="1200" w:type="dxa"/>
            <w:vAlign w:val="bottom"/>
          </w:tcPr>
          <w:p>
            <w:pPr>
              <w:jc w:val="center"/>
              <w:ind w:right="339"/>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Award Year</w:t>
            </w:r>
          </w:p>
        </w:tc>
        <w:tc>
          <w:tcPr>
            <w:tcW w:w="12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8"/>
              </w:rPr>
              <w:t>Fair Value</w:t>
            </w:r>
          </w:p>
        </w:tc>
        <w:tc>
          <w:tcPr>
            <w:tcW w:w="17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jc w:val="center"/>
              <w:ind w:right="339"/>
              <w:spacing w:after="0" w:line="13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8"/>
        </w:trPr>
        <w:tc>
          <w:tcPr>
            <w:tcW w:w="4320" w:type="dxa"/>
            <w:vAlign w:val="bottom"/>
            <w:gridSpan w:val="2"/>
            <w:vMerge w:val="continue"/>
          </w:tcPr>
          <w:p>
            <w:pPr>
              <w:spacing w:after="0"/>
              <w:rPr>
                <w:sz w:val="16"/>
                <w:szCs w:val="16"/>
                <w:color w:val="auto"/>
              </w:rPr>
            </w:pPr>
          </w:p>
        </w:tc>
        <w:tc>
          <w:tcPr>
            <w:tcW w:w="126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(per share)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200" w:type="dxa"/>
            <w:vAlign w:val="bottom"/>
          </w:tcPr>
          <w:p>
            <w:pPr>
              <w:jc w:val="center"/>
              <w:ind w:right="33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136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December 31, 2020, and changes during the year then ended.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500" w:type="dxa"/>
            <w:vAlign w:val="bottom"/>
            <w:gridSpan w:val="6"/>
          </w:tcPr>
          <w:p>
            <w:pPr>
              <w:ind w:left="960"/>
              <w:spacing w:after="0"/>
              <w:rPr>
                <w:sz w:val="20"/>
                <w:szCs w:val="20"/>
                <w:color w:val="auto"/>
              </w:rPr>
            </w:pPr>
            <w:r>
              <w:rPr>
                <w:rFonts w:ascii="Arial" w:cs="Arial" w:eastAsia="Arial" w:hAnsi="Arial"/>
                <w:sz w:val="14"/>
                <w:szCs w:val="14"/>
                <w:b w:val="1"/>
                <w:bCs w:val="1"/>
                <w:color w:val="auto"/>
              </w:rPr>
              <w:t>Nonvested TSR Awards</w:t>
            </w:r>
          </w:p>
        </w:tc>
        <w:tc>
          <w:tcPr>
            <w:tcW w:w="3360" w:type="dxa"/>
            <w:vAlign w:val="bottom"/>
            <w:gridSpan w:val="4"/>
          </w:tcPr>
          <w:p>
            <w:pPr>
              <w:jc w:val="right"/>
              <w:ind w:right="818"/>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tcBorders>
              <w:top w:val="single" w:sz="8" w:color="auto"/>
            </w:tcBorders>
            <w:vMerge w:val="restart"/>
          </w:tcPr>
          <w:p>
            <w:pPr>
              <w:jc w:val="center"/>
              <w:ind w:left="268"/>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9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98"/>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12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Expired</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None of the PSUs that were granted in 2016, 2017, and 2018 vested in 2018, 2019, and 2020, respectively, because the actual performance achieved was below the “Threshold Performance” level as defined by the grant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Vesting Estimates</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During the year ended December 31, 2020, we recognized a decrease in share-based compensation expense in continuing operations of $0.3 million in the “Selling, general, and administrative expense” line of the Consolidated Statements of Operations and Comprehensive Income (Loss) to reverse cumulative expense for option, restricted stock, and PSU awards that</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were forfeited upon termination of employment and for ROIC Awards that were granted in 2019 and are not expected to achieve Threshold Performance. In 2020 we also recognized a decrease in share-based compensation expense of $0.5 million in the “Income (loss) from discontinued operations, net of tax” line in the Consolidated Statements of Operations and Comprehensive Income (Loss) to reverse cumulative expense for option, restricted stock, and PSU awards that were forfeited upon termination of employees related to the Life Sciences business.</w:t>
      </w:r>
    </w:p>
    <w:p>
      <w:pPr>
        <w:spacing w:after="0" w:line="6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During the year ended December 31, 2019, we recognized a decrease in share-based compensation expense in continuing operations of $1.1 million in the “Selling, general, and administrative expense” line in the Consolidated Statements of Operations and Comprehensive Income (Loss) to reverse cumulative expense for option, restricted stock, and PSU awards that were forfeited upon termination of employment.</w:t>
      </w:r>
    </w:p>
    <w:p>
      <w:pPr>
        <w:spacing w:after="0" w:line="5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During the year ended December 31, 2018, we determined that the probability of performance achievement for ROIC Awards that were granted in 2016, 2017, and 2018 diminished to below the “Threshold Performance” level as defined by the grant agreements, and we recognized a decrease in share-based compensation expense in continuing operations of $1.8 million in “Selling, general, and administrative expense” and $0.2 million in “Income (loss) from discontinued operations, net of tax” on the Consolidated Statements of Operations and Comprehensive Income (Loss).</w:t>
      </w:r>
    </w:p>
    <w:p>
      <w:pPr>
        <w:spacing w:after="0" w:line="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Related accrued dividend equivalents of less than $0.1 million, $0.1 million, and $0.1 million were also reversed in 2020, 2019, and 2018, respectively, for awards that are not expected to vest.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(“AOCI”)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Current-period other comprehensive income (loss) activity</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(14,126)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Amounts reclassified from AOCI to loss on interest rate swap (3)</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discontinued operations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settlements on the interest rate swap while the hedge was effective.</w:t>
      </w:r>
    </w:p>
    <w:p>
      <w:pPr>
        <w:spacing w:after="0" w:line="117" w:lineRule="exact"/>
        <w:rPr>
          <w:rFonts w:ascii="Arial" w:cs="Arial" w:eastAsia="Arial" w:hAnsi="Arial"/>
          <w:sz w:val="18"/>
          <w:szCs w:val="18"/>
          <w:color w:val="auto"/>
        </w:rPr>
      </w:pPr>
    </w:p>
    <w:p>
      <w:pPr>
        <w:ind w:left="660" w:right="160" w:hanging="247"/>
        <w:spacing w:after="0" w:line="277" w:lineRule="auto"/>
        <w:tabs>
          <w:tab w:leader="none" w:pos="6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reclassification of derivative loss and settlements after discontinuation of hedge accounting. See Note 21 for further discussion of the interest rate swap.</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Net Income (Loss) Per Common Share</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 company that has participating securities (for example, our Preferred Stock)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Preferred Stock.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income (loss) per common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(139,490)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(221,220)</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Preferred Stock cumulative dividends and deemed dividends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tcPr>
          <w:p>
            <w:pPr>
              <w:ind w:left="240"/>
              <w:spacing w:after="0"/>
              <w:rPr>
                <w:sz w:val="20"/>
                <w:szCs w:val="20"/>
                <w:color w:val="auto"/>
              </w:rPr>
            </w:pPr>
            <w:r>
              <w:rPr>
                <w:rFonts w:ascii="Arial" w:cs="Arial" w:eastAsia="Arial" w:hAnsi="Arial"/>
                <w:sz w:val="18"/>
                <w:szCs w:val="18"/>
                <w:color w:val="auto"/>
              </w:rPr>
              <w:t>Numerator for basic and diluted loss from continuing operations per common share (1)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(221,220)</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discontinued operations, net of tax (Note 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(41,767)</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Numerator for basic and diluted undistributed net loss per common share (1)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(262,987)</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basic and diluted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common share net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Basic loss from continuing operations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income (loss) from discontinued operations per common share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Basic net loss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loss from continuing operations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income (loss) from discontinued operations per common share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net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Preferred Stock does not participate in losses.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following table presents potentially dilutive securities that were excluded from the calculation of diluted net income (loss) per common share because they had an anti-dilutive effect.</w:t>
      </w: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1640" w:type="dxa"/>
            <w:vAlign w:val="bottom"/>
            <w:tcBorders>
              <w:bottom w:val="single" w:sz="8" w:color="auto"/>
            </w:tcBorders>
          </w:tcPr>
          <w:p>
            <w:pPr>
              <w:spacing w:after="0"/>
              <w:rPr>
                <w:sz w:val="16"/>
                <w:szCs w:val="16"/>
                <w:color w:val="auto"/>
              </w:rPr>
            </w:pPr>
          </w:p>
        </w:tc>
      </w:tr>
      <w:tr>
        <w:trPr>
          <w:trHeight w:val="187"/>
        </w:trPr>
        <w:tc>
          <w:tcPr>
            <w:tcW w:w="60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r>
      <w:tr>
        <w:trPr>
          <w:trHeight w:val="22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as-converted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4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21,392</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w:t>
            </w:r>
          </w:p>
        </w:tc>
        <w:tc>
          <w:tcPr>
            <w:tcW w:w="14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0"/>
        </w:trPr>
        <w:tc>
          <w:tcPr>
            <w:tcW w:w="60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elected to allocate undistributed income to participating securities based on year-to-date results. As there was no undistributed income for the years ended December 31, 2020, and 2019, no such allocation was necessary. In addition, given the undistributed loss from continuing operations in the years ended December 31, 2020, 2019, and 2018, all options and warrants are considered anti-dilutive and were excluded from the calculation of diluted net income (loss) per share. Stock options excluded from the calculations of diluted net income (loss) per share had a per share exercise price ranging from $7.93 to $25.16 for the year ended December 31, 2020, $8.54 to $25.16 for year ended December 31, 2019, and $4.42 to $25.16 for the year ended December 31, 2018. Warrants excluded from the calculation of diluted net income (loss) per share for the years ended December 31, 2020 and 2019, had a per share exercise price of $12.00. Preferred Stock excluded from the calculation of diluted net income (loss) per share for the years ended December 31, 2020 and 2019, was calculated on an as-converted basis. Holders of Preferred Stock will have the right to convert up to 25% of their Preferred Stock into common shares per quarter after December 31, 2023, at a conversion price that equals a 30-day volume weighted average price per common share. Under certain conditions, holders of Preferred Stock may elect to convert their Preferred Stock into common shares at an earlier date after March 31, 2023, at a conversion price that equals 90% of the volume weighted average market price per common share. The potentially dilutive Preferred Stock in the preceding table presents the more dilutive result of these conversion prices as if the Preferred Stock were converted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financial instruments that are subject to fair value disclosure consist of cash and cash equivalents, accounts receivable, accounts payable, derivatives, and long-term debt. As of December 31, 2020, the carrying values of these financial instruments approximated fair value. The fair value of floating-rate debt approximates the carrying amount because the interest rates paid are based on short-term maturities.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described in Note 16, in connection with the issuance of Preferred Stock in December 2019 and in accordance with ASC 815-15, certain features of the Preferred Stock were bifurcated and accounted for separate from the Preferred Stock. The following features are recorded as derivatives.</w:t>
      </w:r>
    </w:p>
    <w:p>
      <w:pPr>
        <w:spacing w:after="0" w:line="38" w:lineRule="exact"/>
        <w:rPr>
          <w:sz w:val="20"/>
          <w:szCs w:val="20"/>
          <w:color w:val="auto"/>
        </w:rPr>
      </w:pPr>
    </w:p>
    <w:p>
      <w:pPr>
        <w:jc w:val="both"/>
        <w:ind w:left="660" w:right="20" w:hanging="328"/>
        <w:spacing w:after="0" w:line="311" w:lineRule="auto"/>
        <w:tabs>
          <w:tab w:leader="none" w:pos="655"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Preferred Stock includes a redemption option based on a leverage ratio threshold that provides the preferred holder</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to convert the Preferred Stock to a variable number of shares of common stock at a discount to the then fair value of our common stock. The conversion feature is considered a redemption right at a premium which is not clearly and closely related to the debt host.</w:t>
      </w:r>
    </w:p>
    <w:p>
      <w:pPr>
        <w:spacing w:after="0" w:line="40" w:lineRule="exact"/>
        <w:rPr>
          <w:rFonts w:ascii="Arial" w:cs="Arial" w:eastAsia="Arial" w:hAnsi="Arial"/>
          <w:sz w:val="16"/>
          <w:szCs w:val="16"/>
          <w:i w:val="1"/>
          <w:iCs w:val="1"/>
          <w:color w:val="auto"/>
        </w:rPr>
      </w:pPr>
    </w:p>
    <w:p>
      <w:pPr>
        <w:ind w:left="660" w:hanging="328"/>
        <w:spacing w:after="0" w:line="25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Contingent dividends. </w:t>
      </w:r>
      <w:r>
        <w:rPr>
          <w:rFonts w:ascii="Arial" w:cs="Arial" w:eastAsia="Arial" w:hAnsi="Arial"/>
          <w:sz w:val="18"/>
          <w:szCs w:val="18"/>
          <w:color w:val="auto"/>
        </w:rPr>
        <w:t>The feature that allowed for the dividend rate to increase to 11.625% in 2020 if shareholder approval was not obtained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clearly and closely related to the debt host. Our common stockholders approved a proposal at our 2020 annual stockholder meeting to issue common stock in excess of thresholds established by certain Nasdaq stock market rules upon the exercise of Warrants or the conversion or redemption of Preferred Stock. Because shareholder approval was obtained during 2020, the contingent dividends feature no longer exists as of December 31, 2020.</w:t>
      </w:r>
    </w:p>
    <w:p>
      <w:pPr>
        <w:spacing w:after="0" w:line="79" w:lineRule="exact"/>
        <w:rPr>
          <w:rFonts w:ascii="Arial" w:cs="Arial" w:eastAsia="Arial" w:hAnsi="Arial"/>
          <w:sz w:val="18"/>
          <w:szCs w:val="18"/>
          <w:color w:val="auto"/>
        </w:rPr>
      </w:pPr>
    </w:p>
    <w:p>
      <w:pPr>
        <w:jc w:val="both"/>
        <w:ind w:left="660" w:right="1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Dividends withholding. </w:t>
      </w:r>
      <w:r>
        <w:rPr>
          <w:rFonts w:ascii="Arial" w:cs="Arial" w:eastAsia="Arial" w:hAnsi="Arial"/>
          <w:sz w:val="18"/>
          <w:szCs w:val="18"/>
          <w:color w:val="auto"/>
        </w:rPr>
        <w:t>The Preferred Stock bears a feature that could require us to make an effective distribution to purchasers which is indexed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 rate of the purchasers. This distribution would be partially offset by an adjustment to the redemption price and/or conversion rate. The dividends withholding feature is not clearly and closely related to the debt host.</w:t>
      </w:r>
    </w:p>
    <w:p>
      <w:pPr>
        <w:spacing w:after="0" w:line="75"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The Warrants issued with the Preferred Stock are exercisable, in full or in part, at any time prior to the seventh anniversary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at an exercise price of $12.00 per share, subject to customary anti-dilution adjustments in the event of future below market issuances, stock splits, stock dividends, combinations or similar events.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tables show the liabilities measured at fair value for the Preferred Stock derivatives above as of December 31, 2020, and December 31, 2019.</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Quoted Prices in Active</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tcPr>
          <w:p>
            <w:pPr>
              <w:spacing w:after="0"/>
              <w:rPr>
                <w:sz w:val="11"/>
                <w:szCs w:val="11"/>
                <w:color w:val="auto"/>
              </w:rPr>
            </w:pPr>
          </w:p>
        </w:tc>
        <w:tc>
          <w:tcPr>
            <w:tcW w:w="16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452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9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Description</w:t>
            </w:r>
          </w:p>
        </w:tc>
        <w:tc>
          <w:tcPr>
            <w:tcW w:w="19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16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Quoted Prices in Active</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the Preferred Stock derivatives during the twelve months ended December 31,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86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7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(1)</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(2)</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right="1140" w:hanging="248"/>
        <w:spacing w:after="0" w:line="342" w:lineRule="auto"/>
        <w:tabs>
          <w:tab w:leader="none" w:pos="5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the fair value are recognized in the “Other expense (income), net” line in the Consolidated Statements of Operations and Comprehensive Income (Loss). All of the change in fair value relates to the derivative liability held at December 31, 2020.</w:t>
      </w:r>
    </w:p>
    <w:p>
      <w:pPr>
        <w:spacing w:after="0" w:line="15" w:lineRule="exact"/>
        <w:rPr>
          <w:rFonts w:ascii="Arial" w:cs="Arial" w:eastAsia="Arial" w:hAnsi="Arial"/>
          <w:sz w:val="16"/>
          <w:szCs w:val="16"/>
          <w:color w:val="auto"/>
        </w:rPr>
      </w:pPr>
    </w:p>
    <w:p>
      <w:pPr>
        <w:ind w:left="580" w:right="40" w:hanging="248"/>
        <w:spacing w:after="0" w:line="342" w:lineRule="auto"/>
        <w:tabs>
          <w:tab w:leader="none" w:pos="5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2020, we determined that certain anti-dilution provisions of the Warrants require liability accounting; therefore, we reclassified the $1.1 million value of the Warrants recorded in Stockholders’ Equity as of December 31, 2019, to a liability during the twelve months ended December 31, 2020.</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fair value of the leverage ratio put feature, the dividends withholding feature, and the contingent dividends feature utilizes unobservable inputs based on the best information available to determine the probability of the preferred stock remaining outstanding for future periods. These inputs include probability assessments of how long the Preferred Stock will remain outstanding, whether the leverage ratio threshold will be exceeded, and, as of December 31, 2019, whether approval would be obtained from common stockholders for issuance of common stock upon exercise of the Warrants and conversion or redemption of the Preferred Stock. Inputs also include the percentage of Preferred Stock held by non-U.S. resident holders and the applicable tax withholding rates for those holders. The probability of the Preferred Stock remaining in future periods ranged from 3% to 2% as of December 31, 2020, and from 97% to 2% as of December 31, 2019. The leverage ratio put feature also utilizes unobservable inputs to determine the probability of the leverage ratio put being exercisable as of March 31, 2023, which ranged from 10% to 1% as of December 31, 2020, and from 20% to 1% at December 31, 2019. These probabilities are determined based on management’s assessment of facts and circumstances at each reporting date. An increase in these probabilities would result in an increase in the derivative liability fair value. Given the Preferred Stock value changes by period as a result of dividends and redemption premiums, weighted average values for these assumptions are not meaningful.</w:t>
      </w:r>
    </w:p>
    <w:p>
      <w:pPr>
        <w:spacing w:after="0" w:line="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fair value of the Warrants feature is determined using a valuation model, which utilizes unobservable inputs to determine the probability that the Warrants will remain outstanding for future periods. The probabilities ranged from 80% to 5% and resulted in a weighted average term of 2.4 years as of December 31, 2020. An increase in these probabilities would result in an increase in the derivative liability fair value. As of December 31, 2019, the Warrants were classified in equity and valued using a term of 1.3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manage our exposure to fluctuations in interest rates using a mix of fixed and variable rate debt. On February 8, 2019, we entered into a $700.0 million fixed-rate interest rate swap agreement that changed the LIBOR-based portion of the interest rate on a portion of our variable rate debt to a fixed rate of 2.4575% (the “interest rate swap”). The term of the interest rate swap is from the effective date of February 12, 2019, through the termination date of October 19, 2022 (the “interest rate swap term”). The interest rate swap effectively mitigated our exposures to the risks and variability of changes in LIBOR.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the interest rate swap decreases over time as presented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Notional Amount</w:t>
            </w:r>
          </w:p>
        </w:tc>
      </w:tr>
      <w:tr>
        <w:trPr>
          <w:trHeight w:val="229"/>
        </w:trPr>
        <w:tc>
          <w:tcPr>
            <w:tcW w:w="9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12, 2019 - December 30,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700,000,000</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w w:val="90"/>
              </w:rPr>
              <w:t>December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7940" w:type="dxa"/>
            <w:vAlign w:val="bottom"/>
          </w:tcPr>
          <w:p>
            <w:pPr>
              <w:ind w:left="20"/>
              <w:spacing w:after="0"/>
              <w:rPr>
                <w:sz w:val="20"/>
                <w:szCs w:val="20"/>
                <w:color w:val="auto"/>
              </w:rPr>
            </w:pPr>
            <w:r>
              <w:rPr>
                <w:rFonts w:ascii="Arial" w:cs="Arial" w:eastAsia="Arial" w:hAnsi="Arial"/>
                <w:sz w:val="18"/>
                <w:szCs w:val="18"/>
                <w:color w:val="auto"/>
              </w:rPr>
              <w:t>- December 30, 2021</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466,667,000</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December 31,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2021</w:t>
            </w: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October 19, 2022</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233,333,000</w:t>
            </w:r>
          </w:p>
        </w:tc>
      </w:tr>
    </w:tbl>
    <w:p>
      <w:pPr>
        <w:spacing w:after="0" w:line="20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objective of the interest rate swap was to eliminate the variability of cash flows in interest payments on the first $700.0 million of variable rate debt attributable to changes in benchmark one-month LIBOR interest rates. The hedged risk was the interest rate risk exposure to changes in interest payments, attributable to changes in benchmark one-month LIBOR interest rates over the interest rate swap term. If one-month LIBOR were greater than the minimum percentage under the Senior Secured Term Loan, then the changes in cash flows of the interest rate swap were expected to exactly offset changes in cash flows of the variable rate debt. The interest rate swap was designated as a cash flow hedge at inception.</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the prepayment of debt on October 6, 2020, with proceeds from the sale of our Life Sciences business, the outstanding balance of our variable rate debt fell below the $700.0 million notional amount of the interest rate swap. After the prepayment, a majority of the hedged forecasted transactions (i.e. interest payments) were probable of not occurring, resulting in the recognition in earnings of $14.8 million of the hedging loss in accumulated other comprehensive income in the fourth quarter of 2020. The remaining $2.9 million of the hedging loss in accumulated other comprehensive income will be amortized into earnings as settlements occur. Finally, as the interest rate swap no longer qualifies as an effective hedge subsequent to October 6, 2020, changes in fair value of the interest rate swap are recognized in earnings each period. All amounts recognized in earnings related to the interest rate swap are recorded in the “ Loss on interest rate swap” line on the Consolidated Statements of Operations and Comprehensive Income (Loss) except that cash settlements were recognized in “Interest expense” prior to October 6, 2020, and in “Derivative payments on interest rate swap” after October 6, 2020. Cash settlements are presented in operating activities on the Consolidated Statements of Cash Flows prior to October 6, 2020, and in investing activities after October 6, 2020. The following table presents the effect of the interest rate swap on the Consolidated Statements of Operations and Comprehensive Income (Loss).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Derivative payments on interest rate swap</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interest rate swap</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2020 and 2019, we reported a $2.9 million loss and a $9.4 million loss, respectively, net of tax, in accumulated other comprehensive income related to the interest rate swap.</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the liabilities measured at fair value on a recurring basis for the interest rate swap as of December 31, 2020, and December 31, 2019.</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4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4"/>
        </w:trPr>
        <w:tc>
          <w:tcPr>
            <w:tcW w:w="6240" w:type="dxa"/>
            <w:vAlign w:val="bottom"/>
          </w:tcPr>
          <w:p>
            <w:pPr>
              <w:spacing w:after="0"/>
              <w:rPr>
                <w:sz w:val="11"/>
                <w:szCs w:val="11"/>
                <w:color w:val="auto"/>
              </w:rPr>
            </w:pPr>
          </w:p>
        </w:tc>
        <w:tc>
          <w:tcPr>
            <w:tcW w:w="17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16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7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56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82"/>
              </w:rPr>
              <w:t>Assets</w:t>
            </w:r>
          </w:p>
        </w:tc>
        <w:tc>
          <w:tcPr>
            <w:tcW w:w="156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Observable Inputs</w:t>
            </w:r>
          </w:p>
        </w:tc>
        <w:tc>
          <w:tcPr>
            <w:tcW w:w="16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70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liability - other current liabilities</w:t>
            </w:r>
          </w:p>
        </w:tc>
        <w:tc>
          <w:tcPr>
            <w:tcW w:w="17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Derivative liability - other non-current liabilities</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4540" w:type="dxa"/>
            <w:vAlign w:val="bottom"/>
            <w:gridSpan w:val="2"/>
            <w:vMerge w:val="continue"/>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Assets (Level 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76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77</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12 to these Notes to Consolidated Financial Statements was $14.4 million and $9.6 million as of December 31, 2020 and 2019, respectively. These fair values represent Level 2 under the three-tier hierarchy described above. The carrying value of this fixed-rate debt was $14.4 million and $9.6 million as of December 31, 2020 and 2019,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Quarterly Results of Operations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quarterly results of operations for the years ended December 31, 2020 and 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5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4"/>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119,028</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93,982</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(15,487)</w:t>
            </w: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162,864</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147,377</w:t>
            </w: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170,440</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loss from continuing operations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loss from continuing operations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350"/>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5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4"/>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120,459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110,676</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91,816</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loss from continuing operations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Basic net loss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loss from continuing operations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Diluted net loss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Dismissal of Previous Independent Registered Public Accounting Firm</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29, 2020, the Audit Committee of our Board of Directors dismissed PricewaterhouseCoopers LLP (“PwC”) as our independent registered public accounting firm.</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reports of PwC on our consolidated financial statements as of and for the years ended December 31, 2019 and 2018, did not contain an adverse opinion or a disclaimer of opinion and were not qualified or modified as to uncertainty, audit scope, or accounting principles.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years ended December 31, 2019 and 2018, and during the interim period through May 29, 2020, there were (i) no disagreements within the meaning of Item 304(a)(1)(iv) of Regulation S-K between the Company and PwC on any matter of accounting principles or practices, financial statement disclosure, or auditing scope or procedure, any of which, if not resolved to PwC’s satisfaction, would have caused PwC to make reference thereto in their reports, and (ii) no “reportable events” within the meaning of Item 304(a)(1)(v) of Regulation S-K, except as noted below.</w:t>
      </w:r>
    </w:p>
    <w:p>
      <w:pPr>
        <w:spacing w:after="0" w:line="6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the year ended December 31, 2019, the material weaknesses in the Company’s internal control over financial reporting previously reported in Item 9A of our Annual Report on Form 10-K for the year ended December 31, 2019, filed on March 16, 2020, related to (a) an ineffective control environment due to a lack of a sufficient complement of personnel with an appropriate level of knowledge, experience and training commensurate with our financial reporting requirements and (b) ineffective design and maintenance of monitoring controls over our Paragon Medical business. These material weaknesses contributed to additional material weakness in that we (1) did not design and maintain effective internal controls over the accounting for transactions in the revenue and receivables business process within our Paragon Medical business to determine whether the transactions occurred and were complete and accurate, and (2) did not design and maintain effective controls over certain information technology general controls within our Paragon Medical business for information systems that are relevant to the preparation of our financial statements. Additionally, for the fiscal year ended December 31, 2019, we did not maintain effective control activities at one of our smaller foreign subsidiaries in which certain employees intentionally did not operate the controls related to inventory quantities as designed that resulted in the creation of unsupported physical inventory counts and inventory quantity adjustments.</w:t>
      </w:r>
    </w:p>
    <w:p>
      <w:pPr>
        <w:spacing w:after="0" w:line="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 ended December 31, 2018, the material weakness in the Company’s internal control over financial reporting previously reported in Item 9A of our Annual Report on Form 10-K for the year ended December 31, 2018, filed on March 18, 2019, related to an ineffective control environment due to a lack of a sufficient complement of personnel with an appropriate level of knowledge, experience and training commensurate with our financial reporting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New Independent Registered Public Accounting Firm</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29, 2020, the Audit Committee approved the engagement of Grant Thornton LLP (“Grant Thornton”) as our independent registered public accounting firm for the year ending December 31, 2020, effective immediately. During the Company’s two most recent years ended December 31, 2019 and 2018, and during the interim period through May 29, 2020, neither the Company nor anyone acting on its behalf consulted with Grant Thornton regarding any of the matters described in Items 304(a)(2)(i) and (ii) of Regulation S-K.</w:t>
      </w: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Rules 13a-15(e) and 15d-15(e) of the Exchange Act). Based upon that evaluation, our Chief Executive Officer and Chief Financial Officer concluded that our disclosure controls and procedures were effective as of December 31, 2020,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Management, under the supervision and with the participation of the Chief Executive Officer and Chief Financial Officer, conducted an evaluation of the effectiveness of our internal control over financial reporting as of December 31, 2020, based on the criteria described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(“COSO”). Based on this assessment,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determined that the Company's internal control over financial reporting was effective as of December 31, 2020.</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Grant Thornton LLP, the independent registered public accounting firm that has audited our consolidated financial statements, has audited the effectiveness of the Company’s internal control over financial reporting as of December 31, 2020, as stated in their report included in Item 8 of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Identified Material Weaknesses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our 2019 Annual Report, management identified the following control deficiencies that constituted material weaknesses in our internal control over financial reporting as of December 31, 2019:</w:t>
      </w:r>
    </w:p>
    <w:p>
      <w:pPr>
        <w:spacing w:after="0" w:line="62" w:lineRule="exact"/>
        <w:rPr>
          <w:sz w:val="20"/>
          <w:szCs w:val="20"/>
          <w:color w:val="auto"/>
        </w:rPr>
      </w:pPr>
    </w:p>
    <w:p>
      <w:pPr>
        <w:ind w:left="500" w:right="60" w:hanging="330"/>
        <w:spacing w:after="0" w:line="254"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misstatements to income tax receivable; other current assets; property, plant and equipment, net; goodwill; investment in joint venture; other non-current assets; accounts payable; accrued salaries, wages and benefits; other current liabilities; deferred tax liabilities; other non-current liabilities; additional paid in capital; accumulated deficit; accumulated other comprehensive income (loss); selling, general and administrative expense; depreciation and amortization; other operating expense/income; write-off of unamortized debt issuance costs; provision/benefit for income taxes; comprehensive income/loss; and cash flows in our consolidated financial statements for the interim and annual periods in the years ended December 31, 2019, 2018 and 2017, and prior periods.</w:t>
      </w:r>
    </w:p>
    <w:p>
      <w:pPr>
        <w:spacing w:after="0" w:line="83" w:lineRule="exact"/>
        <w:rPr>
          <w:rFonts w:ascii="Arial" w:cs="Arial" w:eastAsia="Arial" w:hAnsi="Arial"/>
          <w:sz w:val="18"/>
          <w:szCs w:val="18"/>
          <w:color w:val="auto"/>
        </w:rPr>
      </w:pPr>
    </w:p>
    <w:p>
      <w:pPr>
        <w:jc w:val="both"/>
        <w:ind w:left="500" w:right="180" w:hanging="330"/>
        <w:spacing w:after="0" w:line="263" w:lineRule="auto"/>
        <w:tabs>
          <w:tab w:leader="none" w:pos="495" w:val="left"/>
        </w:tabs>
        <w:numPr>
          <w:ilvl w:val="0"/>
          <w:numId w:val="36"/>
        </w:numPr>
        <w:rPr>
          <w:rFonts w:ascii="Arial" w:cs="Arial" w:eastAsia="Arial" w:hAnsi="Arial"/>
          <w:sz w:val="18"/>
          <w:szCs w:val="18"/>
          <w:color w:val="222222"/>
        </w:rPr>
      </w:pPr>
      <w:r>
        <w:rPr>
          <w:rFonts w:ascii="Arial" w:cs="Arial" w:eastAsia="Arial" w:hAnsi="Arial"/>
          <w:sz w:val="18"/>
          <w:szCs w:val="18"/>
          <w:color w:val="auto"/>
        </w:rPr>
        <w:t>We did not design and maintain effective monitoring controls over our Paragon Medical business. Specifically, we did not maintain personnel and systems that were sufficient to ensure the adequate monitoring of control activities for certain processes. This material weakness did not result in a material misstatement to the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22222"/>
        </w:rPr>
        <w:t>These material weaknesses contributed to the material weaknesses described below, which were also disclosed in our 2019 Annual Report:</w:t>
      </w:r>
    </w:p>
    <w:p>
      <w:pPr>
        <w:spacing w:after="0" w:line="117" w:lineRule="exact"/>
        <w:rPr>
          <w:sz w:val="20"/>
          <w:szCs w:val="20"/>
          <w:color w:val="auto"/>
        </w:rPr>
      </w:pPr>
    </w:p>
    <w:p>
      <w:pPr>
        <w:ind w:left="500" w:right="180" w:hanging="330"/>
        <w:spacing w:after="0" w:line="286" w:lineRule="auto"/>
        <w:tabs>
          <w:tab w:leader="none" w:pos="4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did not design and maintain effective internal controls over the accounting for transactions in the revenue and receivables business process within our Paragon Medical business to determine whether the transactions occurred and were complete and accurate. This material weakness did not result in a material misstatement to the interim or annual consolidated financial statements.</w:t>
      </w:r>
    </w:p>
    <w:p>
      <w:pPr>
        <w:spacing w:after="0" w:line="57" w:lineRule="exact"/>
        <w:rPr>
          <w:rFonts w:ascii="Arial" w:cs="Arial" w:eastAsia="Arial" w:hAnsi="Arial"/>
          <w:sz w:val="17"/>
          <w:szCs w:val="17"/>
          <w:color w:val="auto"/>
        </w:rPr>
      </w:pPr>
    </w:p>
    <w:p>
      <w:pPr>
        <w:ind w:left="500" w:hanging="330"/>
        <w:spacing w:after="0" w:line="293" w:lineRule="auto"/>
        <w:tabs>
          <w:tab w:leader="none" w:pos="4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within our Paragon Medical business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and (iii) computer operations controls to ensure that critical batch jobs are monitored and data backups are authorized and monitored.</w:t>
      </w:r>
    </w:p>
    <w:p>
      <w:pPr>
        <w:spacing w:after="0" w:line="56" w:lineRule="exact"/>
        <w:rPr>
          <w:rFonts w:ascii="Arial" w:cs="Arial" w:eastAsia="Arial" w:hAnsi="Arial"/>
          <w:sz w:val="16"/>
          <w:szCs w:val="16"/>
          <w:color w:val="auto"/>
        </w:rPr>
      </w:pPr>
    </w:p>
    <w:p>
      <w:pPr>
        <w:ind w:left="500" w:right="20"/>
        <w:spacing w:after="0" w:line="275" w:lineRule="auto"/>
        <w:rPr>
          <w:rFonts w:ascii="Arial" w:cs="Arial" w:eastAsia="Arial" w:hAnsi="Arial"/>
          <w:sz w:val="16"/>
          <w:szCs w:val="16"/>
          <w:color w:val="auto"/>
        </w:rPr>
      </w:pPr>
      <w:r>
        <w:rPr>
          <w:rFonts w:ascii="Arial" w:cs="Arial" w:eastAsia="Arial" w:hAnsi="Arial"/>
          <w:sz w:val="17"/>
          <w:szCs w:val="17"/>
          <w:color w:val="auto"/>
        </w:rPr>
        <w:t>These IT deficiencies did not result in a material misstatement to the financial statements; however, the deficiencies, when aggregated, could impact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a material weakness.</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As disclosed in our 2019 Annual Report, we did not maintain effective control activities at one of our smaller foreign subsidiaries within our Mobile Solutions Brazil business. Specifically, certain employees at one of our smaller foreign subsidiaries intentionally did not operate the controls related to inventory quantities as designed that resulted in the creation of unsupported physical inventory counts and inventory quantity adjustments. This material weakness resulted in a revision to inventories, cost of sales, and accumulated other comprehensive income/loss within previously issued financial statements for the interim and annual periods in the years ended December 31, 2019, 2018, and 2017.</w:t>
      </w:r>
    </w:p>
    <w:p>
      <w:pPr>
        <w:spacing w:after="0" w:line="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year ended December 31, 2020, management successfully completed a comprehensive plan for remediation of the material weaknesses. This plan included the following actions:</w:t>
      </w:r>
    </w:p>
    <w:p>
      <w:pPr>
        <w:spacing w:after="0" w:line="62" w:lineRule="exact"/>
        <w:rPr>
          <w:sz w:val="20"/>
          <w:szCs w:val="20"/>
          <w:color w:val="auto"/>
        </w:rPr>
      </w:pPr>
    </w:p>
    <w:p>
      <w:pPr>
        <w:ind w:left="660" w:right="6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hired qualified professionals for critical roles within our finance department. We also enhanced and implemented new processes, controls, and systems to strengthen our internal control over financial reporting, such as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standardized policies and procedures, implementation of a consolidation system, and enhanced reviews using reporting metrics.</w:t>
      </w:r>
    </w:p>
    <w:p>
      <w:pPr>
        <w:spacing w:after="0" w:line="117" w:lineRule="exact"/>
        <w:rPr>
          <w:sz w:val="20"/>
          <w:szCs w:val="20"/>
          <w:color w:val="auto"/>
        </w:rPr>
      </w:pPr>
    </w:p>
    <w:p>
      <w:pPr>
        <w:ind w:left="660" w:right="4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reinforced existing inventory count and reporting procedures in our Mobile Solutions Brazil business and have provided training to finance team members on these procedures.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2020, the remediation measures described above had been implemented, and we had sufficient time to test the operating effectiveness and remediate the material weaknesses noted above.</w:t>
      </w:r>
    </w:p>
    <w:p>
      <w:pPr>
        <w:spacing w:after="0" w:line="6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All of the material weaknesses arising from deficiencies in the Paragon Medical business, which was part of our Life Sciences business, were removed upon the sale of our Life Sciences business on October 6, 2020, as disclosed in Note 2 of the Notes to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Except for changes we made in connection with the implementation of the remediation plan described above, there have been no changes in our internal control over financial reporting (as defined in the Exchange Act Rules 13a-15(f) and 15d-15(f)) that occurred during the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The information required by this Item 10 of Form 10-K concerning our directors is contained in our definitive proxy statement to be filed with the Securities and Exchange Commission within 120 days after December 31, 2020 (“our definitive proxy statement”), and in accordance with General Instruction G to Form 10-K, is hereby incorporated herein by reference.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Code of Conduct/Ethics Statement, as amended (the “Code”), is applicable to all officers, directors, and employees. The Code is posted on our website at www.nninc.com. Information contained on our website is not part of this Annual Report.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200" w:lineRule="exact"/>
        <w:rPr>
          <w:sz w:val="20"/>
          <w:szCs w:val="20"/>
          <w:color w:val="auto"/>
        </w:rPr>
      </w:pPr>
    </w:p>
    <w:p>
      <w:pPr>
        <w:spacing w:after="0" w:line="3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and the Director Nominees — Compensation of Directors” and “Executive Compensation” of our definitive proxy statement and, in accordance with General Instruction G to Form 10-K, is hereby incorporated herein by reference.</w:t>
      </w:r>
    </w:p>
    <w:p>
      <w:pPr>
        <w:spacing w:after="0" w:line="200" w:lineRule="exact"/>
        <w:rPr>
          <w:sz w:val="20"/>
          <w:szCs w:val="20"/>
          <w:color w:val="auto"/>
        </w:rPr>
      </w:pP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201(d) of Regulation S-K concerning our equity compensation plans is set forth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Table of Equity Compensation Plan Information</w:t>
            </w: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40" w:type="dxa"/>
            <w:vAlign w:val="bottom"/>
            <w:gridSpan w:val="6"/>
          </w:tcPr>
          <w:p>
            <w:pPr>
              <w:jc w:val="center"/>
              <w:spacing w:after="0"/>
              <w:rPr>
                <w:sz w:val="20"/>
                <w:szCs w:val="20"/>
                <w:color w:val="auto"/>
              </w:rPr>
            </w:pPr>
            <w:r>
              <w:rPr>
                <w:rFonts w:ascii="Arial" w:cs="Arial" w:eastAsia="Arial" w:hAnsi="Arial"/>
                <w:sz w:val="14"/>
                <w:szCs w:val="14"/>
                <w:color w:val="auto"/>
                <w:w w:val="90"/>
              </w:rPr>
              <w:t>(in thousands, except per share data)</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jc w:val="center"/>
              <w:spacing w:after="0" w:line="142" w:lineRule="exact"/>
              <w:rPr>
                <w:sz w:val="20"/>
                <w:szCs w:val="20"/>
                <w:color w:val="auto"/>
              </w:rPr>
            </w:pPr>
            <w:r>
              <w:rPr>
                <w:rFonts w:ascii="Arial" w:cs="Arial" w:eastAsia="Arial" w:hAnsi="Arial"/>
                <w:sz w:val="14"/>
                <w:szCs w:val="14"/>
                <w:color w:val="auto"/>
                <w:w w:val="93"/>
              </w:rPr>
              <w:t>Number of securities</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tcPr>
          <w:p>
            <w:pPr>
              <w:jc w:val="center"/>
              <w:ind w:right="6"/>
              <w:spacing w:after="0" w:line="135" w:lineRule="exact"/>
              <w:rPr>
                <w:sz w:val="20"/>
                <w:szCs w:val="20"/>
                <w:color w:val="auto"/>
              </w:rPr>
            </w:pPr>
            <w:r>
              <w:rPr>
                <w:rFonts w:ascii="Arial" w:cs="Arial" w:eastAsia="Arial" w:hAnsi="Arial"/>
                <w:sz w:val="14"/>
                <w:szCs w:val="14"/>
                <w:color w:val="auto"/>
                <w:w w:val="95"/>
              </w:rPr>
              <w:t>remaining available for</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4"/>
              </w:rPr>
              <w:t>Number of securities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vMerge w:val="restart"/>
          </w:tcPr>
          <w:p>
            <w:pPr>
              <w:jc w:val="center"/>
              <w:ind w:right="360"/>
              <w:spacing w:after="0"/>
              <w:rPr>
                <w:sz w:val="20"/>
                <w:szCs w:val="20"/>
                <w:color w:val="auto"/>
              </w:rPr>
            </w:pPr>
            <w:r>
              <w:rPr>
                <w:rFonts w:ascii="Arial" w:cs="Arial" w:eastAsia="Arial" w:hAnsi="Arial"/>
                <w:sz w:val="14"/>
                <w:szCs w:val="14"/>
                <w:color w:val="auto"/>
                <w:w w:val="90"/>
              </w:rPr>
              <w:t>Weighted-average</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2"/>
              </w:rPr>
              <w:t>future issuance under</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2"/>
              </w:rPr>
              <w:t>equity compensation plans</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color w:val="auto"/>
                <w:w w:val="90"/>
              </w:rPr>
              <w:t>be issued upon exercise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tcPr>
          <w:p>
            <w:pPr>
              <w:jc w:val="center"/>
              <w:ind w:right="360"/>
              <w:spacing w:after="0" w:line="135" w:lineRule="exact"/>
              <w:rPr>
                <w:sz w:val="20"/>
                <w:szCs w:val="20"/>
                <w:color w:val="auto"/>
              </w:rPr>
            </w:pPr>
            <w:r>
              <w:rPr>
                <w:rFonts w:ascii="Arial" w:cs="Arial" w:eastAsia="Arial" w:hAnsi="Arial"/>
                <w:sz w:val="14"/>
                <w:szCs w:val="14"/>
                <w:color w:val="auto"/>
                <w:w w:val="94"/>
              </w:rPr>
              <w:t>exercise price of</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4"/>
              </w:rPr>
              <w:t>(excluding securities reflected</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color w:val="auto"/>
                <w:w w:val="93"/>
              </w:rPr>
              <w:t>of outstanding options,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tcPr>
          <w:p>
            <w:pPr>
              <w:jc w:val="center"/>
              <w:ind w:right="360"/>
              <w:spacing w:after="0" w:line="135" w:lineRule="exact"/>
              <w:rPr>
                <w:sz w:val="20"/>
                <w:szCs w:val="20"/>
                <w:color w:val="auto"/>
              </w:rPr>
            </w:pPr>
            <w:r>
              <w:rPr>
                <w:rFonts w:ascii="Arial" w:cs="Arial" w:eastAsia="Arial" w:hAnsi="Arial"/>
                <w:sz w:val="14"/>
                <w:szCs w:val="14"/>
                <w:color w:val="auto"/>
                <w:w w:val="92"/>
              </w:rPr>
              <w:t>outstanding options,</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35"/>
        </w:trPr>
        <w:tc>
          <w:tcPr>
            <w:tcW w:w="5320" w:type="dxa"/>
            <w:vAlign w:val="bottom"/>
            <w:vMerge w:val="restart"/>
          </w:tcPr>
          <w:p>
            <w:pPr>
              <w:ind w:left="20"/>
              <w:spacing w:after="0"/>
              <w:rPr>
                <w:sz w:val="20"/>
                <w:szCs w:val="20"/>
                <w:color w:val="auto"/>
              </w:rPr>
            </w:pPr>
            <w:r>
              <w:rPr>
                <w:rFonts w:ascii="Arial" w:cs="Arial" w:eastAsia="Arial" w:hAnsi="Arial"/>
                <w:sz w:val="14"/>
                <w:szCs w:val="14"/>
                <w:color w:val="auto"/>
              </w:rPr>
              <w:t>Plan Category</w:t>
            </w:r>
          </w:p>
        </w:tc>
        <w:tc>
          <w:tcPr>
            <w:tcW w:w="120" w:type="dxa"/>
            <w:vAlign w:val="bottom"/>
            <w:vMerge w:val="restart"/>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color w:val="auto"/>
                <w:w w:val="91"/>
              </w:rPr>
              <w:t>warrants, and rights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92"/>
              </w:rPr>
              <w:t>warrants, and rights</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5"/>
              </w:rPr>
              <w:t>column (a))</w:t>
            </w:r>
          </w:p>
        </w:tc>
        <w:tc>
          <w:tcPr>
            <w:tcW w:w="0" w:type="dxa"/>
            <w:vAlign w:val="bottom"/>
          </w:tcPr>
          <w:p>
            <w:pPr>
              <w:spacing w:after="0"/>
              <w:rPr>
                <w:sz w:val="1"/>
                <w:szCs w:val="1"/>
                <w:color w:val="auto"/>
              </w:rPr>
            </w:pPr>
          </w:p>
        </w:tc>
      </w:tr>
      <w:tr>
        <w:trPr>
          <w:trHeight w:val="186"/>
        </w:trPr>
        <w:tc>
          <w:tcPr>
            <w:tcW w:w="5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w w:val="93"/>
              </w:rPr>
              <w:t>(b)</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information required by this Item 13 of Form 10-K regarding review, approval, or ratification of transactions with related persons is contained in the section entitled “Certain Relationships and Related Transactions” of our definitive proxy statement and, in accordance with General Instruction G to Form 10-K, is hereby incorporated herein by reference.</w:t>
      </w:r>
    </w:p>
    <w:p>
      <w:pPr>
        <w:spacing w:after="0" w:line="76"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auto"/>
        </w:rPr>
        <w:t>The information required by this Item 13 of Form 10-K regarding director independence is contained in the section entitled “Information about the Directors and the Director Nominees” of our definitive proxy statement and, in accordance with General Instruction G to Form 10-K, is hereby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information required by this Item 14 of Form 10-K concerning our accounting fees and services is contained in the section entitled “Fees Paid to Registered Independent Public Accounting Firm” of our definitive proxy statement and, in accordance with General Instruction G to Form 10-K, is hereby incorporated herein by reference.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 and Financial Statement Schedules</w:t>
      </w: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Documents Filed as Part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consolidated financial statements of NN, Inc. filed as part of this Annual Report on Form 10-K begin on the following pages hereof:</w:t>
      </w:r>
    </w:p>
    <w:p>
      <w:pPr>
        <w:spacing w:after="0" w:line="136"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41"/>
        </w:trPr>
        <w:tc>
          <w:tcPr>
            <w:tcW w:w="670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Reports of Independent Registered Public Accounting Firms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36</w:t>
              </w:r>
            </w:hyperlink>
          </w:p>
        </w:tc>
      </w:tr>
      <w:tr>
        <w:trPr>
          <w:trHeight w:val="229"/>
        </w:trPr>
        <w:tc>
          <w:tcPr>
            <w:tcW w:w="670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Consolidated Statements of Operations and Comprehensive Income (Loss)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29"/>
        </w:trPr>
        <w:tc>
          <w:tcPr>
            <w:tcW w:w="670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Consolidated Balance Sheets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30"/>
        </w:trPr>
        <w:tc>
          <w:tcPr>
            <w:tcW w:w="6700" w:type="dxa"/>
            <w:vAlign w:val="bottom"/>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Consolidated Statements of Changes in Stockholders’ Equity</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r>
      <w:tr>
        <w:trPr>
          <w:trHeight w:val="229"/>
        </w:trPr>
        <w:tc>
          <w:tcPr>
            <w:tcW w:w="67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Consolidated Statements of Cash Flows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r>
        <w:trPr>
          <w:trHeight w:val="230"/>
        </w:trPr>
        <w:tc>
          <w:tcPr>
            <w:tcW w:w="670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Notes to Consolidated Financial Statements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44</w:t>
              </w:r>
            </w:hyperlink>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required information is reflected in the Index to Exhibits (attached hereto).</w:t>
      </w:r>
    </w:p>
    <w:p>
      <w:pPr>
        <w:spacing w:after="0" w:line="225"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NN, Inc. will provide without charge to any person, upon the written request of such person, a copy of any of the Exhibits to this Form 10-K.</w:t>
      </w:r>
    </w:p>
    <w:p>
      <w:pPr>
        <w:spacing w:after="0" w:line="2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3"/>
              </w:rPr>
              <w:t>Incorporation by Reference</w:t>
            </w: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980" w:type="dxa"/>
            <w:vAlign w:val="bottom"/>
            <w:gridSpan w:val="2"/>
          </w:tcPr>
          <w:p>
            <w:pPr>
              <w:ind w:left="220"/>
              <w:spacing w:after="0" w:line="122"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40" w:type="dxa"/>
            <w:vAlign w:val="bottom"/>
            <w:gridSpan w:val="26"/>
            <w:vMerge w:val="restart"/>
          </w:tcPr>
          <w:p>
            <w:pPr>
              <w:jc w:val="right"/>
              <w:ind w:right="1820"/>
              <w:spacing w:after="0"/>
              <w:rPr>
                <w:sz w:val="20"/>
                <w:szCs w:val="20"/>
                <w:color w:val="auto"/>
              </w:rPr>
            </w:pPr>
            <w:r>
              <w:rPr>
                <w:rFonts w:ascii="Arial" w:cs="Arial" w:eastAsia="Arial" w:hAnsi="Arial"/>
                <w:sz w:val="14"/>
                <w:szCs w:val="14"/>
                <w:b w:val="1"/>
                <w:bCs w:val="1"/>
                <w:color w:val="auto"/>
              </w:rPr>
              <w:t>Exhibit Description</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8"/>
        </w:trPr>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gridSpan w:val="26"/>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640" w:type="dxa"/>
            <w:vAlign w:val="bottom"/>
            <w:tcBorders>
              <w:top w:val="single" w:sz="8" w:color="auto"/>
            </w:tcBorders>
            <w:gridSpan w:val="28"/>
          </w:tcPr>
          <w:p>
            <w:pPr>
              <w:spacing w:after="0" w:line="184"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Agreement and Plan of Merger, dated as of July 18, 2014, by</w:t>
              </w:r>
            </w:hyperlink>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5"/>
                <w:szCs w:val="15"/>
                <w:color w:val="auto"/>
              </w:rPr>
            </w:pPr>
          </w:p>
        </w:tc>
        <w:tc>
          <w:tcPr>
            <w:tcW w:w="12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18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9"/>
              </w:rPr>
              <w:t>July 22, 2014</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and among NN, Inc., PMC Global Acquisition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Autocam Corporation, Newport Global Advisors, L.P.,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John C. Kennedy</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ind w:left="1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9"/>
          </w:tcPr>
          <w:p>
            <w:pPr>
              <w:spacing w:after="0"/>
              <w:rPr>
                <w:rFonts w:ascii="Arial" w:cs="Arial" w:eastAsia="Arial" w:hAnsi="Arial"/>
                <w:sz w:val="18"/>
                <w:szCs w:val="18"/>
                <w:color w:val="0000FF"/>
                <w:w w:val="97"/>
              </w:rPr>
            </w:pPr>
            <w:hyperlink r:id="rId114">
              <w:r>
                <w:rPr>
                  <w:rFonts w:ascii="Arial" w:cs="Arial" w:eastAsia="Arial" w:hAnsi="Arial"/>
                  <w:sz w:val="18"/>
                  <w:szCs w:val="18"/>
                  <w:color w:val="0000FF"/>
                  <w:w w:val="97"/>
                </w:rPr>
                <w:t>Stock Purchase Agreement, dated as of August 17, 2015, by</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18, 2015</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8"/>
              </w:rPr>
            </w:pPr>
            <w:hyperlink r:id="rId114">
              <w:r>
                <w:rPr>
                  <w:rFonts w:ascii="Arial" w:cs="Arial" w:eastAsia="Arial" w:hAnsi="Arial"/>
                  <w:sz w:val="18"/>
                  <w:szCs w:val="18"/>
                  <w:color w:val="0000FF"/>
                  <w:w w:val="88"/>
                </w:rPr>
                <w:t>and among NN, Inc., Precision Engineered Products Holdings,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Inc. and PEP Industries, LLC</w:t>
              </w:r>
            </w:hyperlink>
          </w:p>
        </w:tc>
        <w:tc>
          <w:tcPr>
            <w:tcW w:w="2400" w:type="dxa"/>
            <w:vAlign w:val="bottom"/>
            <w:gridSpan w:val="21"/>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9"/>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Purchase Agreement, dated as of July 10, 2017, by and between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10, 2017</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NN, Inc. and TSUBAKI NAKASHIMA Co., Ltd.</w:t>
              </w:r>
            </w:hyperlink>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9"/>
          </w:tcPr>
          <w:p>
            <w:pPr>
              <w:spacing w:after="0"/>
              <w:rPr>
                <w:rFonts w:ascii="Arial" w:cs="Arial" w:eastAsia="Arial" w:hAnsi="Arial"/>
                <w:sz w:val="18"/>
                <w:szCs w:val="18"/>
                <w:color w:val="0000FF"/>
                <w:w w:val="96"/>
              </w:rPr>
            </w:pPr>
            <w:hyperlink r:id="rId116">
              <w:r>
                <w:rPr>
                  <w:rFonts w:ascii="Arial" w:cs="Arial" w:eastAsia="Arial" w:hAnsi="Arial"/>
                  <w:sz w:val="18"/>
                  <w:szCs w:val="18"/>
                  <w:color w:val="0000FF"/>
                  <w:w w:val="96"/>
                </w:rPr>
                <w:t>Stock Purchase Agreement, dated as of April 2, 2018, by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3, 2018</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among NN, Inc. Precision Engineered Products LLC, Paragon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4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25"/>
          </w:tcPr>
          <w:p>
            <w:pPr>
              <w:spacing w:after="0" w:line="195" w:lineRule="exact"/>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Equity LLC, and PMG Intermediate Holding Corporation</w:t>
              </w:r>
            </w:hyperlink>
          </w:p>
        </w:tc>
        <w:tc>
          <w:tcPr>
            <w:tcW w:w="240" w:type="dxa"/>
            <w:vAlign w:val="bottom"/>
            <w:gridSpan w:val="4"/>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9"/>
          </w:tcPr>
          <w:p>
            <w:pPr>
              <w:spacing w:after="0" w:line="190" w:lineRule="exact"/>
              <w:rPr>
                <w:rFonts w:ascii="Arial" w:cs="Arial" w:eastAsia="Arial" w:hAnsi="Arial"/>
                <w:sz w:val="18"/>
                <w:szCs w:val="18"/>
                <w:color w:val="0000FF"/>
                <w:w w:val="97"/>
              </w:rPr>
            </w:pPr>
            <w:hyperlink r:id="rId117">
              <w:r>
                <w:rPr>
                  <w:rFonts w:ascii="Arial" w:cs="Arial" w:eastAsia="Arial" w:hAnsi="Arial"/>
                  <w:sz w:val="18"/>
                  <w:szCs w:val="18"/>
                  <w:color w:val="0000FF"/>
                  <w:w w:val="97"/>
                </w:rPr>
                <w:t>Stock Purchase Agreement, dated as of August 22, 2020, by</w:t>
              </w:r>
            </w:hyperlink>
          </w:p>
        </w:tc>
        <w:tc>
          <w:tcPr>
            <w:tcW w:w="10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001-39268</w:t>
            </w:r>
          </w:p>
        </w:tc>
        <w:tc>
          <w:tcPr>
            <w:tcW w:w="12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6"/>
                <w:szCs w:val="16"/>
                <w:color w:val="auto"/>
              </w:rPr>
            </w:pPr>
          </w:p>
        </w:tc>
        <w:tc>
          <w:tcPr>
            <w:tcW w:w="1880" w:type="dxa"/>
            <w:vAlign w:val="bottom"/>
          </w:tcPr>
          <w:p>
            <w:pPr>
              <w:jc w:val="center"/>
              <w:spacing w:after="0" w:line="190" w:lineRule="exact"/>
              <w:rPr>
                <w:sz w:val="20"/>
                <w:szCs w:val="20"/>
                <w:color w:val="auto"/>
              </w:rPr>
            </w:pPr>
            <w:r>
              <w:rPr>
                <w:rFonts w:ascii="Arial" w:cs="Arial" w:eastAsia="Arial" w:hAnsi="Arial"/>
                <w:sz w:val="18"/>
                <w:szCs w:val="18"/>
                <w:color w:val="auto"/>
                <w:w w:val="91"/>
              </w:rPr>
              <w:t>August 24, 2020</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and between NN, Inc., Precision Engineered Products</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tcBorders>
              <w:top w:val="single" w:sz="8" w:color="0000FF"/>
            </w:tcBorders>
            <w:gridSpan w:val="11"/>
          </w:tcPr>
          <w:p>
            <w:pPr>
              <w:spacing w:after="0" w:line="195" w:lineRule="exact"/>
              <w:rPr>
                <w:rFonts w:ascii="Arial" w:cs="Arial" w:eastAsia="Arial" w:hAnsi="Arial"/>
                <w:sz w:val="18"/>
                <w:szCs w:val="18"/>
                <w:u w:val="single" w:color="auto"/>
                <w:color w:val="0000FF"/>
                <w:w w:val="95"/>
              </w:rPr>
            </w:pPr>
            <w:hyperlink r:id="rId117">
              <w:r>
                <w:rPr>
                  <w:rFonts w:ascii="Arial" w:cs="Arial" w:eastAsia="Arial" w:hAnsi="Arial"/>
                  <w:sz w:val="18"/>
                  <w:szCs w:val="18"/>
                  <w:u w:val="single" w:color="auto"/>
                  <w:color w:val="0000FF"/>
                  <w:w w:val="95"/>
                </w:rPr>
                <w:t>Holdings, Inc. and ASP Navigate Acquisition Corp.</w:t>
              </w:r>
            </w:hyperlink>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26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9"/>
          </w:tcPr>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Restated Certificate of Incorporation of NN, Inc.</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S-3</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June 6, 2002</w:t>
            </w: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9"/>
          </w:tcPr>
          <w:p>
            <w:pPr>
              <w:spacing w:after="0" w:line="190" w:lineRule="exact"/>
              <w:rPr>
                <w:rFonts w:ascii="Arial" w:cs="Arial" w:eastAsia="Arial" w:hAnsi="Arial"/>
                <w:sz w:val="18"/>
                <w:szCs w:val="18"/>
                <w:color w:val="0000FF"/>
              </w:rPr>
            </w:pPr>
            <w:hyperlink r:id="rId119">
              <w:r>
                <w:rPr>
                  <w:rFonts w:ascii="Arial" w:cs="Arial" w:eastAsia="Arial" w:hAnsi="Arial"/>
                  <w:sz w:val="18"/>
                  <w:szCs w:val="18"/>
                  <w:color w:val="0000FF"/>
                </w:rPr>
                <w:t>Certificate of Amendment to Restated Certificate of</w:t>
              </w:r>
            </w:hyperlink>
          </w:p>
        </w:tc>
        <w:tc>
          <w:tcPr>
            <w:tcW w:w="10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880" w:type="dxa"/>
            <w:vAlign w:val="bottom"/>
          </w:tcPr>
          <w:p>
            <w:pPr>
              <w:jc w:val="center"/>
              <w:spacing w:after="0" w:line="190" w:lineRule="exact"/>
              <w:rPr>
                <w:sz w:val="20"/>
                <w:szCs w:val="20"/>
                <w:color w:val="auto"/>
              </w:rPr>
            </w:pPr>
            <w:r>
              <w:rPr>
                <w:rFonts w:ascii="Arial" w:cs="Arial" w:eastAsia="Arial" w:hAnsi="Arial"/>
                <w:sz w:val="18"/>
                <w:szCs w:val="18"/>
                <w:color w:val="auto"/>
                <w:w w:val="91"/>
              </w:rPr>
              <w:t>May 20, 2019</w:t>
            </w: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top w:val="single" w:sz="8" w:color="0000FF"/>
            </w:tcBorders>
            <w:gridSpan w:val="10"/>
          </w:tcPr>
          <w:p>
            <w:pPr>
              <w:spacing w:after="0" w:line="195" w:lineRule="exact"/>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Incorporation of NN, Inc. (Declassification).</w:t>
              </w:r>
            </w:hyperlink>
          </w:p>
        </w:tc>
        <w:tc>
          <w:tcPr>
            <w:tcW w:w="1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26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9"/>
          </w:tcPr>
          <w:p>
            <w:pPr>
              <w:spacing w:after="0" w:line="190" w:lineRule="exact"/>
              <w:rPr>
                <w:rFonts w:ascii="Arial" w:cs="Arial" w:eastAsia="Arial" w:hAnsi="Arial"/>
                <w:sz w:val="18"/>
                <w:szCs w:val="18"/>
                <w:color w:val="0000FF"/>
              </w:rPr>
            </w:pPr>
            <w:hyperlink r:id="rId120">
              <w:r>
                <w:rPr>
                  <w:rFonts w:ascii="Arial" w:cs="Arial" w:eastAsia="Arial" w:hAnsi="Arial"/>
                  <w:sz w:val="18"/>
                  <w:szCs w:val="18"/>
                  <w:color w:val="0000FF"/>
                </w:rPr>
                <w:t>Certificate of Amendment to Restated Certificate of</w:t>
              </w:r>
            </w:hyperlink>
          </w:p>
        </w:tc>
        <w:tc>
          <w:tcPr>
            <w:tcW w:w="10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6"/>
                <w:szCs w:val="16"/>
                <w:color w:val="auto"/>
              </w:rPr>
            </w:pPr>
          </w:p>
        </w:tc>
        <w:tc>
          <w:tcPr>
            <w:tcW w:w="1880" w:type="dxa"/>
            <w:vAlign w:val="bottom"/>
          </w:tcPr>
          <w:p>
            <w:pPr>
              <w:jc w:val="center"/>
              <w:spacing w:after="0" w:line="190" w:lineRule="exact"/>
              <w:rPr>
                <w:sz w:val="20"/>
                <w:szCs w:val="20"/>
                <w:color w:val="auto"/>
              </w:rPr>
            </w:pPr>
            <w:r>
              <w:rPr>
                <w:rFonts w:ascii="Arial" w:cs="Arial" w:eastAsia="Arial" w:hAnsi="Arial"/>
                <w:sz w:val="18"/>
                <w:szCs w:val="18"/>
                <w:color w:val="auto"/>
                <w:w w:val="91"/>
              </w:rPr>
              <w:t>May 20, 2019</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Incorporation of NN, Inc. (Share Increase)</w:t>
              </w:r>
            </w:hyperlink>
          </w:p>
        </w:tc>
        <w:tc>
          <w:tcPr>
            <w:tcW w:w="18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9"/>
          </w:tcPr>
          <w:p>
            <w:pPr>
              <w:spacing w:after="0"/>
              <w:rPr>
                <w:rFonts w:ascii="Arial" w:cs="Arial" w:eastAsia="Arial" w:hAnsi="Arial"/>
                <w:sz w:val="18"/>
                <w:szCs w:val="18"/>
                <w:color w:val="0000FF"/>
              </w:rPr>
            </w:pPr>
            <w:hyperlink r:id="rId121">
              <w:r>
                <w:rPr>
                  <w:rFonts w:ascii="Arial" w:cs="Arial" w:eastAsia="Arial" w:hAnsi="Arial"/>
                  <w:sz w:val="18"/>
                  <w:szCs w:val="18"/>
                  <w:color w:val="0000FF"/>
                </w:rPr>
                <w:t>Certificate of Designation of Series A Junior Participating</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18, 2008</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Preferred Stock of NN, Inc., as filed with the Secretary of</w:t>
              </w:r>
            </w:hyperlink>
          </w:p>
        </w:tc>
        <w:tc>
          <w:tcPr>
            <w:tcW w:w="560" w:type="dxa"/>
            <w:vAlign w:val="bottom"/>
            <w:gridSpan w:val="16"/>
          </w:tcPr>
          <w:p>
            <w:pPr>
              <w:jc w:val="right"/>
              <w:ind w:right="320"/>
              <w:spacing w:after="0" w:line="156" w:lineRule="exact"/>
              <w:rPr>
                <w:rFonts w:ascii="Arial" w:cs="Arial" w:eastAsia="Arial" w:hAnsi="Arial"/>
                <w:sz w:val="18"/>
                <w:szCs w:val="18"/>
                <w:color w:val="0000FF"/>
                <w:w w:val="87"/>
              </w:rPr>
            </w:pPr>
            <w:hyperlink r:id="rId121">
              <w:r>
                <w:rPr>
                  <w:rFonts w:ascii="Arial" w:cs="Arial" w:eastAsia="Arial" w:hAnsi="Arial"/>
                  <w:sz w:val="18"/>
                  <w:szCs w:val="18"/>
                  <w:color w:val="0000FF"/>
                  <w:w w:val="87"/>
                </w:rPr>
                <w:t>the</w:t>
              </w:r>
            </w:hyperlink>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State of Delaware</w:t>
              </w:r>
            </w:hyperlink>
          </w:p>
        </w:tc>
        <w:tc>
          <w:tcPr>
            <w:tcW w:w="31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9"/>
          </w:tcPr>
          <w:p>
            <w:pPr>
              <w:spacing w:after="0"/>
              <w:rPr>
                <w:rFonts w:ascii="Arial" w:cs="Arial" w:eastAsia="Arial" w:hAnsi="Arial"/>
                <w:sz w:val="18"/>
                <w:szCs w:val="18"/>
                <w:color w:val="0000FF"/>
              </w:rPr>
            </w:pPr>
            <w:hyperlink r:id="rId122">
              <w:r>
                <w:rPr>
                  <w:rFonts w:ascii="Arial" w:cs="Arial" w:eastAsia="Arial" w:hAnsi="Arial"/>
                  <w:sz w:val="18"/>
                  <w:szCs w:val="18"/>
                  <w:color w:val="0000FF"/>
                </w:rPr>
                <w:t>Certificate of Designation of Series B Convertible Preferred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11, 2019</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Stock of NN, Inc.</w:t>
              </w:r>
            </w:hyperlink>
          </w:p>
        </w:tc>
        <w:tc>
          <w:tcPr>
            <w:tcW w:w="30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1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9"/>
          </w:tcPr>
          <w:p>
            <w:pPr>
              <w:spacing w:after="0"/>
              <w:rPr>
                <w:rFonts w:ascii="Arial" w:cs="Arial" w:eastAsia="Arial" w:hAnsi="Arial"/>
                <w:sz w:val="18"/>
                <w:szCs w:val="18"/>
                <w:color w:val="0000FF"/>
              </w:rPr>
            </w:pPr>
            <w:hyperlink r:id="rId123">
              <w:r>
                <w:rPr>
                  <w:rFonts w:ascii="Arial" w:cs="Arial" w:eastAsia="Arial" w:hAnsi="Arial"/>
                  <w:sz w:val="18"/>
                  <w:szCs w:val="18"/>
                  <w:color w:val="0000FF"/>
                </w:rPr>
                <w:t>Certificate of Designations of Series C Junior Participating</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April 16, 2020</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Preferred Stock of NN, Inc.</w:t>
              </w:r>
            </w:hyperlink>
          </w:p>
        </w:tc>
        <w:tc>
          <w:tcPr>
            <w:tcW w:w="12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0" w:type="dxa"/>
            <w:vAlign w:val="bottom"/>
          </w:tcPr>
          <w:p>
            <w:pPr>
              <w:ind w:left="1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40" w:type="dxa"/>
            <w:vAlign w:val="bottom"/>
            <w:gridSpan w:val="29"/>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Amended and Restated By-Laws of NN, Inc.</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c>
          <w:tcPr>
            <w:tcW w:w="0" w:type="dxa"/>
            <w:vAlign w:val="bottom"/>
          </w:tcPr>
          <w:p>
            <w:pPr>
              <w:spacing w:after="0"/>
              <w:rPr>
                <w:sz w:val="1"/>
                <w:szCs w:val="1"/>
                <w:color w:val="auto"/>
              </w:rPr>
            </w:pPr>
          </w:p>
        </w:tc>
      </w:tr>
      <w:tr>
        <w:trPr>
          <w:trHeight w:val="230"/>
        </w:trPr>
        <w:tc>
          <w:tcPr>
            <w:tcW w:w="880" w:type="dxa"/>
            <w:vAlign w:val="bottom"/>
          </w:tcPr>
          <w:p>
            <w:pPr>
              <w:ind w:left="1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9"/>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Amendment to Amended and Restated Bylaws of NN, Inc.</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20, 2019</w:t>
            </w: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9"/>
          </w:tcPr>
          <w:p>
            <w:pPr>
              <w:spacing w:after="0" w:line="190" w:lineRule="exact"/>
              <w:rPr>
                <w:rFonts w:ascii="Arial" w:cs="Arial" w:eastAsia="Arial" w:hAnsi="Arial"/>
                <w:sz w:val="18"/>
                <w:szCs w:val="18"/>
                <w:color w:val="0000FF"/>
              </w:rPr>
            </w:pPr>
            <w:hyperlink r:id="rId126">
              <w:r>
                <w:rPr>
                  <w:rFonts w:ascii="Arial" w:cs="Arial" w:eastAsia="Arial" w:hAnsi="Arial"/>
                  <w:sz w:val="18"/>
                  <w:szCs w:val="18"/>
                  <w:color w:val="0000FF"/>
                </w:rPr>
                <w:t>The specimen stock certificate representing NN, Inc.’s</w:t>
              </w:r>
            </w:hyperlink>
          </w:p>
        </w:tc>
        <w:tc>
          <w:tcPr>
            <w:tcW w:w="10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85"/>
              </w:rPr>
              <w:t>S-3</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0"/>
              </w:rPr>
              <w:t>333-89950</w:t>
            </w:r>
          </w:p>
        </w:tc>
        <w:tc>
          <w:tcPr>
            <w:tcW w:w="12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6"/>
                <w:szCs w:val="16"/>
                <w:color w:val="auto"/>
              </w:rPr>
            </w:pPr>
          </w:p>
        </w:tc>
        <w:tc>
          <w:tcPr>
            <w:tcW w:w="1880" w:type="dxa"/>
            <w:vAlign w:val="bottom"/>
          </w:tcPr>
          <w:p>
            <w:pPr>
              <w:jc w:val="center"/>
              <w:spacing w:after="0" w:line="190" w:lineRule="exact"/>
              <w:rPr>
                <w:sz w:val="20"/>
                <w:szCs w:val="20"/>
                <w:color w:val="auto"/>
              </w:rPr>
            </w:pPr>
            <w:r>
              <w:rPr>
                <w:rFonts w:ascii="Arial" w:cs="Arial" w:eastAsia="Arial" w:hAnsi="Arial"/>
                <w:sz w:val="18"/>
                <w:szCs w:val="18"/>
                <w:color w:val="auto"/>
                <w:w w:val="88"/>
              </w:rPr>
              <w:t>June 6, 2002</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 xml:space="preserve">Common Stock, par value </w:t>
              </w:r>
              <w:r>
                <w:rPr>
                  <w:rFonts w:ascii="Arial" w:cs="Arial" w:eastAsia="Arial" w:hAnsi="Arial"/>
                  <w:sz w:val="18"/>
                  <w:szCs w:val="18"/>
                  <w:u w:val="single" w:color="auto"/>
                  <w:color w:val="0000FF"/>
                </w:rPr>
                <w:t>$</w:t>
              </w:r>
              <w:r>
                <w:rPr>
                  <w:rFonts w:ascii="Arial" w:cs="Arial" w:eastAsia="Arial" w:hAnsi="Arial"/>
                  <w:sz w:val="18"/>
                  <w:szCs w:val="18"/>
                  <w:color w:val="0000FF"/>
                </w:rPr>
                <w:t>0.01 per share</w:t>
              </w:r>
            </w:hyperlink>
          </w:p>
        </w:tc>
        <w:tc>
          <w:tcPr>
            <w:tcW w:w="44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9"/>
          </w:tcPr>
          <w:p>
            <w:pPr>
              <w:spacing w:after="0"/>
              <w:rPr>
                <w:rFonts w:ascii="Arial" w:cs="Arial" w:eastAsia="Arial" w:hAnsi="Arial"/>
                <w:sz w:val="18"/>
                <w:szCs w:val="18"/>
                <w:color w:val="0000FF"/>
                <w:w w:val="96"/>
              </w:rPr>
            </w:pPr>
            <w:hyperlink r:id="rId127">
              <w:r>
                <w:rPr>
                  <w:rFonts w:ascii="Arial" w:cs="Arial" w:eastAsia="Arial" w:hAnsi="Arial"/>
                  <w:sz w:val="18"/>
                  <w:szCs w:val="18"/>
                  <w:color w:val="0000FF"/>
                  <w:w w:val="96"/>
                </w:rPr>
                <w:t>Stockholders’ Agreement, effective as of August 29, 2014, by</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 2014</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and between NN, Inc. and John C. Kennedy</w:t>
              </w:r>
            </w:hyperlink>
          </w:p>
        </w:tc>
        <w:tc>
          <w:tcPr>
            <w:tcW w:w="26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ind w:left="1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tcBorders>
              <w:top w:val="single" w:sz="8" w:color="0000FF"/>
            </w:tcBorders>
            <w:gridSpan w:val="7"/>
          </w:tcPr>
          <w:p>
            <w:pPr>
              <w:spacing w:after="0"/>
              <w:rPr>
                <w:rFonts w:ascii="Arial" w:cs="Arial" w:eastAsia="Arial" w:hAnsi="Arial"/>
                <w:sz w:val="18"/>
                <w:szCs w:val="18"/>
                <w:u w:val="single" w:color="auto"/>
                <w:color w:val="0000FF"/>
                <w:w w:val="92"/>
              </w:rPr>
            </w:pPr>
            <w:hyperlink r:id="rId128">
              <w:r>
                <w:rPr>
                  <w:rFonts w:ascii="Arial" w:cs="Arial" w:eastAsia="Arial" w:hAnsi="Arial"/>
                  <w:sz w:val="18"/>
                  <w:szCs w:val="18"/>
                  <w:u w:val="single" w:color="auto"/>
                  <w:color w:val="0000FF"/>
                  <w:w w:val="92"/>
                </w:rPr>
                <w:t>Form of Common Stock Purchase Warrant</w:t>
              </w:r>
            </w:hyperlink>
          </w:p>
        </w:tc>
        <w:tc>
          <w:tcPr>
            <w:tcW w:w="1580" w:type="dxa"/>
            <w:vAlign w:val="bottom"/>
            <w:gridSpan w:val="22"/>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11, 2019</w:t>
            </w: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9"/>
          </w:tcPr>
          <w:p>
            <w:pPr>
              <w:spacing w:after="0" w:line="190"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Rights Agreement, dated as of April 15, 2020, between NN,</w:t>
              </w:r>
            </w:hyperlink>
          </w:p>
        </w:tc>
        <w:tc>
          <w:tcPr>
            <w:tcW w:w="10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6"/>
                <w:szCs w:val="16"/>
                <w:color w:val="auto"/>
              </w:rPr>
            </w:pPr>
          </w:p>
        </w:tc>
        <w:tc>
          <w:tcPr>
            <w:tcW w:w="1880" w:type="dxa"/>
            <w:vAlign w:val="bottom"/>
          </w:tcPr>
          <w:p>
            <w:pPr>
              <w:jc w:val="center"/>
              <w:spacing w:after="0" w:line="190" w:lineRule="exact"/>
              <w:rPr>
                <w:sz w:val="20"/>
                <w:szCs w:val="20"/>
                <w:color w:val="auto"/>
              </w:rPr>
            </w:pPr>
            <w:r>
              <w:rPr>
                <w:rFonts w:ascii="Arial" w:cs="Arial" w:eastAsia="Arial" w:hAnsi="Arial"/>
                <w:sz w:val="18"/>
                <w:szCs w:val="18"/>
                <w:color w:val="auto"/>
                <w:w w:val="93"/>
              </w:rPr>
              <w:t>April 16, 2020</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Inc. and Computershare Inc., as Rights Agent.</w:t>
              </w:r>
            </w:hyperlink>
          </w:p>
        </w:tc>
        <w:tc>
          <w:tcPr>
            <w:tcW w:w="380" w:type="dxa"/>
            <w:vAlign w:val="bottom"/>
            <w:gridSpan w:val="11"/>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ind w:left="1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Description of Securities</w:t>
              </w:r>
            </w:hyperlink>
          </w:p>
        </w:tc>
        <w:tc>
          <w:tcPr>
            <w:tcW w:w="1420" w:type="dxa"/>
            <w:vAlign w:val="bottom"/>
            <w:gridSpan w:val="21"/>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1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9"/>
          </w:tcPr>
          <w:p>
            <w:pPr>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NN, Inc. 2005 Stock Incentive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S-8</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333-130395</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16, 2005</w:t>
            </w:r>
          </w:p>
        </w:tc>
        <w:tc>
          <w:tcPr>
            <w:tcW w:w="0" w:type="dxa"/>
            <w:vAlign w:val="bottom"/>
          </w:tcPr>
          <w:p>
            <w:pPr>
              <w:spacing w:after="0"/>
              <w:rPr>
                <w:sz w:val="1"/>
                <w:szCs w:val="1"/>
                <w:color w:val="auto"/>
              </w:rPr>
            </w:pPr>
          </w:p>
        </w:tc>
      </w:tr>
      <w:tr>
        <w:trPr>
          <w:trHeight w:val="230"/>
        </w:trPr>
        <w:tc>
          <w:tcPr>
            <w:tcW w:w="880" w:type="dxa"/>
            <w:vAlign w:val="bottom"/>
          </w:tcPr>
          <w:p>
            <w:pPr>
              <w:ind w:left="1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9"/>
          </w:tcPr>
          <w:p>
            <w:pPr>
              <w:spacing w:after="0"/>
              <w:rPr>
                <w:rFonts w:ascii="Arial" w:cs="Arial" w:eastAsia="Arial" w:hAnsi="Arial"/>
                <w:sz w:val="18"/>
                <w:szCs w:val="18"/>
                <w:u w:val="single" w:color="auto"/>
                <w:color w:val="0000FF"/>
                <w:w w:val="99"/>
              </w:rPr>
            </w:pPr>
            <w:hyperlink r:id="rId131">
              <w:r>
                <w:rPr>
                  <w:rFonts w:ascii="Arial" w:cs="Arial" w:eastAsia="Arial" w:hAnsi="Arial"/>
                  <w:sz w:val="18"/>
                  <w:szCs w:val="18"/>
                  <w:u w:val="single" w:color="auto"/>
                  <w:color w:val="0000FF"/>
                  <w:w w:val="99"/>
                </w:rPr>
                <w:t>NN, Inc. 2011 Amended and Restated Stock Incentive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DEF14A</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Appendix A</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1, 2016</w:t>
            </w:r>
          </w:p>
        </w:tc>
        <w:tc>
          <w:tcPr>
            <w:tcW w:w="0" w:type="dxa"/>
            <w:vAlign w:val="bottom"/>
          </w:tcPr>
          <w:p>
            <w:pPr>
              <w:spacing w:after="0"/>
              <w:rPr>
                <w:sz w:val="1"/>
                <w:szCs w:val="1"/>
                <w:color w:val="auto"/>
              </w:rPr>
            </w:pPr>
          </w:p>
        </w:tc>
      </w:tr>
      <w:tr>
        <w:trPr>
          <w:trHeight w:val="230"/>
        </w:trPr>
        <w:tc>
          <w:tcPr>
            <w:tcW w:w="880" w:type="dxa"/>
            <w:vAlign w:val="bottom"/>
          </w:tcPr>
          <w:p>
            <w:pPr>
              <w:ind w:left="1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9"/>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Form of Indemnification Agreement</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S-3/A</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15, 2002</w:t>
            </w:r>
          </w:p>
        </w:tc>
        <w:tc>
          <w:tcPr>
            <w:tcW w:w="0" w:type="dxa"/>
            <w:vAlign w:val="bottom"/>
          </w:tcPr>
          <w:p>
            <w:pPr>
              <w:spacing w:after="0"/>
              <w:rPr>
                <w:sz w:val="1"/>
                <w:szCs w:val="1"/>
                <w:color w:val="auto"/>
              </w:rPr>
            </w:pPr>
          </w:p>
        </w:tc>
      </w:tr>
      <w:tr>
        <w:trPr>
          <w:trHeight w:val="230"/>
        </w:trPr>
        <w:tc>
          <w:tcPr>
            <w:tcW w:w="880" w:type="dxa"/>
            <w:vAlign w:val="bottom"/>
          </w:tcPr>
          <w:p>
            <w:pPr>
              <w:ind w:lef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9"/>
          </w:tcPr>
          <w:p>
            <w:pPr>
              <w:spacing w:after="0"/>
              <w:rPr>
                <w:rFonts w:ascii="Arial" w:cs="Arial" w:eastAsia="Arial" w:hAnsi="Arial"/>
                <w:sz w:val="18"/>
                <w:szCs w:val="18"/>
                <w:u w:val="single" w:color="auto"/>
                <w:color w:val="0000FF"/>
                <w:w w:val="93"/>
              </w:rPr>
            </w:pPr>
            <w:hyperlink r:id="rId133">
              <w:r>
                <w:rPr>
                  <w:rFonts w:ascii="Arial" w:cs="Arial" w:eastAsia="Arial" w:hAnsi="Arial"/>
                  <w:sz w:val="18"/>
                  <w:szCs w:val="18"/>
                  <w:u w:val="single" w:color="auto"/>
                  <w:color w:val="0000FF"/>
                  <w:w w:val="93"/>
                </w:rPr>
                <w:t>Elective Deferred Compensation Plan, dated February 26, 1999</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31, 1999</w:t>
            </w:r>
          </w:p>
        </w:tc>
        <w:tc>
          <w:tcPr>
            <w:tcW w:w="0" w:type="dxa"/>
            <w:vAlign w:val="bottom"/>
          </w:tcPr>
          <w:p>
            <w:pPr>
              <w:spacing w:after="0"/>
              <w:rPr>
                <w:sz w:val="1"/>
                <w:szCs w:val="1"/>
                <w:color w:val="auto"/>
              </w:rPr>
            </w:pPr>
          </w:p>
        </w:tc>
      </w:tr>
      <w:tr>
        <w:trPr>
          <w:trHeight w:val="85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30"/>
          </w:tcPr>
          <w:p>
            <w:pPr>
              <w:jc w:val="right"/>
              <w:ind w:right="20"/>
              <w:spacing w:after="0"/>
              <w:rPr>
                <w:sz w:val="20"/>
                <w:szCs w:val="20"/>
                <w:color w:val="auto"/>
              </w:rPr>
            </w:pPr>
            <w:r>
              <w:rPr>
                <w:rFonts w:ascii="Arial" w:cs="Arial" w:eastAsia="Arial" w:hAnsi="Arial"/>
                <w:sz w:val="18"/>
                <w:szCs w:val="18"/>
                <w:color w:val="auto"/>
              </w:rPr>
              <w:t>84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720" w:type="dxa"/>
            <w:vAlign w:val="bottom"/>
            <w:gridSpan w:val="31"/>
            <w:vMerge w:val="restart"/>
          </w:tcPr>
          <w:p>
            <w:pPr>
              <w:ind w:left="17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72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720" w:type="dxa"/>
            <w:vAlign w:val="bottom"/>
            <w:tcBorders>
              <w:top w:val="single" w:sz="8" w:color="auto"/>
            </w:tcBorders>
            <w:gridSpan w:val="31"/>
          </w:tcPr>
          <w:p>
            <w:pPr>
              <w:spacing w:after="0" w:line="184"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Escrow Agreement, effective as of August 29, 2014, by and</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16"/>
          </w:tcPr>
          <w:p>
            <w:pPr>
              <w:spacing w:after="0" w:line="156" w:lineRule="exact"/>
              <w:rPr>
                <w:rFonts w:ascii="Arial" w:cs="Arial" w:eastAsia="Arial" w:hAnsi="Arial"/>
                <w:sz w:val="18"/>
                <w:szCs w:val="18"/>
                <w:color w:val="0000FF"/>
                <w:w w:val="96"/>
              </w:rPr>
            </w:pPr>
            <w:hyperlink r:id="rId136">
              <w:r>
                <w:rPr>
                  <w:rFonts w:ascii="Arial" w:cs="Arial" w:eastAsia="Arial" w:hAnsi="Arial"/>
                  <w:sz w:val="18"/>
                  <w:szCs w:val="18"/>
                  <w:color w:val="0000FF"/>
                  <w:w w:val="96"/>
                </w:rPr>
                <w:t>among NN, Inc., Newport Global Advisors, L.P., John C.</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top w:val="single" w:sz="8" w:color="0000FF"/>
            </w:tcBorders>
            <w:gridSpan w:val="9"/>
          </w:tcPr>
          <w:p>
            <w:pPr>
              <w:spacing w:after="0" w:line="195" w:lineRule="exact"/>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Kennedy and Computershare Trust Company, N.A.</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gridSpan w:val="31"/>
          </w:tcPr>
          <w:p>
            <w:pPr>
              <w:spacing w:after="0" w:line="190"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Indemnity Agreement, effective as of August 29, 2014, by and</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among NN, Inc. and each of the shareholders of Autocam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Corporation identified therein</w:t>
              </w:r>
            </w:hyperlink>
          </w:p>
        </w:tc>
        <w:tc>
          <w:tcPr>
            <w:tcW w:w="20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Executive Employment Agreement, dated September 9, 2014,</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between NN, Inc. and Warren A. Veltman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rPr>
            </w:pPr>
            <w:hyperlink r:id="rId139">
              <w:r>
                <w:rPr>
                  <w:rFonts w:ascii="Arial" w:cs="Arial" w:eastAsia="Arial" w:hAnsi="Arial"/>
                  <w:sz w:val="18"/>
                  <w:szCs w:val="18"/>
                  <w:color w:val="0000FF"/>
                </w:rPr>
                <w:t>Amendment and Restatement Agreement, dated as of</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6"/>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September 30, 2016, by and among NN, Inc., certain</w:t>
              </w:r>
            </w:hyperlink>
          </w:p>
        </w:tc>
        <w:tc>
          <w:tcPr>
            <w:tcW w:w="880" w:type="dxa"/>
            <w:vAlign w:val="bottom"/>
            <w:gridSpan w:val="25"/>
          </w:tcPr>
          <w:p>
            <w:pPr>
              <w:jc w:val="right"/>
              <w:ind w:right="200"/>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NN, Inc.</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subsidiaries named therein, SunTrust Bank, KeyBank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Association and Regions Bank</w:t>
              </w:r>
            </w:hyperlink>
          </w:p>
        </w:tc>
        <w:tc>
          <w:tcPr>
            <w:tcW w:w="234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rPr>
            </w:pPr>
            <w:hyperlink r:id="rId140">
              <w:r>
                <w:rPr>
                  <w:rFonts w:ascii="Arial" w:cs="Arial" w:eastAsia="Arial" w:hAnsi="Arial"/>
                  <w:sz w:val="18"/>
                  <w:szCs w:val="18"/>
                  <w:color w:val="0000FF"/>
                </w:rPr>
                <w:t>Incremental Amendment to Amended and Restated Credit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31"/>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Agreement, dated as of October 31, 2016, among NN, Inc., the</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Guarantors, HomeTrust Bank, as 2016 Revolving Credit</w:t>
              </w:r>
            </w:hyperlink>
          </w:p>
        </w:tc>
        <w:tc>
          <w:tcPr>
            <w:tcW w:w="6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bottom w:val="single" w:sz="8" w:color="0000FF"/>
            </w:tcBorders>
            <w:gridSpan w:val="14"/>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Increase Lender, KeyBank National Association, as an L/C</w:t>
              </w:r>
            </w:hyperlink>
          </w:p>
        </w:tc>
        <w:tc>
          <w:tcPr>
            <w:tcW w:w="46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gridSpan w:val="31"/>
          </w:tcPr>
          <w:p>
            <w:pPr>
              <w:spacing w:after="0" w:line="142" w:lineRule="exact"/>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Issuer, Regions Bank, as Swing Line Lender and an L/C Issuer,</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31"/>
          </w:tcPr>
          <w:p>
            <w:pPr>
              <w:spacing w:after="0"/>
              <w:rPr>
                <w:rFonts w:ascii="Arial" w:cs="Arial" w:eastAsia="Arial" w:hAnsi="Arial"/>
                <w:sz w:val="18"/>
                <w:szCs w:val="18"/>
                <w:u w:val="single" w:color="auto"/>
                <w:color w:val="0000FF"/>
                <w:w w:val="93"/>
              </w:rPr>
            </w:pPr>
            <w:hyperlink r:id="rId140">
              <w:r>
                <w:rPr>
                  <w:rFonts w:ascii="Arial" w:cs="Arial" w:eastAsia="Arial" w:hAnsi="Arial"/>
                  <w:sz w:val="18"/>
                  <w:szCs w:val="18"/>
                  <w:u w:val="single" w:color="auto"/>
                  <w:color w:val="0000FF"/>
                  <w:w w:val="93"/>
                </w:rPr>
                <w:t>and SunTrust Bank, as Administrative Agent and an L/C Issuer</w:t>
              </w:r>
            </w:hyperlink>
          </w:p>
        </w:tc>
        <w:tc>
          <w:tcPr>
            <w:tcW w:w="0" w:type="dxa"/>
            <w:vAlign w:val="bottom"/>
          </w:tcPr>
          <w:p>
            <w:pPr>
              <w:spacing w:after="0"/>
              <w:rPr>
                <w:sz w:val="1"/>
                <w:szCs w:val="1"/>
                <w:color w:val="auto"/>
              </w:rPr>
            </w:pPr>
          </w:p>
        </w:tc>
      </w:tr>
      <w:tr>
        <w:trPr>
          <w:trHeight w:val="229"/>
        </w:trPr>
        <w:tc>
          <w:tcPr>
            <w:tcW w:w="880" w:type="dxa"/>
            <w:vAlign w:val="bottom"/>
          </w:tcPr>
          <w:p>
            <w:pPr>
              <w:ind w:left="1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31"/>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NN, Inc. 2016 Omnibus Incentive Plan</w:t>
              </w:r>
            </w:hyperlink>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gridSpan w:val="31"/>
          </w:tcPr>
          <w:p>
            <w:pPr>
              <w:spacing w:after="0" w:line="190" w:lineRule="exact"/>
              <w:rPr>
                <w:rFonts w:ascii="Arial" w:cs="Arial" w:eastAsia="Arial" w:hAnsi="Arial"/>
                <w:sz w:val="18"/>
                <w:szCs w:val="18"/>
                <w:color w:val="0000FF"/>
              </w:rPr>
            </w:pPr>
            <w:hyperlink r:id="rId142">
              <w:r>
                <w:rPr>
                  <w:rFonts w:ascii="Arial" w:cs="Arial" w:eastAsia="Arial" w:hAnsi="Arial"/>
                  <w:sz w:val="18"/>
                  <w:szCs w:val="18"/>
                  <w:color w:val="0000FF"/>
                </w:rPr>
                <w:t>Form of Incentive Stock Option Agreement under the 2016</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Omnibus Incentive Plan</w:t>
              </w:r>
            </w:hyperlink>
          </w:p>
        </w:tc>
        <w:tc>
          <w:tcPr>
            <w:tcW w:w="252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Form of Nonqualified Stock Option Agreement under the 2016</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Omnibus Incentive Plan</w:t>
              </w:r>
            </w:hyperlink>
          </w:p>
        </w:tc>
        <w:tc>
          <w:tcPr>
            <w:tcW w:w="288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w w:val="98"/>
              </w:rPr>
            </w:pPr>
            <w:hyperlink r:id="rId144">
              <w:r>
                <w:rPr>
                  <w:rFonts w:ascii="Arial" w:cs="Arial" w:eastAsia="Arial" w:hAnsi="Arial"/>
                  <w:sz w:val="18"/>
                  <w:szCs w:val="18"/>
                  <w:color w:val="0000FF"/>
                  <w:w w:val="98"/>
                </w:rPr>
                <w:t>Form of Restricted Share Award Agreement under the 2016</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Omnibus Incentive Plan</w:t>
              </w:r>
            </w:hyperlink>
          </w:p>
        </w:tc>
        <w:tc>
          <w:tcPr>
            <w:tcW w:w="2560" w:type="dxa"/>
            <w:vAlign w:val="bottom"/>
            <w:tcBorders>
              <w:top w:val="single" w:sz="8" w:color="0000FF"/>
            </w:tcBorders>
            <w:gridSpan w:val="14"/>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w w:val="95"/>
              </w:rPr>
            </w:pPr>
            <w:hyperlink r:id="rId145">
              <w:r>
                <w:rPr>
                  <w:rFonts w:ascii="Arial" w:cs="Arial" w:eastAsia="Arial" w:hAnsi="Arial"/>
                  <w:sz w:val="18"/>
                  <w:szCs w:val="18"/>
                  <w:color w:val="0000FF"/>
                  <w:w w:val="95"/>
                </w:rPr>
                <w:t>Form of Performance Share Unit Award Agreement under the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2016 Omnibus Incentive Plan</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rPr>
            </w:pPr>
            <w:hyperlink r:id="rId146">
              <w:r>
                <w:rPr>
                  <w:rFonts w:ascii="Arial" w:cs="Arial" w:eastAsia="Arial" w:hAnsi="Arial"/>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between NN, Inc. and Matthew S. Heiter.</w:t>
              </w:r>
            </w:hyperlink>
          </w:p>
        </w:tc>
        <w:tc>
          <w:tcPr>
            <w:tcW w:w="10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1"/>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Amendment No. 1 to Amended and Restated Credit Agreement,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30"/>
          </w:tcPr>
          <w:p>
            <w:pPr>
              <w:spacing w:after="0" w:line="156"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dated as of April 3, 2017, by and among NN, Inc., certain NN,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147">
              <w:r>
                <w:rPr>
                  <w:rFonts w:ascii="Arial" w:cs="Arial" w:eastAsia="Arial" w:hAnsi="Arial"/>
                  <w:sz w:val="18"/>
                  <w:szCs w:val="18"/>
                  <w:color w:val="0000FF"/>
                  <w:w w:val="89"/>
                </w:rPr>
                <w:t>Inc. subsidiaries named therein, SunTrust Bank, JPMorgan</w:t>
              </w:r>
            </w:hyperlink>
          </w:p>
        </w:tc>
        <w:tc>
          <w:tcPr>
            <w:tcW w:w="360" w:type="dxa"/>
            <w:vAlign w:val="bottom"/>
            <w:tcBorders>
              <w:top w:val="single" w:sz="8" w:color="0000FF"/>
            </w:tcBorders>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gridSpan w:val="31"/>
          </w:tcPr>
          <w:p>
            <w:pPr>
              <w:spacing w:after="0" w:line="142" w:lineRule="exact"/>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Chase Bank, N.A., KeyBank National Association and Regions</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31"/>
          </w:tcPr>
          <w:p>
            <w:pPr>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Bank</w:t>
              </w:r>
            </w:hyperlink>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gridSpan w:val="31"/>
          </w:tcPr>
          <w:p>
            <w:pPr>
              <w:spacing w:after="0" w:line="190"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Amendment No. 2 to Amended and Restated Credit Agreement,</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30"/>
          </w:tcPr>
          <w:p>
            <w:pPr>
              <w:spacing w:after="0" w:line="156" w:lineRule="exact"/>
              <w:rPr>
                <w:rFonts w:ascii="Arial" w:cs="Arial" w:eastAsia="Arial" w:hAnsi="Arial"/>
                <w:sz w:val="18"/>
                <w:szCs w:val="18"/>
                <w:color w:val="0000FF"/>
                <w:w w:val="96"/>
              </w:rPr>
            </w:pPr>
            <w:hyperlink r:id="rId148">
              <w:r>
                <w:rPr>
                  <w:rFonts w:ascii="Arial" w:cs="Arial" w:eastAsia="Arial" w:hAnsi="Arial"/>
                  <w:sz w:val="18"/>
                  <w:szCs w:val="18"/>
                  <w:color w:val="0000FF"/>
                  <w:w w:val="96"/>
                </w:rPr>
                <w:t>dated as of August 15, 2017, by and among NN, Inc., certain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8"/>
          </w:tcPr>
          <w:p>
            <w:pPr>
              <w:spacing w:after="0" w:line="156" w:lineRule="exact"/>
              <w:rPr>
                <w:rFonts w:ascii="Arial" w:cs="Arial" w:eastAsia="Arial" w:hAnsi="Arial"/>
                <w:sz w:val="18"/>
                <w:szCs w:val="18"/>
                <w:color w:val="0000FF"/>
                <w:w w:val="96"/>
              </w:rPr>
            </w:pPr>
            <w:hyperlink r:id="rId148">
              <w:r>
                <w:rPr>
                  <w:rFonts w:ascii="Arial" w:cs="Arial" w:eastAsia="Arial" w:hAnsi="Arial"/>
                  <w:sz w:val="18"/>
                  <w:szCs w:val="18"/>
                  <w:color w:val="0000FF"/>
                  <w:w w:val="96"/>
                </w:rPr>
                <w:t>NN, Inc. subsidiaries named therein, and SunTrust Bank,</w:t>
              </w:r>
            </w:hyperlink>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Regions Bank, JPMorgan Chase Bank, N.A., HomeTrust</w:t>
              </w:r>
            </w:hyperlink>
          </w:p>
        </w:tc>
        <w:tc>
          <w:tcPr>
            <w:tcW w:w="40" w:type="dxa"/>
            <w:vAlign w:val="bottom"/>
            <w:gridSpan w:val="2"/>
          </w:tcPr>
          <w:p>
            <w:pPr>
              <w:spacing w:after="0"/>
              <w:rPr>
                <w:sz w:val="13"/>
                <w:szCs w:val="13"/>
                <w:color w:val="auto"/>
              </w:rPr>
            </w:pPr>
          </w:p>
        </w:tc>
        <w:tc>
          <w:tcPr>
            <w:tcW w:w="580" w:type="dxa"/>
            <w:vAlign w:val="bottom"/>
            <w:gridSpan w:val="21"/>
          </w:tcPr>
          <w:p>
            <w:pPr>
              <w:jc w:val="right"/>
              <w:ind w:right="200"/>
              <w:spacing w:after="0" w:line="156" w:lineRule="exact"/>
              <w:rPr>
                <w:rFonts w:ascii="Arial" w:cs="Arial" w:eastAsia="Arial" w:hAnsi="Arial"/>
                <w:sz w:val="18"/>
                <w:szCs w:val="18"/>
                <w:color w:val="0000FF"/>
                <w:w w:val="87"/>
              </w:rPr>
            </w:pPr>
            <w:hyperlink r:id="rId148">
              <w:r>
                <w:rPr>
                  <w:rFonts w:ascii="Arial" w:cs="Arial" w:eastAsia="Arial" w:hAnsi="Arial"/>
                  <w:sz w:val="18"/>
                  <w:szCs w:val="18"/>
                  <w:color w:val="0000FF"/>
                  <w:w w:val="87"/>
                </w:rPr>
                <w:t>Bank</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and Key Bank National Association, collectively, the Revolving</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gridSpan w:val="29"/>
          </w:tcPr>
          <w:p>
            <w:pPr>
              <w:spacing w:after="0" w:line="142" w:lineRule="exact"/>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Credit Lenders, and SunTrust Bank, as the Administrative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31"/>
          </w:tcPr>
          <w:p>
            <w:pPr>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Agent.</w:t>
              </w:r>
            </w:hyperlink>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gridSpan w:val="31"/>
          </w:tcPr>
          <w:p>
            <w:pPr>
              <w:spacing w:after="0" w:line="190"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Amendment No. 3 to Amended and Restated Credit Agreement,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dated as of November 24, 2017, by and among NN, Inc.,</w:t>
              </w:r>
            </w:hyperlink>
          </w:p>
        </w:tc>
        <w:tc>
          <w:tcPr>
            <w:tcW w:w="5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31"/>
          </w:tcPr>
          <w:p>
            <w:pPr>
              <w:spacing w:after="0" w:line="156" w:lineRule="exact"/>
              <w:rPr>
                <w:rFonts w:ascii="Arial" w:cs="Arial" w:eastAsia="Arial" w:hAnsi="Arial"/>
                <w:sz w:val="18"/>
                <w:szCs w:val="18"/>
                <w:color w:val="0000FF"/>
                <w:w w:val="93"/>
              </w:rPr>
            </w:pPr>
            <w:hyperlink r:id="rId149">
              <w:r>
                <w:rPr>
                  <w:rFonts w:ascii="Arial" w:cs="Arial" w:eastAsia="Arial" w:hAnsi="Arial"/>
                  <w:sz w:val="18"/>
                  <w:szCs w:val="18"/>
                  <w:color w:val="0000FF"/>
                  <w:w w:val="93"/>
                </w:rPr>
                <w:t>certain NN, Inc. subsidiaries named therein, SunTrust Bank, as</w:t>
              </w:r>
            </w:hyperlink>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tcBorders>
              <w:top w:val="single" w:sz="8" w:color="0000FF"/>
            </w:tcBorders>
            <w:gridSpan w:val="24"/>
          </w:tcPr>
          <w:p>
            <w:pPr>
              <w:spacing w:after="0" w:line="195" w:lineRule="exact"/>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administrative agent, and certain lenders named therein.</w:t>
              </w:r>
            </w:hyperlink>
          </w:p>
        </w:tc>
        <w:tc>
          <w:tcPr>
            <w:tcW w:w="1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gridSpan w:val="31"/>
          </w:tcPr>
          <w:p>
            <w:pPr>
              <w:spacing w:after="0" w:line="190" w:lineRule="exact"/>
              <w:rPr>
                <w:rFonts w:ascii="Arial" w:cs="Arial" w:eastAsia="Arial" w:hAnsi="Arial"/>
                <w:sz w:val="18"/>
                <w:szCs w:val="18"/>
                <w:color w:val="0000FF"/>
                <w:w w:val="97"/>
              </w:rPr>
            </w:pPr>
            <w:hyperlink r:id="rId150">
              <w:r>
                <w:rPr>
                  <w:rFonts w:ascii="Arial" w:cs="Arial" w:eastAsia="Arial" w:hAnsi="Arial"/>
                  <w:sz w:val="18"/>
                  <w:szCs w:val="18"/>
                  <w:color w:val="0000FF"/>
                  <w:w w:val="97"/>
                </w:rPr>
                <w:t>Commitment Letter, dated as of April 2, 2018, by and among</w:t>
              </w:r>
            </w:hyperlink>
          </w:p>
        </w:tc>
        <w:tc>
          <w:tcPr>
            <w:tcW w:w="0" w:type="dxa"/>
            <w:vAlign w:val="bottom"/>
          </w:tcPr>
          <w:p>
            <w:pPr>
              <w:spacing w:after="0"/>
              <w:rPr>
                <w:sz w:val="1"/>
                <w:szCs w:val="1"/>
                <w:color w:val="auto"/>
              </w:rPr>
            </w:pPr>
          </w:p>
        </w:tc>
      </w:tr>
      <w:tr>
        <w:trPr>
          <w:trHeight w:val="157"/>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7"/>
          </w:tcPr>
          <w:p>
            <w:pPr>
              <w:spacing w:after="0" w:line="157" w:lineRule="exact"/>
              <w:rPr>
                <w:rFonts w:ascii="Arial" w:cs="Arial" w:eastAsia="Arial" w:hAnsi="Arial"/>
                <w:sz w:val="18"/>
                <w:szCs w:val="18"/>
                <w:u w:val="single" w:color="auto"/>
                <w:color w:val="0000FF"/>
                <w:w w:val="91"/>
              </w:rPr>
            </w:pPr>
            <w:hyperlink r:id="rId150">
              <w:r>
                <w:rPr>
                  <w:rFonts w:ascii="Arial" w:cs="Arial" w:eastAsia="Arial" w:hAnsi="Arial"/>
                  <w:sz w:val="18"/>
                  <w:szCs w:val="18"/>
                  <w:u w:val="single" w:color="auto"/>
                  <w:color w:val="0000FF"/>
                  <w:w w:val="91"/>
                </w:rPr>
                <w:t>NN, Inc., SunTrust Bank and SunTrust Robinson Humphrey,</w:t>
              </w:r>
            </w:hyperlink>
          </w:p>
        </w:tc>
        <w:tc>
          <w:tcPr>
            <w:tcW w:w="3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ind w:left="100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Inc.</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488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 File No.</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30"/>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9"/>
                <w:szCs w:val="19"/>
                <w:color w:val="auto"/>
              </w:rPr>
            </w:pPr>
          </w:p>
        </w:tc>
        <w:tc>
          <w:tcPr>
            <w:tcW w:w="1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September 2, 2014</w:t>
            </w:r>
          </w:p>
        </w:tc>
      </w:tr>
      <w:tr>
        <w:trPr>
          <w:trHeight w:val="58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 2014</w:t>
            </w:r>
          </w:p>
        </w:tc>
      </w:tr>
      <w:tr>
        <w:trPr>
          <w:trHeight w:val="58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16, 2015</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3, 2016</w:t>
            </w:r>
          </w:p>
        </w:tc>
      </w:tr>
      <w:tr>
        <w:trPr>
          <w:trHeight w:val="756"/>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4, 2016</w:t>
            </w:r>
          </w:p>
        </w:tc>
      </w:tr>
      <w:tr>
        <w:trPr>
          <w:trHeight w:val="1106"/>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DEF14A</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Appendix A</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10, 2016</w:t>
            </w:r>
          </w:p>
        </w:tc>
      </w:tr>
      <w:tr>
        <w:trPr>
          <w:trHeight w:val="23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16, 2017</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16, 2017</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16, 2017</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16, 2017</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4, 2017</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4, 2017</w:t>
            </w:r>
          </w:p>
        </w:tc>
      </w:tr>
      <w:tr>
        <w:trPr>
          <w:trHeight w:val="93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18, 2017</w:t>
            </w:r>
          </w:p>
        </w:tc>
      </w:tr>
      <w:tr>
        <w:trPr>
          <w:trHeight w:val="1283"/>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24, 2017</w:t>
            </w:r>
          </w:p>
        </w:tc>
      </w:tr>
      <w:tr>
        <w:trPr>
          <w:trHeight w:val="756"/>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3, 2018</w:t>
            </w:r>
          </w:p>
        </w:tc>
      </w:tr>
    </w:tbl>
    <w:p>
      <w:pPr>
        <w:sectPr>
          <w:pgSz w:w="11900" w:h="16838" w:orient="portrait"/>
          <w:cols w:equalWidth="0" w:num="2">
            <w:col w:w="5720" w:space="20"/>
            <w:col w:w="5500"/>
          </w:cols>
          <w:pgMar w:left="320" w:top="233" w:right="3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80" w:type="dxa"/>
            <w:vAlign w:val="bottom"/>
            <w:gridSpan w:val="33"/>
            <w:vMerge w:val="restart"/>
          </w:tcPr>
          <w:p>
            <w:pPr>
              <w:ind w:left="8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700" w:type="dxa"/>
            <w:vAlign w:val="bottom"/>
            <w:tcBorders>
              <w:top w:val="single" w:sz="8" w:color="auto"/>
            </w:tcBorders>
            <w:gridSpan w:val="36"/>
          </w:tcPr>
          <w:p>
            <w:pPr>
              <w:spacing w:after="0" w:line="184"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Amendment No. 4 to Amended and Restated Credit Agreement,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dated May 7, 2018, by and among NN, Inc., the affiliated</w:t>
              </w:r>
            </w:hyperlink>
          </w:p>
        </w:tc>
        <w:tc>
          <w:tcPr>
            <w:tcW w:w="5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gridSpan w:val="36"/>
          </w:tcPr>
          <w:p>
            <w:pPr>
              <w:spacing w:after="0" w:line="156"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Guarantors party thereto, SunTrust Bank, SunTrust Robinson</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Humphrey, Inc. and the Lenders party thereto</w:t>
              </w:r>
            </w:hyperlink>
          </w:p>
        </w:tc>
        <w:tc>
          <w:tcPr>
            <w:tcW w:w="11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Amendment No. 5 to Amended and Restated Credit Agreement,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35"/>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dated December 26, 2018, by and among NN, Inc., certain NN,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Inc. subsidiaries named therein, SunTrust Bank,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36"/>
          </w:tcPr>
          <w:p>
            <w:pPr>
              <w:spacing w:after="0" w:line="195" w:lineRule="exact"/>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administrative agent and certain lenders named therein</w:t>
              </w:r>
            </w:hyperlink>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bottom w:val="single" w:sz="8" w:color="0000FF"/>
            </w:tcBorders>
            <w:gridSpan w:val="15"/>
          </w:tcPr>
          <w:p>
            <w:pPr>
              <w:spacing w:after="0" w:line="190"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Cooperation Agreement dated February 25, 2019, by and</w:t>
              </w:r>
            </w:hyperlink>
          </w:p>
        </w:tc>
        <w:tc>
          <w:tcPr>
            <w:tcW w:w="58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gridSpan w:val="36"/>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among NN, Inc., Legion Partners Asset Management, LLC,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certain persons listed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Amendment No. 6 to Amended and Restated Credit Agreement,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35"/>
          </w:tcPr>
          <w:p>
            <w:pPr>
              <w:spacing w:after="0" w:line="156"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dated March 15, 2019, by and among NN, Inc., certain NN,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subsidiaries named therein, SunTrust Bank, as administrative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agent and certain lenders named therein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ind w:left="14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Borders>
              <w:top w:val="single" w:sz="8" w:color="0000FF"/>
            </w:tcBorders>
            <w:gridSpan w:val="9"/>
          </w:tcPr>
          <w:p>
            <w:pPr>
              <w:spacing w:after="0"/>
              <w:rPr>
                <w:rFonts w:ascii="Arial" w:cs="Arial" w:eastAsia="Arial" w:hAnsi="Arial"/>
                <w:sz w:val="18"/>
                <w:szCs w:val="18"/>
                <w:u w:val="single" w:color="auto"/>
                <w:color w:val="0000FF"/>
                <w:w w:val="91"/>
              </w:rPr>
            </w:pPr>
            <w:hyperlink r:id="rId157">
              <w:r>
                <w:rPr>
                  <w:rFonts w:ascii="Arial" w:cs="Arial" w:eastAsia="Arial" w:hAnsi="Arial"/>
                  <w:sz w:val="18"/>
                  <w:szCs w:val="18"/>
                  <w:u w:val="single" w:color="auto"/>
                  <w:color w:val="0000FF"/>
                  <w:w w:val="91"/>
                </w:rPr>
                <w:t>NN, Inc. 2019 Omnibus Incentive Plan.</w:t>
              </w:r>
            </w:hyperlink>
          </w:p>
        </w:tc>
        <w:tc>
          <w:tcPr>
            <w:tcW w:w="184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36"/>
          </w:tcPr>
          <w:p>
            <w:pPr>
              <w:spacing w:after="0" w:line="190" w:lineRule="exact"/>
              <w:rPr>
                <w:rFonts w:ascii="Arial" w:cs="Arial" w:eastAsia="Arial" w:hAnsi="Arial"/>
                <w:sz w:val="18"/>
                <w:szCs w:val="18"/>
                <w:color w:val="0000FF"/>
              </w:rPr>
            </w:pPr>
            <w:hyperlink r:id="rId158">
              <w:r>
                <w:rPr>
                  <w:rFonts w:ascii="Arial" w:cs="Arial" w:eastAsia="Arial" w:hAnsi="Arial"/>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between NN, Inc. and D. Gail Nixon.</w:t>
              </w:r>
            </w:hyperlink>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rPr>
            </w:pPr>
            <w:hyperlink r:id="rId159">
              <w:r>
                <w:rPr>
                  <w:rFonts w:ascii="Arial" w:cs="Arial" w:eastAsia="Arial" w:hAnsi="Arial"/>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between NN, Inc. and J Robbie Atkinson.</w:t>
              </w:r>
            </w:hyperlink>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Amendment No. 7 to Amended and Restated Credit Agreement,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35"/>
          </w:tcPr>
          <w:p>
            <w:pPr>
              <w:spacing w:after="0" w:line="156" w:lineRule="exact"/>
              <w:rPr>
                <w:rFonts w:ascii="Arial" w:cs="Arial" w:eastAsia="Arial" w:hAnsi="Arial"/>
                <w:sz w:val="18"/>
                <w:szCs w:val="18"/>
                <w:color w:val="0000FF"/>
                <w:w w:val="94"/>
              </w:rPr>
            </w:pPr>
            <w:hyperlink r:id="rId160">
              <w:r>
                <w:rPr>
                  <w:rFonts w:ascii="Arial" w:cs="Arial" w:eastAsia="Arial" w:hAnsi="Arial"/>
                  <w:sz w:val="18"/>
                  <w:szCs w:val="18"/>
                  <w:color w:val="0000FF"/>
                  <w:w w:val="94"/>
                </w:rPr>
                <w:t>dated June 11, 2019, by and among NN, Inc., certain NN,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subsidiaries named therein, SunTrust Bank, as administrative</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agent and certain lenders named therein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ind w:left="14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3"/>
              </w:rPr>
            </w:pPr>
            <w:hyperlink r:id="rId161">
              <w:r>
                <w:rPr>
                  <w:rFonts w:ascii="Arial" w:cs="Arial" w:eastAsia="Arial" w:hAnsi="Arial"/>
                  <w:sz w:val="18"/>
                  <w:szCs w:val="18"/>
                  <w:color w:val="0000FF"/>
                  <w:w w:val="93"/>
                </w:rPr>
                <w:t>Separation Agreement and Release, dated as of July 13, 2019,</w:t>
              </w:r>
            </w:hyperlink>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Borders>
              <w:top w:val="single" w:sz="8" w:color="0000FF"/>
            </w:tcBorders>
            <w:gridSpan w:val="26"/>
          </w:tcPr>
          <w:p>
            <w:pPr>
              <w:spacing w:after="0" w:line="195" w:lineRule="exact"/>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by and between NN, Inc. and Thomas C. Burwell, Jr.</w:t>
              </w:r>
            </w:hyperlink>
          </w:p>
        </w:tc>
        <w:tc>
          <w:tcPr>
            <w:tcW w:w="8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36"/>
          </w:tcPr>
          <w:p>
            <w:pPr>
              <w:spacing w:after="0" w:line="190" w:lineRule="exact"/>
              <w:rPr>
                <w:rFonts w:ascii="Arial" w:cs="Arial" w:eastAsia="Arial" w:hAnsi="Arial"/>
                <w:sz w:val="18"/>
                <w:szCs w:val="18"/>
                <w:color w:val="0000FF"/>
              </w:rPr>
            </w:pPr>
            <w:hyperlink r:id="rId162">
              <w:r>
                <w:rPr>
                  <w:rFonts w:ascii="Arial" w:cs="Arial" w:eastAsia="Arial" w:hAnsi="Arial"/>
                  <w:sz w:val="18"/>
                  <w:szCs w:val="18"/>
                  <w:color w:val="0000FF"/>
                </w:rPr>
                <w:t>Form of Incentive Stock Option Agreement under the 2019</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Omnibus Incentive Plan.</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4"/>
              </w:rPr>
            </w:pPr>
            <w:hyperlink r:id="rId163">
              <w:r>
                <w:rPr>
                  <w:rFonts w:ascii="Arial" w:cs="Arial" w:eastAsia="Arial" w:hAnsi="Arial"/>
                  <w:sz w:val="18"/>
                  <w:szCs w:val="18"/>
                  <w:color w:val="0000FF"/>
                  <w:w w:val="94"/>
                </w:rPr>
                <w:t>Form of Nonqualified Stock Option Agreement under the 2019</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Omnibus Incentive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8"/>
              </w:rPr>
            </w:pPr>
            <w:hyperlink r:id="rId164">
              <w:r>
                <w:rPr>
                  <w:rFonts w:ascii="Arial" w:cs="Arial" w:eastAsia="Arial" w:hAnsi="Arial"/>
                  <w:sz w:val="18"/>
                  <w:szCs w:val="18"/>
                  <w:color w:val="0000FF"/>
                  <w:w w:val="98"/>
                </w:rPr>
                <w:t>Form of Restricted Share Award Agreement under the 2019</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Omnibus Incentive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5"/>
              </w:rPr>
            </w:pPr>
            <w:hyperlink r:id="rId165">
              <w:r>
                <w:rPr>
                  <w:rFonts w:ascii="Arial" w:cs="Arial" w:eastAsia="Arial" w:hAnsi="Arial"/>
                  <w:sz w:val="18"/>
                  <w:szCs w:val="18"/>
                  <w:color w:val="0000FF"/>
                  <w:w w:val="95"/>
                </w:rPr>
                <w:t>Form of Performance Share Unit Award Agreement under the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2019 Omnibus Incentive Plan.</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Letter of Understanding and Relocation Agreement, effective as</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of August 23, 2019, by and between NN, Inc. and Thomas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DeByle.</w:t>
              </w:r>
            </w:hyperlink>
          </w:p>
        </w:tc>
        <w:tc>
          <w:tcPr>
            <w:tcW w:w="3600" w:type="dxa"/>
            <w:vAlign w:val="bottom"/>
            <w:tcBorders>
              <w:top w:val="single" w:sz="8" w:color="0000FF"/>
            </w:tcBorders>
            <w:gridSpan w:val="16"/>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ind w:left="14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36"/>
          </w:tcPr>
          <w:p>
            <w:pPr>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Form of Separation Agreement.</w:t>
              </w:r>
            </w:hyperlink>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36"/>
          </w:tcPr>
          <w:p>
            <w:pPr>
              <w:spacing w:after="0" w:line="190" w:lineRule="exact"/>
              <w:rPr>
                <w:rFonts w:ascii="Arial" w:cs="Arial" w:eastAsia="Arial" w:hAnsi="Arial"/>
                <w:sz w:val="18"/>
                <w:szCs w:val="18"/>
                <w:color w:val="0000FF"/>
              </w:rPr>
            </w:pPr>
            <w:hyperlink r:id="rId168">
              <w:r>
                <w:rPr>
                  <w:rFonts w:ascii="Arial" w:cs="Arial" w:eastAsia="Arial" w:hAnsi="Arial"/>
                  <w:sz w:val="18"/>
                  <w:szCs w:val="18"/>
                  <w:color w:val="0000FF"/>
                </w:rPr>
                <w:t>Separation Agreement and General Release, dated as of</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3"/>
          </w:tcPr>
          <w:p>
            <w:pPr>
              <w:spacing w:after="0" w:line="156"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September 15, 2019, by and between Richard D. Holder</w:t>
              </w:r>
            </w:hyperlink>
          </w:p>
        </w:tc>
        <w:tc>
          <w:tcPr>
            <w:tcW w:w="700" w:type="dxa"/>
            <w:vAlign w:val="bottom"/>
            <w:gridSpan w:val="23"/>
          </w:tcPr>
          <w:p>
            <w:pPr>
              <w:ind w:left="80"/>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NN,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Amendment No. 1 to Executive Employment Agreement, dated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as of September 20, 2019, by and between NN, Inc. and Warren</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0000FF"/>
            </w:tcBorders>
            <w:gridSpan w:val="3"/>
          </w:tcPr>
          <w:p>
            <w:pPr>
              <w:spacing w:after="0" w:line="15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A. Veltman</w:t>
              </w:r>
            </w:hyperlink>
          </w:p>
        </w:tc>
        <w:tc>
          <w:tcPr>
            <w:tcW w:w="3780" w:type="dxa"/>
            <w:vAlign w:val="bottom"/>
            <w:gridSpan w:val="2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rPr>
            </w:pPr>
            <w:hyperlink r:id="rId170">
              <w:r>
                <w:rPr>
                  <w:rFonts w:ascii="Arial" w:cs="Arial" w:eastAsia="Arial" w:hAnsi="Arial"/>
                  <w:sz w:val="18"/>
                  <w:szCs w:val="18"/>
                  <w:color w:val="0000FF"/>
                </w:rPr>
                <w:t>Separation Agreement and General Release, dated as of</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3"/>
          </w:tcPr>
          <w:p>
            <w:pPr>
              <w:spacing w:after="0" w:line="156" w:lineRule="exact"/>
              <w:rPr>
                <w:rFonts w:ascii="Arial" w:cs="Arial" w:eastAsia="Arial" w:hAnsi="Arial"/>
                <w:sz w:val="18"/>
                <w:szCs w:val="18"/>
                <w:color w:val="0000FF"/>
                <w:w w:val="88"/>
              </w:rPr>
            </w:pPr>
            <w:hyperlink r:id="rId170">
              <w:r>
                <w:rPr>
                  <w:rFonts w:ascii="Arial" w:cs="Arial" w:eastAsia="Arial" w:hAnsi="Arial"/>
                  <w:sz w:val="18"/>
                  <w:szCs w:val="18"/>
                  <w:color w:val="0000FF"/>
                  <w:w w:val="88"/>
                </w:rPr>
                <w:t>November 24, 2019, by and between J. Robert Atkinson</w:t>
              </w:r>
            </w:hyperlink>
          </w:p>
        </w:tc>
        <w:tc>
          <w:tcPr>
            <w:tcW w:w="700" w:type="dxa"/>
            <w:vAlign w:val="bottom"/>
            <w:gridSpan w:val="23"/>
          </w:tcPr>
          <w:p>
            <w:pPr>
              <w:ind w:left="100"/>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NN, Inc.</w:t>
              </w:r>
            </w:hyperlink>
          </w:p>
        </w:tc>
        <w:tc>
          <w:tcPr>
            <w:tcW w:w="20" w:type="dxa"/>
            <w:vAlign w:val="bottom"/>
          </w:tcPr>
          <w:p>
            <w:pPr>
              <w:spacing w:after="0"/>
              <w:rPr>
                <w:sz w:val="13"/>
                <w:szCs w:val="13"/>
                <w:color w:val="auto"/>
              </w:rPr>
            </w:pPr>
          </w:p>
        </w:tc>
        <w:tc>
          <w:tcPr>
            <w:tcW w:w="3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36"/>
          </w:tcPr>
          <w:p>
            <w:pPr>
              <w:spacing w:after="0"/>
              <w:rPr>
                <w:rFonts w:ascii="Arial" w:cs="Arial" w:eastAsia="Arial" w:hAnsi="Arial"/>
                <w:sz w:val="18"/>
                <w:szCs w:val="18"/>
                <w:color w:val="0000FF"/>
                <w:w w:val="95"/>
              </w:rPr>
            </w:pPr>
            <w:hyperlink r:id="rId171">
              <w:r>
                <w:rPr>
                  <w:rFonts w:ascii="Arial" w:cs="Arial" w:eastAsia="Arial" w:hAnsi="Arial"/>
                  <w:sz w:val="18"/>
                  <w:szCs w:val="18"/>
                  <w:color w:val="0000FF"/>
                  <w:w w:val="95"/>
                </w:rPr>
                <w:t>Securities Purchase Agreement, dated December 5, 2019, by</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and among NN, Inc. and the Investors.</w:t>
              </w:r>
            </w:hyperlink>
          </w:p>
        </w:tc>
        <w:tc>
          <w:tcPr>
            <w:tcW w:w="3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488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 File No.</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30"/>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9"/>
                <w:szCs w:val="19"/>
                <w:color w:val="auto"/>
              </w:rPr>
            </w:pPr>
          </w:p>
        </w:tc>
        <w:tc>
          <w:tcPr>
            <w:tcW w:w="1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May 7, 2018</w:t>
            </w:r>
          </w:p>
        </w:tc>
      </w:tr>
      <w:tr>
        <w:trPr>
          <w:trHeight w:val="75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26, 2018</w:t>
            </w:r>
          </w:p>
        </w:tc>
      </w:tr>
      <w:tr>
        <w:trPr>
          <w:trHeight w:val="756"/>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58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2019</w:t>
            </w:r>
          </w:p>
        </w:tc>
      </w:tr>
      <w:tr>
        <w:trPr>
          <w:trHeight w:val="75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DEF14A</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Appendix C</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8, 2019</w:t>
            </w:r>
          </w:p>
        </w:tc>
      </w:tr>
      <w:tr>
        <w:trPr>
          <w:trHeight w:val="23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10, 2019</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10, 2019</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12, 2019</w:t>
            </w:r>
          </w:p>
        </w:tc>
      </w:tr>
      <w:tr>
        <w:trPr>
          <w:trHeight w:val="756"/>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15, 2019</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August 9, 2019</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August 9, 2019</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August 9, 2019</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August 9, 2019</w:t>
            </w:r>
          </w:p>
        </w:tc>
      </w:tr>
      <w:tr>
        <w:trPr>
          <w:trHeight w:val="405"/>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r>
      <w:tr>
        <w:trPr>
          <w:trHeight w:val="58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r>
      <w:tr>
        <w:trPr>
          <w:trHeight w:val="23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16, 2019</w:t>
            </w:r>
          </w:p>
        </w:tc>
      </w:tr>
      <w:tr>
        <w:trPr>
          <w:trHeight w:val="58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24, 2019</w:t>
            </w:r>
          </w:p>
        </w:tc>
      </w:tr>
      <w:tr>
        <w:trPr>
          <w:trHeight w:val="58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25, 2019</w:t>
            </w:r>
          </w:p>
        </w:tc>
      </w:tr>
      <w:tr>
        <w:trPr>
          <w:trHeight w:val="580"/>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ind w:left="180"/>
              <w:spacing w:after="0"/>
              <w:rPr>
                <w:sz w:val="20"/>
                <w:szCs w:val="20"/>
                <w:color w:val="auto"/>
              </w:rPr>
            </w:pPr>
            <w:r>
              <w:rPr>
                <w:rFonts w:ascii="Arial" w:cs="Arial" w:eastAsia="Arial" w:hAnsi="Arial"/>
                <w:sz w:val="18"/>
                <w:szCs w:val="18"/>
                <w:color w:val="auto"/>
              </w:rPr>
              <w:t>000-23486</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11, 2019</w:t>
            </w:r>
          </w:p>
        </w:tc>
      </w:tr>
    </w:tbl>
    <w:p>
      <w:pPr>
        <w:sectPr>
          <w:pgSz w:w="11900" w:h="16838" w:orient="portrait"/>
          <w:cols w:equalWidth="0" w:num="2">
            <w:col w:w="5720" w:space="20"/>
            <w:col w:w="5500"/>
          </w:cols>
          <w:pgMar w:left="320" w:top="233" w:right="339" w:bottom="1440" w:gutter="0" w:footer="0" w:header="0"/>
          <w:type w:val="continuous"/>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5"/>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10.39</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700" w:type="dxa"/>
            <w:vAlign w:val="bottom"/>
            <w:tcBorders>
              <w:top w:val="single" w:sz="8" w:color="auto"/>
            </w:tcBorders>
            <w:gridSpan w:val="29"/>
          </w:tcPr>
          <w:p>
            <w:pPr>
              <w:spacing w:after="0" w:line="184"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Registration Rights Agreement, dated as of December 11, 2019,</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by and among NN, Inc. and the Investors.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1"/>
              </w:rPr>
            </w:pPr>
            <w:hyperlink r:id="rId175">
              <w:r>
                <w:rPr>
                  <w:rFonts w:ascii="Arial" w:cs="Arial" w:eastAsia="Arial" w:hAnsi="Arial"/>
                  <w:sz w:val="18"/>
                  <w:szCs w:val="18"/>
                  <w:color w:val="0000FF"/>
                  <w:w w:val="91"/>
                </w:rPr>
                <w:t>Amendment No. 8 to Amended and Restated Credit Agreement,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dated December 19, 2019, by and among NN, Inc., certain NN,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Inc. subsidiaries named therein, SunTrust Bank,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9"/>
          </w:tcPr>
          <w:p>
            <w:pPr>
              <w:spacing w:after="0" w:line="195" w:lineRule="exact"/>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administrative agent and certain lenders named therein</w:t>
              </w:r>
            </w:hyperlink>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10.41*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9"/>
          </w:tcPr>
          <w:p>
            <w:pPr>
              <w:spacing w:after="0" w:line="190"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Amendment No. 2 to Executive Employment Agreement, dated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as of February 17, 2020, by and between NN, Inc. and Warren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A. Veltman</w:t>
              </w:r>
            </w:hyperlink>
          </w:p>
        </w:tc>
        <w:tc>
          <w:tcPr>
            <w:tcW w:w="36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rPr>
            </w:pPr>
            <w:hyperlink r:id="rId177">
              <w:r>
                <w:rPr>
                  <w:rFonts w:ascii="Arial" w:cs="Arial" w:eastAsia="Arial" w:hAnsi="Arial"/>
                  <w:sz w:val="18"/>
                  <w:szCs w:val="18"/>
                  <w:color w:val="0000FF"/>
                </w:rPr>
                <w:t>Executive Employment Agreement dated October 3, 2014,</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between the Company and John R. Buchan</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Executive Employment Agreement dated September 9, 2014,</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between the Company and Christopher Qualters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ind w:left="14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7"/>
              </w:rPr>
            </w:pPr>
            <w:hyperlink r:id="rId179">
              <w:r>
                <w:rPr>
                  <w:rFonts w:ascii="Arial" w:cs="Arial" w:eastAsia="Arial" w:hAnsi="Arial"/>
                  <w:sz w:val="18"/>
                  <w:szCs w:val="18"/>
                  <w:color w:val="0000FF"/>
                  <w:w w:val="97"/>
                </w:rPr>
                <w:t>Amendment No. 1 to Second Amended and Restated Credit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gridSpan w:val="29"/>
          </w:tcPr>
          <w:p>
            <w:pPr>
              <w:spacing w:after="0" w:line="156"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 xml:space="preserve">Agreement, dated as of July 29, </w:t>
              </w:r>
              <w:r>
                <w:rPr>
                  <w:rFonts w:ascii="Arial" w:cs="Arial" w:eastAsia="Arial" w:hAnsi="Arial"/>
                  <w:sz w:val="18"/>
                  <w:szCs w:val="18"/>
                  <w:u w:val="single" w:color="auto"/>
                  <w:color w:val="0000FF"/>
                  <w:w w:val="93"/>
                </w:rPr>
                <w:t>2020,</w:t>
              </w:r>
              <w:r>
                <w:rPr>
                  <w:rFonts w:ascii="Arial" w:cs="Arial" w:eastAsia="Arial" w:hAnsi="Arial"/>
                  <w:sz w:val="18"/>
                  <w:szCs w:val="18"/>
                  <w:color w:val="0000FF"/>
                  <w:w w:val="93"/>
                </w:rPr>
                <w:t xml:space="preserve"> by and among NN, Inc.,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gridSpan w:val="29"/>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certain NN, Inc. subsidiaries named therein, Truist Bank,</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gridSpan w:val="29"/>
          </w:tcPr>
          <w:p>
            <w:pPr>
              <w:spacing w:after="0" w:line="156" w:lineRule="exact"/>
              <w:rPr>
                <w:rFonts w:ascii="Arial" w:cs="Arial" w:eastAsia="Arial" w:hAnsi="Arial"/>
                <w:sz w:val="18"/>
                <w:szCs w:val="18"/>
                <w:color w:val="0000FF"/>
                <w:w w:val="97"/>
              </w:rPr>
            </w:pPr>
            <w:hyperlink r:id="rId179">
              <w:r>
                <w:rPr>
                  <w:rFonts w:ascii="Arial" w:cs="Arial" w:eastAsia="Arial" w:hAnsi="Arial"/>
                  <w:sz w:val="18"/>
                  <w:szCs w:val="18"/>
                  <w:color w:val="0000FF"/>
                  <w:w w:val="97"/>
                </w:rPr>
                <w:t>JPMorgan Chase Bank, N.A., KeyBank National Association</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and HomeTrust Bank</w:t>
              </w:r>
            </w:hyperlink>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7"/>
              </w:rPr>
            </w:pPr>
            <w:hyperlink r:id="rId180">
              <w:r>
                <w:rPr>
                  <w:rFonts w:ascii="Arial" w:cs="Arial" w:eastAsia="Arial" w:hAnsi="Arial"/>
                  <w:sz w:val="18"/>
                  <w:szCs w:val="18"/>
                  <w:color w:val="0000FF"/>
                  <w:w w:val="97"/>
                </w:rPr>
                <w:t>Amendment No. 2 to Second Amended and Restated Credit</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8"/>
              </w:rPr>
            </w:pPr>
            <w:hyperlink r:id="rId180">
              <w:r>
                <w:rPr>
                  <w:rFonts w:ascii="Arial" w:cs="Arial" w:eastAsia="Arial" w:hAnsi="Arial"/>
                  <w:sz w:val="18"/>
                  <w:szCs w:val="18"/>
                  <w:color w:val="0000FF"/>
                  <w:w w:val="88"/>
                </w:rPr>
                <w:t>Agreement, dated as of August 22, 2020, by and among NN,</w:t>
              </w:r>
            </w:hyperlink>
          </w:p>
        </w:tc>
        <w:tc>
          <w:tcPr>
            <w:tcW w:w="60" w:type="dxa"/>
            <w:vAlign w:val="bottom"/>
            <w:tcBorders>
              <w:bottom w:val="single" w:sz="8" w:color="0000FF"/>
            </w:tcBorders>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bottom w:val="single" w:sz="8" w:color="0000FF"/>
            </w:tcBorders>
            <w:gridSpan w:val="16"/>
          </w:tcPr>
          <w:p>
            <w:pPr>
              <w:spacing w:after="0" w:line="156" w:lineRule="exact"/>
              <w:rPr>
                <w:rFonts w:ascii="Arial" w:cs="Arial" w:eastAsia="Arial" w:hAnsi="Arial"/>
                <w:sz w:val="18"/>
                <w:szCs w:val="18"/>
                <w:color w:val="0000FF"/>
                <w:w w:val="88"/>
              </w:rPr>
            </w:pPr>
            <w:hyperlink r:id="rId180">
              <w:r>
                <w:rPr>
                  <w:rFonts w:ascii="Arial" w:cs="Arial" w:eastAsia="Arial" w:hAnsi="Arial"/>
                  <w:sz w:val="18"/>
                  <w:szCs w:val="18"/>
                  <w:color w:val="0000FF"/>
                  <w:w w:val="88"/>
                </w:rPr>
                <w:t>Inc., certain NN, Inc. subsidiaries named therein, Truist Bank,</w:t>
              </w:r>
            </w:hyperlink>
          </w:p>
        </w:tc>
        <w:tc>
          <w:tcPr>
            <w:tcW w:w="100" w:type="dxa"/>
            <w:vAlign w:val="bottom"/>
            <w:tcBorders>
              <w:bottom w:val="single" w:sz="8" w:color="0000FF"/>
            </w:tcBorders>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gridSpan w:val="19"/>
          </w:tcPr>
          <w:p>
            <w:pPr>
              <w:spacing w:after="0" w:line="142" w:lineRule="exact"/>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JPMorgan Chase Bank, N.A., KeyBank National Association</w:t>
              </w:r>
            </w:hyperlink>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gridSpan w:val="29"/>
          </w:tcPr>
          <w:p>
            <w:pPr>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and HomeTrust Bank</w:t>
              </w:r>
            </w:hyperlink>
          </w:p>
        </w:tc>
        <w:tc>
          <w:tcPr>
            <w:tcW w:w="0" w:type="dxa"/>
            <w:vAlign w:val="bottom"/>
          </w:tcPr>
          <w:p>
            <w:pPr>
              <w:spacing w:after="0"/>
              <w:rPr>
                <w:sz w:val="1"/>
                <w:szCs w:val="1"/>
                <w:color w:val="auto"/>
              </w:rPr>
            </w:pPr>
          </w:p>
        </w:tc>
      </w:tr>
      <w:tr>
        <w:trPr>
          <w:trHeight w:val="230"/>
        </w:trPr>
        <w:tc>
          <w:tcPr>
            <w:tcW w:w="880" w:type="dxa"/>
            <w:vAlign w:val="bottom"/>
          </w:tcPr>
          <w:p>
            <w:pPr>
              <w:ind w:left="14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gridSpan w:val="29"/>
          </w:tcPr>
          <w:p>
            <w:pPr>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Form of Retention Bonus Agreement</w:t>
              </w:r>
            </w:hyperlink>
          </w:p>
        </w:tc>
        <w:tc>
          <w:tcPr>
            <w:tcW w:w="0" w:type="dxa"/>
            <w:vAlign w:val="bottom"/>
          </w:tcPr>
          <w:p>
            <w:pPr>
              <w:spacing w:after="0"/>
              <w:rPr>
                <w:sz w:val="1"/>
                <w:szCs w:val="1"/>
                <w:color w:val="auto"/>
              </w:rPr>
            </w:pPr>
          </w:p>
        </w:tc>
      </w:tr>
      <w:tr>
        <w:trPr>
          <w:trHeight w:val="229"/>
        </w:trPr>
        <w:tc>
          <w:tcPr>
            <w:tcW w:w="880" w:type="dxa"/>
            <w:vAlign w:val="bottom"/>
          </w:tcPr>
          <w:p>
            <w:pPr>
              <w:ind w:left="1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gridSpan w:val="29"/>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List of Subsidiaries of NN, Inc.</w:t>
              </w:r>
            </w:hyperlink>
          </w:p>
        </w:tc>
        <w:tc>
          <w:tcPr>
            <w:tcW w:w="0" w:type="dxa"/>
            <w:vAlign w:val="bottom"/>
          </w:tcPr>
          <w:p>
            <w:pPr>
              <w:spacing w:after="0"/>
              <w:rPr>
                <w:sz w:val="1"/>
                <w:szCs w:val="1"/>
                <w:color w:val="auto"/>
              </w:rPr>
            </w:pPr>
          </w:p>
        </w:tc>
      </w:tr>
      <w:tr>
        <w:trPr>
          <w:trHeight w:val="190"/>
        </w:trPr>
        <w:tc>
          <w:tcPr>
            <w:tcW w:w="880" w:type="dxa"/>
            <w:vAlign w:val="bottom"/>
          </w:tcPr>
          <w:p>
            <w:pPr>
              <w:ind w:left="140"/>
              <w:spacing w:after="0" w:line="190"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9"/>
          </w:tcPr>
          <w:p>
            <w:pPr>
              <w:spacing w:after="0" w:line="190" w:lineRule="exact"/>
              <w:rPr>
                <w:rFonts w:ascii="Arial" w:cs="Arial" w:eastAsia="Arial" w:hAnsi="Arial"/>
                <w:sz w:val="18"/>
                <w:szCs w:val="18"/>
                <w:color w:val="0000FF"/>
                <w:w w:val="92"/>
              </w:rPr>
            </w:pPr>
            <w:hyperlink w:anchor="page98">
              <w:r>
                <w:rPr>
                  <w:rFonts w:ascii="Arial" w:cs="Arial" w:eastAsia="Arial" w:hAnsi="Arial"/>
                  <w:sz w:val="18"/>
                  <w:szCs w:val="18"/>
                  <w:color w:val="0000FF"/>
                  <w:w w:val="92"/>
                </w:rPr>
                <w:t>Consent of Grant Thornton LLP, Independent Registered Public</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98">
              <w:r>
                <w:rPr>
                  <w:rFonts w:ascii="Arial" w:cs="Arial" w:eastAsia="Arial" w:hAnsi="Arial"/>
                  <w:sz w:val="18"/>
                  <w:szCs w:val="18"/>
                  <w:color w:val="0000FF"/>
                  <w:w w:val="93"/>
                </w:rPr>
                <w:t>Accounting Firm</w:t>
              </w:r>
            </w:hyperlink>
          </w:p>
        </w:tc>
        <w:tc>
          <w:tcPr>
            <w:tcW w:w="338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Consent of PricewaterhouseCoopers LLP, Independent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99">
              <w:r>
                <w:rPr>
                  <w:rFonts w:ascii="Arial" w:cs="Arial" w:eastAsia="Arial" w:hAnsi="Arial"/>
                  <w:sz w:val="18"/>
                  <w:szCs w:val="18"/>
                  <w:color w:val="0000FF"/>
                  <w:w w:val="91"/>
                </w:rPr>
                <w:t>Registered Public Accounting Firm</w:t>
              </w:r>
            </w:hyperlink>
          </w:p>
        </w:tc>
        <w:tc>
          <w:tcPr>
            <w:tcW w:w="1380" w:type="dxa"/>
            <w:vAlign w:val="bottom"/>
            <w:tcBorders>
              <w:top w:val="single" w:sz="8" w:color="0000FF"/>
            </w:tcBorders>
            <w:gridSpan w:val="6"/>
          </w:tcPr>
          <w:p>
            <w:pPr>
              <w:spacing w:after="0"/>
              <w:rPr>
                <w:sz w:val="13"/>
                <w:szCs w:val="13"/>
                <w:color w:val="auto"/>
              </w:rPr>
            </w:pPr>
          </w:p>
        </w:tc>
        <w:tc>
          <w:tcPr>
            <w:tcW w:w="640" w:type="dxa"/>
            <w:vAlign w:val="bottom"/>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3"/>
              </w:rPr>
            </w:pPr>
            <w:hyperlink w:anchor="page100">
              <w:r>
                <w:rPr>
                  <w:rFonts w:ascii="Arial" w:cs="Arial" w:eastAsia="Arial" w:hAnsi="Arial"/>
                  <w:sz w:val="18"/>
                  <w:szCs w:val="18"/>
                  <w:color w:val="0000FF"/>
                  <w:w w:val="93"/>
                </w:rPr>
                <w:t>Certification of Chief Executive Officer pursuant to Section 302</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00">
              <w:r>
                <w:rPr>
                  <w:rFonts w:ascii="Arial" w:cs="Arial" w:eastAsia="Arial" w:hAnsi="Arial"/>
                  <w:sz w:val="18"/>
                  <w:szCs w:val="18"/>
                  <w:color w:val="0000FF"/>
                </w:rPr>
                <w:t>of Sarbanes-Oxley Act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940" w:type="dxa"/>
            <w:vAlign w:val="bottom"/>
            <w:gridSpan w:val="1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5"/>
              </w:rPr>
            </w:pPr>
            <w:hyperlink w:anchor="page101">
              <w:r>
                <w:rPr>
                  <w:rFonts w:ascii="Arial" w:cs="Arial" w:eastAsia="Arial" w:hAnsi="Arial"/>
                  <w:sz w:val="18"/>
                  <w:szCs w:val="18"/>
                  <w:color w:val="0000FF"/>
                  <w:w w:val="95"/>
                </w:rPr>
                <w:t>Certification of Chief Financial Officer pursuant to Section 302</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of Sarbanes-Oxley Act</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0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Certification of Chief Executive Officer pursuant to Section 906</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02">
              <w:r>
                <w:rPr>
                  <w:rFonts w:ascii="Arial" w:cs="Arial" w:eastAsia="Arial" w:hAnsi="Arial"/>
                  <w:sz w:val="18"/>
                  <w:szCs w:val="18"/>
                  <w:color w:val="0000FF"/>
                </w:rPr>
                <w:t>of Sarbanes-Oxley Act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0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ind w:left="1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9"/>
          </w:tcPr>
          <w:p>
            <w:pPr>
              <w:spacing w:after="0"/>
              <w:rPr>
                <w:rFonts w:ascii="Arial" w:cs="Arial" w:eastAsia="Arial" w:hAnsi="Arial"/>
                <w:sz w:val="18"/>
                <w:szCs w:val="18"/>
                <w:color w:val="0000FF"/>
                <w:w w:val="95"/>
              </w:rPr>
            </w:pPr>
            <w:hyperlink w:anchor="page103">
              <w:r>
                <w:rPr>
                  <w:rFonts w:ascii="Arial" w:cs="Arial" w:eastAsia="Arial" w:hAnsi="Arial"/>
                  <w:sz w:val="18"/>
                  <w:szCs w:val="18"/>
                  <w:color w:val="0000FF"/>
                  <w:w w:val="95"/>
                </w:rPr>
                <w:t>Certification of Chief Financial Officer pursuant to Section 906</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03">
              <w:r>
                <w:rPr>
                  <w:rFonts w:ascii="Arial" w:cs="Arial" w:eastAsia="Arial" w:hAnsi="Arial"/>
                  <w:sz w:val="18"/>
                  <w:szCs w:val="18"/>
                  <w:color w:val="0000FF"/>
                </w:rPr>
                <w:t>of Sarbanes-Oxley Act</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480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 File No.</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30"/>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9"/>
                <w:szCs w:val="19"/>
                <w:color w:val="auto"/>
              </w:rPr>
            </w:pPr>
          </w:p>
        </w:tc>
        <w:tc>
          <w:tcPr>
            <w:tcW w:w="11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December 11, 2019</w:t>
            </w:r>
          </w:p>
        </w:tc>
      </w:tr>
      <w:tr>
        <w:trPr>
          <w:trHeight w:val="404"/>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19, 2019</w:t>
            </w:r>
          </w:p>
        </w:tc>
      </w:tr>
      <w:tr>
        <w:trPr>
          <w:trHeight w:val="75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58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11, 2020</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11, 2020</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31, 2020</w:t>
            </w:r>
          </w:p>
        </w:tc>
      </w:tr>
      <w:tr>
        <w:trPr>
          <w:trHeight w:val="93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24, 2020</w:t>
            </w:r>
          </w:p>
        </w:tc>
      </w:tr>
      <w:tr>
        <w:trPr>
          <w:trHeight w:val="93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19, 2020</w:t>
            </w:r>
          </w:p>
        </w:tc>
      </w:tr>
    </w:tbl>
    <w:p>
      <w:pPr>
        <w:sectPr>
          <w:pgSz w:w="11900" w:h="16838" w:orient="portrait"/>
          <w:cols w:equalWidth="0" w:num="2">
            <w:col w:w="5720" w:space="40"/>
            <w:col w:w="5480"/>
          </w:cols>
          <w:pgMar w:left="320" w:top="233" w:right="33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60"/>
          </w:cols>
          <w:pgMar w:left="320" w:top="23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720" w:space="460"/>
            <w:col w:w="9980"/>
          </w:cols>
          <w:pgMar w:left="320" w:top="233" w:right="419" w:bottom="1440" w:gutter="0" w:footer="0" w:header="0"/>
          <w:type w:val="continuous"/>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Service</w:t>
      </w:r>
    </w:p>
    <w:p>
      <w:pPr>
        <w:spacing w:after="0" w:line="200" w:lineRule="exact"/>
        <w:rPr>
          <w:sz w:val="20"/>
          <w:szCs w:val="20"/>
          <w:color w:val="auto"/>
        </w:rPr>
      </w:pPr>
    </w:p>
    <w:p>
      <w:pPr>
        <w:sectPr>
          <w:pgSz w:w="11900" w:h="16838" w:orient="portrait"/>
          <w:cols w:equalWidth="0" w:num="2">
            <w:col w:w="780" w:space="400"/>
            <w:col w:w="9980"/>
          </w:cols>
          <w:pgMar w:left="320" w:top="233" w:right="419" w:bottom="1440" w:gutter="0" w:footer="0" w:header="0"/>
          <w:type w:val="continuous"/>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Taxonomy Calculation Linkbase</w:t>
      </w:r>
    </w:p>
    <w:p>
      <w:pPr>
        <w:spacing w:after="0" w:line="211" w:lineRule="exact"/>
        <w:rPr>
          <w:sz w:val="20"/>
          <w:szCs w:val="20"/>
          <w:color w:val="auto"/>
        </w:rPr>
      </w:pPr>
    </w:p>
    <w:p>
      <w:pPr>
        <w:sectPr>
          <w:pgSz w:w="11900" w:h="16838" w:orient="portrait"/>
          <w:cols w:equalWidth="0" w:num="2">
            <w:col w:w="800" w:space="380"/>
            <w:col w:w="9980"/>
          </w:cols>
          <w:pgMar w:left="320" w:top="233" w:right="41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XBRL Taxonomy Label Linkbase</w:t>
      </w:r>
    </w:p>
    <w:p>
      <w:pPr>
        <w:spacing w:after="0" w:line="211" w:lineRule="exact"/>
        <w:rPr>
          <w:sz w:val="20"/>
          <w:szCs w:val="20"/>
          <w:color w:val="auto"/>
        </w:rPr>
      </w:pPr>
    </w:p>
    <w:p>
      <w:pPr>
        <w:sectPr>
          <w:pgSz w:w="11900" w:h="16838" w:orient="portrait"/>
          <w:cols w:equalWidth="0" w:num="2">
            <w:col w:w="740" w:space="440"/>
            <w:col w:w="9980"/>
          </w:cols>
          <w:pgMar w:left="320" w:top="233" w:right="41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XBRL Presentation Linkbase Document</w:t>
      </w:r>
    </w:p>
    <w:p>
      <w:pPr>
        <w:spacing w:after="0" w:line="200" w:lineRule="exact"/>
        <w:rPr>
          <w:sz w:val="20"/>
          <w:szCs w:val="20"/>
          <w:color w:val="auto"/>
        </w:rPr>
      </w:pPr>
    </w:p>
    <w:p>
      <w:pPr>
        <w:sectPr>
          <w:pgSz w:w="11900" w:h="16838" w:orient="portrait"/>
          <w:cols w:equalWidth="0" w:num="2">
            <w:col w:w="760" w:space="420"/>
            <w:col w:w="9980"/>
          </w:cols>
          <w:pgMar w:left="320" w:top="233" w:right="419" w:bottom="1440" w:gutter="0" w:footer="0" w:header="0"/>
          <w:type w:val="continuous"/>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XBRL Definition Linkbase Document</w:t>
      </w:r>
    </w:p>
    <w:p>
      <w:pPr>
        <w:spacing w:after="0" w:line="142" w:lineRule="exact"/>
        <w:rPr>
          <w:sz w:val="20"/>
          <w:szCs w:val="20"/>
          <w:color w:val="auto"/>
        </w:rPr>
      </w:pPr>
    </w:p>
    <w:p>
      <w:pPr>
        <w:sectPr>
          <w:pgSz w:w="11900" w:h="16838" w:orient="portrait"/>
          <w:cols w:equalWidth="0" w:num="2">
            <w:col w:w="780" w:space="400"/>
            <w:col w:w="9980"/>
          </w:cols>
          <w:pgMar w:left="320" w:top="233" w:right="419" w:bottom="1440" w:gutter="0" w:footer="0" w:header="0"/>
          <w:type w:val="continuous"/>
        </w:sectPr>
      </w:pPr>
    </w:p>
    <w:p>
      <w:pPr>
        <w:ind w:left="680" w:hanging="65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sz w:val="20"/>
          <w:szCs w:val="20"/>
          <w:color w:val="auto"/>
        </w:rPr>
      </w:pPr>
    </w:p>
    <w:p>
      <w:pPr>
        <w:ind w:left="680" w:hanging="654"/>
        <w:spacing w:after="0" w:line="237"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Annual Report on Form 10-K pursuant to 18 U.S.C. Section 1350 and is not being filed for purposes of Section 18 of the Securities Exchange Act of 1934 and is not to be incorporated by reference into any filing of the Company, whether made before or after the date hereof, regardless of any general incorporation language in such filings.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10300" w:type="dxa"/>
            <w:vAlign w:val="bottom"/>
          </w:tcPr>
          <w:p>
            <w:pPr>
              <w:spacing w:after="0"/>
              <w:rPr>
                <w:sz w:val="20"/>
                <w:szCs w:val="20"/>
                <w:color w:val="auto"/>
              </w:rPr>
            </w:pPr>
          </w:p>
        </w:tc>
      </w:tr>
      <w:tr>
        <w:trPr>
          <w:trHeight w:val="49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0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WARREN A. VELTMAN</w:t>
            </w:r>
          </w:p>
        </w:tc>
      </w:tr>
      <w:tr>
        <w:trPr>
          <w:trHeight w:val="222"/>
        </w:trPr>
        <w:tc>
          <w:tcPr>
            <w:tcW w:w="90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Warren A. Veltman</w:t>
            </w:r>
          </w:p>
        </w:tc>
      </w:tr>
      <w:tr>
        <w:trPr>
          <w:trHeight w:val="230"/>
        </w:trPr>
        <w:tc>
          <w:tcPr>
            <w:tcW w:w="9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i w:val="1"/>
                <w:iCs w:val="1"/>
                <w:color w:val="auto"/>
              </w:rPr>
              <w:t>President, Chief Executive Officer, and Director</w:t>
            </w:r>
          </w:p>
        </w:tc>
      </w:tr>
    </w:tbl>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March 15, 2021</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10"/>
          </w:tcPr>
          <w:p>
            <w:pPr>
              <w:jc w:val="center"/>
              <w:ind w:right="1220"/>
              <w:spacing w:after="0"/>
              <w:rPr>
                <w:sz w:val="20"/>
                <w:szCs w:val="20"/>
                <w:color w:val="auto"/>
              </w:rPr>
            </w:pPr>
            <w:r>
              <w:rPr>
                <w:rFonts w:ascii="Arial" w:cs="Arial" w:eastAsia="Arial" w:hAnsi="Arial"/>
                <w:sz w:val="14"/>
                <w:szCs w:val="14"/>
                <w:b w:val="1"/>
                <w:bCs w:val="1"/>
                <w:color w:val="auto"/>
                <w:w w:val="93"/>
              </w:rPr>
              <w:t>Name and Signature</w:t>
            </w:r>
          </w:p>
        </w:tc>
        <w:tc>
          <w:tcPr>
            <w:tcW w:w="320" w:type="dxa"/>
            <w:vAlign w:val="bottom"/>
          </w:tcPr>
          <w:p>
            <w:pPr>
              <w:spacing w:after="0"/>
              <w:rPr>
                <w:sz w:val="16"/>
                <w:szCs w:val="16"/>
                <w:color w:val="auto"/>
              </w:rPr>
            </w:pPr>
          </w:p>
        </w:tc>
        <w:tc>
          <w:tcPr>
            <w:tcW w:w="472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4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45"/>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16"/>
          </w:tcPr>
          <w:p>
            <w:pPr>
              <w:jc w:val="center"/>
              <w:ind w:right="1260"/>
              <w:spacing w:after="0"/>
              <w:rPr>
                <w:sz w:val="20"/>
                <w:szCs w:val="20"/>
                <w:color w:val="auto"/>
              </w:rPr>
            </w:pPr>
            <w:r>
              <w:rPr>
                <w:rFonts w:ascii="Arial" w:cs="Arial" w:eastAsia="Arial" w:hAnsi="Arial"/>
                <w:sz w:val="18"/>
                <w:szCs w:val="18"/>
                <w:color w:val="auto"/>
                <w:w w:val="98"/>
              </w:rPr>
              <w:t>/s/ WARREN A. VELTMAN</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7"/>
          </w:tcPr>
          <w:p>
            <w:pPr>
              <w:jc w:val="center"/>
              <w:ind w:right="260"/>
              <w:spacing w:after="0"/>
              <w:rPr>
                <w:sz w:val="20"/>
                <w:szCs w:val="20"/>
                <w:color w:val="auto"/>
              </w:rPr>
            </w:pPr>
            <w:r>
              <w:rPr>
                <w:rFonts w:ascii="Arial" w:cs="Arial" w:eastAsia="Arial" w:hAnsi="Arial"/>
                <w:sz w:val="18"/>
                <w:szCs w:val="18"/>
                <w:color w:val="auto"/>
                <w:w w:val="92"/>
              </w:rPr>
              <w:t>Warren A. Veltman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gridSpan w:val="13"/>
          </w:tcPr>
          <w:p>
            <w:pPr>
              <w:jc w:val="center"/>
              <w:ind w:right="1340"/>
              <w:spacing w:after="0"/>
              <w:rPr>
                <w:sz w:val="20"/>
                <w:szCs w:val="20"/>
                <w:color w:val="auto"/>
              </w:rPr>
            </w:pPr>
            <w:r>
              <w:rPr>
                <w:rFonts w:ascii="Arial" w:cs="Arial" w:eastAsia="Arial" w:hAnsi="Arial"/>
                <w:sz w:val="18"/>
                <w:szCs w:val="18"/>
                <w:color w:val="auto"/>
                <w:w w:val="97"/>
              </w:rPr>
              <w:t>/s/ THOMAS D. DEBYLE</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2"/>
              </w:rPr>
              <w:t>Thomas D. DeByle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16"/>
          </w:tcPr>
          <w:p>
            <w:pPr>
              <w:jc w:val="center"/>
              <w:ind w:right="1260"/>
              <w:spacing w:after="0"/>
              <w:rPr>
                <w:sz w:val="20"/>
                <w:szCs w:val="20"/>
                <w:color w:val="auto"/>
              </w:rPr>
            </w:pPr>
            <w:r>
              <w:rPr>
                <w:rFonts w:ascii="Arial" w:cs="Arial" w:eastAsia="Arial" w:hAnsi="Arial"/>
                <w:sz w:val="18"/>
                <w:szCs w:val="18"/>
                <w:color w:val="auto"/>
                <w:w w:val="96"/>
              </w:rPr>
              <w:t>/s/ MICHAEL C. FELCHER</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Vice President- Chief Accounting Officer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6"/>
          </w:tcPr>
          <w:p>
            <w:pPr>
              <w:jc w:val="center"/>
              <w:ind w:right="240"/>
              <w:spacing w:after="0"/>
              <w:rPr>
                <w:sz w:val="20"/>
                <w:szCs w:val="20"/>
                <w:color w:val="auto"/>
              </w:rPr>
            </w:pPr>
            <w:r>
              <w:rPr>
                <w:rFonts w:ascii="Arial" w:cs="Arial" w:eastAsia="Arial" w:hAnsi="Arial"/>
                <w:sz w:val="18"/>
                <w:szCs w:val="18"/>
                <w:color w:val="auto"/>
                <w:w w:val="93"/>
              </w:rPr>
              <w:t>Michael C. Felcher</w:t>
            </w:r>
          </w:p>
        </w:tc>
        <w:tc>
          <w:tcPr>
            <w:tcW w:w="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gridSpan w:val="12"/>
          </w:tcPr>
          <w:p>
            <w:pPr>
              <w:jc w:val="center"/>
              <w:ind w:right="1380"/>
              <w:spacing w:after="0"/>
              <w:rPr>
                <w:sz w:val="20"/>
                <w:szCs w:val="20"/>
                <w:color w:val="auto"/>
              </w:rPr>
            </w:pPr>
            <w:r>
              <w:rPr>
                <w:rFonts w:ascii="Arial" w:cs="Arial" w:eastAsia="Arial" w:hAnsi="Arial"/>
                <w:sz w:val="18"/>
                <w:szCs w:val="18"/>
                <w:color w:val="auto"/>
                <w:w w:val="95"/>
              </w:rPr>
              <w:t>/s/ JERI J. HARMAN</w:t>
            </w:r>
          </w:p>
        </w:tc>
        <w:tc>
          <w:tcPr>
            <w:tcW w:w="5140" w:type="dxa"/>
            <w:vAlign w:val="bottom"/>
            <w:gridSpan w:val="2"/>
            <w:vMerge w:val="restart"/>
          </w:tcPr>
          <w:p>
            <w:pPr>
              <w:ind w:left="20"/>
              <w:spacing w:after="0"/>
              <w:rPr>
                <w:sz w:val="20"/>
                <w:szCs w:val="20"/>
                <w:color w:val="auto"/>
              </w:rPr>
            </w:pPr>
            <w:r>
              <w:rPr>
                <w:rFonts w:ascii="Arial" w:cs="Arial" w:eastAsia="Arial" w:hAnsi="Arial"/>
                <w:sz w:val="18"/>
                <w:szCs w:val="18"/>
                <w:color w:val="auto"/>
              </w:rPr>
              <w:t>Non-Executive Chairman, 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Jeri J. Harman</w:t>
            </w:r>
          </w:p>
        </w:tc>
        <w:tc>
          <w:tcPr>
            <w:tcW w:w="1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514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320" w:type="dxa"/>
            <w:vAlign w:val="bottom"/>
            <w:gridSpan w:val="19"/>
          </w:tcPr>
          <w:p>
            <w:pPr>
              <w:jc w:val="center"/>
              <w:ind w:right="320"/>
              <w:spacing w:after="0"/>
              <w:rPr>
                <w:sz w:val="20"/>
                <w:szCs w:val="20"/>
                <w:color w:val="auto"/>
              </w:rPr>
            </w:pPr>
            <w:r>
              <w:rPr>
                <w:rFonts w:ascii="Arial" w:cs="Arial" w:eastAsia="Arial" w:hAnsi="Arial"/>
                <w:sz w:val="18"/>
                <w:szCs w:val="18"/>
                <w:color w:val="auto"/>
                <w:w w:val="98"/>
              </w:rPr>
              <w:t>/s/ RAYNARD D. BENVENUTI</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10"/>
          </w:tcPr>
          <w:p>
            <w:pPr>
              <w:jc w:val="center"/>
              <w:ind w:right="300"/>
              <w:spacing w:after="0"/>
              <w:rPr>
                <w:sz w:val="20"/>
                <w:szCs w:val="20"/>
                <w:color w:val="auto"/>
              </w:rPr>
            </w:pPr>
            <w:r>
              <w:rPr>
                <w:rFonts w:ascii="Arial" w:cs="Arial" w:eastAsia="Arial" w:hAnsi="Arial"/>
                <w:sz w:val="18"/>
                <w:szCs w:val="18"/>
                <w:color w:val="auto"/>
                <w:w w:val="91"/>
              </w:rPr>
              <w:t>Raynard D. Benvenuti</w:t>
            </w:r>
          </w:p>
        </w:tc>
        <w:tc>
          <w:tcPr>
            <w:tcW w:w="1120" w:type="dxa"/>
            <w:vAlign w:val="bottom"/>
            <w:gridSpan w:val="2"/>
          </w:tcPr>
          <w:p>
            <w:pPr>
              <w:spacing w:after="0"/>
              <w:rPr>
                <w:sz w:val="19"/>
                <w:szCs w:val="19"/>
                <w:color w:val="auto"/>
              </w:rPr>
            </w:pPr>
          </w:p>
        </w:tc>
        <w:tc>
          <w:tcPr>
            <w:tcW w:w="4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14"/>
          </w:tcPr>
          <w:p>
            <w:pPr>
              <w:jc w:val="center"/>
              <w:ind w:right="1300"/>
              <w:spacing w:after="0"/>
              <w:rPr>
                <w:sz w:val="20"/>
                <w:szCs w:val="20"/>
                <w:color w:val="auto"/>
              </w:rPr>
            </w:pPr>
            <w:r>
              <w:rPr>
                <w:rFonts w:ascii="Arial" w:cs="Arial" w:eastAsia="Arial" w:hAnsi="Arial"/>
                <w:sz w:val="18"/>
                <w:szCs w:val="18"/>
                <w:color w:val="auto"/>
                <w:w w:val="92"/>
              </w:rPr>
              <w:t>/s/ ROBERT E. BRUNNER</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4"/>
          </w:tcPr>
          <w:p>
            <w:pPr>
              <w:jc w:val="center"/>
              <w:ind w:right="200"/>
              <w:spacing w:after="0"/>
              <w:rPr>
                <w:sz w:val="20"/>
                <w:szCs w:val="20"/>
                <w:color w:val="auto"/>
              </w:rPr>
            </w:pPr>
            <w:r>
              <w:rPr>
                <w:rFonts w:ascii="Arial" w:cs="Arial" w:eastAsia="Arial" w:hAnsi="Arial"/>
                <w:sz w:val="18"/>
                <w:szCs w:val="18"/>
                <w:color w:val="auto"/>
                <w:w w:val="90"/>
              </w:rPr>
              <w:t>Robert E. Brunner</w:t>
            </w:r>
          </w:p>
        </w:tc>
        <w:tc>
          <w:tcPr>
            <w:tcW w:w="2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1200" w:type="dxa"/>
            <w:vAlign w:val="bottom"/>
            <w:gridSpan w:val="3"/>
          </w:tcPr>
          <w:p>
            <w:pPr>
              <w:spacing w:after="0"/>
              <w:rPr>
                <w:sz w:val="19"/>
                <w:szCs w:val="19"/>
                <w:color w:val="auto"/>
              </w:rPr>
            </w:pPr>
          </w:p>
        </w:tc>
        <w:tc>
          <w:tcPr>
            <w:tcW w:w="4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3520" w:type="dxa"/>
            <w:vAlign w:val="bottom"/>
            <w:gridSpan w:val="18"/>
          </w:tcPr>
          <w:p>
            <w:pPr>
              <w:jc w:val="center"/>
              <w:ind w:right="1140"/>
              <w:spacing w:after="0"/>
              <w:rPr>
                <w:sz w:val="20"/>
                <w:szCs w:val="20"/>
                <w:color w:val="auto"/>
              </w:rPr>
            </w:pPr>
            <w:r>
              <w:rPr>
                <w:rFonts w:ascii="Arial" w:cs="Arial" w:eastAsia="Arial" w:hAnsi="Arial"/>
                <w:sz w:val="18"/>
                <w:szCs w:val="18"/>
                <w:color w:val="auto"/>
                <w:w w:val="96"/>
              </w:rPr>
              <w:t>/s/ CHRISTINA E. CARROLL</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8"/>
          </w:tcPr>
          <w:p>
            <w:pPr>
              <w:jc w:val="center"/>
              <w:ind w:right="320"/>
              <w:spacing w:after="0"/>
              <w:rPr>
                <w:sz w:val="20"/>
                <w:szCs w:val="20"/>
                <w:color w:val="auto"/>
              </w:rPr>
            </w:pPr>
            <w:r>
              <w:rPr>
                <w:rFonts w:ascii="Arial" w:cs="Arial" w:eastAsia="Arial" w:hAnsi="Arial"/>
                <w:sz w:val="18"/>
                <w:szCs w:val="18"/>
                <w:color w:val="auto"/>
                <w:w w:val="92"/>
              </w:rPr>
              <w:t>Christina E. Carroll</w:t>
            </w:r>
          </w:p>
        </w:tc>
        <w:tc>
          <w:tcPr>
            <w:tcW w:w="1200" w:type="dxa"/>
            <w:vAlign w:val="bottom"/>
            <w:gridSpan w:val="3"/>
          </w:tcPr>
          <w:p>
            <w:pPr>
              <w:spacing w:after="0"/>
              <w:rPr>
                <w:sz w:val="19"/>
                <w:szCs w:val="19"/>
                <w:color w:val="auto"/>
              </w:rPr>
            </w:pPr>
          </w:p>
        </w:tc>
        <w:tc>
          <w:tcPr>
            <w:tcW w:w="4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5"/>
          </w:tcPr>
          <w:p>
            <w:pPr>
              <w:jc w:val="center"/>
              <w:ind w:right="1280"/>
              <w:spacing w:after="0"/>
              <w:rPr>
                <w:sz w:val="20"/>
                <w:szCs w:val="20"/>
                <w:color w:val="auto"/>
              </w:rPr>
            </w:pPr>
            <w:r>
              <w:rPr>
                <w:rFonts w:ascii="Arial" w:cs="Arial" w:eastAsia="Arial" w:hAnsi="Arial"/>
                <w:sz w:val="18"/>
                <w:szCs w:val="18"/>
                <w:color w:val="auto"/>
                <w:w w:val="93"/>
              </w:rPr>
              <w:t>/s/ STEVEN T. WARSHAW</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89"/>
              </w:rPr>
              <w:t>Steven T. Warshaw</w:t>
            </w:r>
          </w:p>
        </w:tc>
        <w:tc>
          <w:tcPr>
            <w:tcW w:w="1300" w:type="dxa"/>
            <w:vAlign w:val="bottom"/>
            <w:gridSpan w:val="6"/>
          </w:tcPr>
          <w:p>
            <w:pPr>
              <w:spacing w:after="0"/>
              <w:rPr>
                <w:sz w:val="19"/>
                <w:szCs w:val="19"/>
                <w:color w:val="auto"/>
              </w:rPr>
            </w:pPr>
          </w:p>
        </w:tc>
        <w:tc>
          <w:tcPr>
            <w:tcW w:w="4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gridSpan w:val="12"/>
          </w:tcPr>
          <w:p>
            <w:pPr>
              <w:jc w:val="center"/>
              <w:ind w:right="1380"/>
              <w:spacing w:after="0"/>
              <w:rPr>
                <w:sz w:val="20"/>
                <w:szCs w:val="20"/>
                <w:color w:val="auto"/>
              </w:rPr>
            </w:pPr>
            <w:r>
              <w:rPr>
                <w:rFonts w:ascii="Arial" w:cs="Arial" w:eastAsia="Arial" w:hAnsi="Arial"/>
                <w:sz w:val="18"/>
                <w:szCs w:val="18"/>
                <w:color w:val="auto"/>
                <w:w w:val="94"/>
              </w:rPr>
              <w:t>/s/ TOM H. WILSON, JR.</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March 15, 2021</w:t>
            </w: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1"/>
              </w:rPr>
              <w:t>Tom H. Wilson, Jr.</w:t>
            </w:r>
          </w:p>
        </w:tc>
        <w:tc>
          <w:tcPr>
            <w:tcW w:w="1380" w:type="dxa"/>
            <w:vAlign w:val="bottom"/>
            <w:gridSpan w:val="9"/>
          </w:tcPr>
          <w:p>
            <w:pPr>
              <w:spacing w:after="0"/>
              <w:rPr>
                <w:sz w:val="19"/>
                <w:szCs w:val="19"/>
                <w:color w:val="auto"/>
              </w:rPr>
            </w:pPr>
          </w:p>
        </w:tc>
        <w:tc>
          <w:tcPr>
            <w:tcW w:w="4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233"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NN, Inc. (“NN,” the "Company," “we,” “us,” and “our”) has two classes of securities registered under Section 12 of the Securities Exchange Act of 1934, as amended (the “Exchange Act”): (i) our common stock, par value $0.01 per share (“Common Stock”), and (ii) our preferred stock purchase rights (the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NN’s authorized capital stock consists of 95,000,000 shares, consisting of 90,000,000 shares of Common Stock, and 5,000,000 shares of preferred stock, par value $.01 per share (“Preferred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Common Stock is a summary and is qualified in its entirety by reference to the actual terms and provisions contained in our Restated Certificate of Incorporation, as amended from time to time (the “Certificate of Incorporation”), and our Amended and Restated Bylaws, as amended from time to time (the “Bylaws”), each of which is filed as an exhibit to our Annual Report on Form 10-K of which this Exhibit 4.5 is a part and incorporated by reference herein. We encourage you to read our Certificate of Incorporation, our Bylaws, and the applicable provisions of the Delaware General Corporation Law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Subject to preferential rights of any other class or series of preferred stock, holders of Common Stock may receive dividends pro rata out of assets that we can legally use to pay dividends, when, as and if they are declared by our board of directors (our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Other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Holders of Common Stock have no preference, appraisal or exchange rights, except for any appraisal rights provided by Delaware law.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Furthermore, holders of common stock have no conversion, sinking fund or redemption rights, or preemptive rights to subscribe for any of our securities.</w:t>
      </w:r>
    </w:p>
    <w:p>
      <w:pPr>
        <w:sectPr>
          <w:pgSz w:w="11900" w:h="16838" w:orient="portrait"/>
          <w:cols w:equalWidth="0" w:num="1">
            <w:col w:w="11240"/>
          </w:cols>
          <w:pgMar w:left="320" w:top="110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Stock Market LLC under the symbol “NNBR.”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No shares of Series A Preferred Stock are issued and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our Series B Convertible Preferred Stock, par value $0.01 per share (the “Series B Preferred Stock”), is a summary and is qualified in its entirety by reference to the actual terms and provisions contained in our Certificate of Incorporation (including the Certificate of Designation for the Series B Preferred Stock) and our Bylaws, each of which is filed as an exhibit to our Annual Report on Form 10-K of which this Exhibit 4.5 is a part and incorporated by reference herein. We encourage you to read our Certificate of Incorporation, our Bylaws, and the DGCL, for additional information.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11, 2019 (the “Issuance Date”), pursuant to that certain Securities Purchase Agreement, dated December 5, 2019, by and among the Company and the purchasers named therein and party thereto (the “Purchase Agreement”), we issued 100,000 shares of Series B Preferred Stock, all of which are currently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Holders of Series B Preferred Stock are entitled to receive, when, as and if declared by the board of directors, and we shall pay, out of funds lawfully available therefor, cumulative dividends payable quarterly in arrears at the rate per share of 10.625% per annum; provided that if we does not obtain Stockholder Approval (as defined in the Purchase Agreement) prior to the earlier of (i) June 30, 2020 and (ii) at our 2020 annual meeting of stockholders, the rate shall increase to 11.625% per annum until such Stockholder Approval has been obtained. Series B Preferred Stock will fully participate on an as-converted basis in any dividends paid on the Common Stock, using a conversion rate based on a fixed conversion price equal to $7.91.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Holders of the Series B Preferred Stock shall not have any voting rights, other than with respect to: (i) amendments to our organizational documents that generally have an adverse effect on the Series B Preferred Stock as well as creation or issuance of senior or parity securities; (ii) issuance of additional Series B Preferred Stock after the Issuance Date; (iii) incurrence by us and our subsidiaries of indebtedness other than (x) any indebtedness that would be permitted to be incurred under our current credit agreement, and (y) (A) indebtedness incurred in connection with refinancing our existing indebtedness outstanding, subject to certain limitations, and (B) indebtedness the net proceeds of which are contemporaneously used to redeem all outstanding shares of Series B Preferred Stock; and (iv) the sale of assets outside the ordinary course of business of NN, unless (A) such assets are sold for fair market value, (B) 85% of the consideration received in connection with the asset sale is in the form of cash or cash equivalents and (C) we use the net cash proceeds from such asset sale to permanently repay</w:t>
      </w:r>
    </w:p>
    <w:p>
      <w:pPr>
        <w:sectPr>
          <w:pgSz w:w="11900" w:h="16838" w:orient="portrait"/>
          <w:cols w:equalWidth="0" w:num="1">
            <w:col w:w="11240"/>
          </w:cols>
          <w:pgMar w:left="320" w:top="1107" w:right="339" w:bottom="1440" w:gutter="0" w:footer="0" w:header="0"/>
        </w:sectPr>
      </w:pPr>
    </w:p>
    <w:bookmarkStart w:id="91" w:name="page92"/>
    <w:bookmarkEnd w:id="91"/>
    <w:p>
      <w:pPr>
        <w:jc w:val="both"/>
        <w:ind w:right="20"/>
        <w:spacing w:after="0" w:line="277" w:lineRule="auto"/>
        <w:rPr>
          <w:sz w:val="20"/>
          <w:szCs w:val="20"/>
          <w:color w:val="auto"/>
        </w:rPr>
      </w:pPr>
      <w:r>
        <w:rPr>
          <w:rFonts w:ascii="Arial" w:cs="Arial" w:eastAsia="Arial" w:hAnsi="Arial"/>
          <w:sz w:val="18"/>
          <w:szCs w:val="18"/>
          <w:color w:val="auto"/>
        </w:rPr>
        <w:t>its indebtedness, and any net cash proceeds remaining thereafter in excess of $25 million are used to redeem shares of Series B Preferred Stock and/or pay Series B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jc w:val="both"/>
        <w:ind w:firstLine="187"/>
        <w:spacing w:after="0" w:line="259" w:lineRule="auto"/>
        <w:rPr>
          <w:sz w:val="20"/>
          <w:szCs w:val="20"/>
          <w:color w:val="auto"/>
        </w:rPr>
      </w:pPr>
      <w:r>
        <w:rPr>
          <w:rFonts w:ascii="Arial" w:cs="Arial" w:eastAsia="Arial" w:hAnsi="Arial"/>
          <w:sz w:val="18"/>
          <w:szCs w:val="18"/>
          <w:color w:val="auto"/>
        </w:rPr>
        <w:t>The Series B Preferred Stock has a liquidation preference of $1,000 per share of Series B Preferred Stock. In the event of a liquidation, holders of Series B Preferred Stock will receive the greater of (i) the liquidation preference, plus any Series B dividend accrued and unpaid at the time of such liquidation, and (ii) the amount such holder of Series B Preferred Stock would have received upon conversion of its shares of Series B Preferred Stock into shares of Common Stock using a conversion rate based on a fixed conversion price equal to $7.91.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Exchange Rights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conversion rate for the Series B Preferred Stock equals (i) the liquidation preference, plus any accrued and unpaid Series B dividends, less any dividend withholding taxes that we are entitled to set off, divided by (ii) the then-applicable conversion price described below, which conversion price shall be no less than $1.00. In addition, under no circumstances will the aggregate number of Common Stock issued upon conversion of Series B Preferred Stock exceed 40,000,000 unless our Certificate of Incorporation is amended to increase the authorized number of shares of Common Stock.</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consolidated net leverage ratio is equal to or greater than 3.50 to 1.00 as of March 31, 2023 or any quarter ending thereafter, holders of Series B Preferred Stock will have the right to convert at a conversion price that equals 90% of the 30-day volume-weighted average price, during a 60-day conversion window.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the Series B Preferred Stock will also have the right to convert up to 25% of their shares of Series B Preferred Stock into Common Stock in the quarter following the completion of our fiscal year ending December 31, 2023, and each quarter ending thereafter at a conversion price that equals a 30-day volume-weighted average price, during a 60-day conversion window.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redeem the shares of Series B Preferred Stock for an amount equal to the applicable redemption price set forth below expressed as a percentage of its Liquidation Preference, plus any accrued and unpaid Series B dividends, minus any dividend withholding taxes that we entitled to set off pursuant to the terms of the Purchase Agreement.</w:t>
      </w:r>
    </w:p>
    <w:p>
      <w:pPr>
        <w:spacing w:after="0" w:line="200" w:lineRule="exact"/>
        <w:rPr>
          <w:sz w:val="20"/>
          <w:szCs w:val="20"/>
          <w:color w:val="auto"/>
        </w:rPr>
      </w:pPr>
    </w:p>
    <w:p>
      <w:pPr>
        <w:spacing w:after="0" w:line="282"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Year</w:t>
            </w:r>
          </w:p>
        </w:tc>
        <w:tc>
          <w:tcPr>
            <w:tcW w:w="2840" w:type="dxa"/>
            <w:vAlign w:val="bottom"/>
          </w:tcPr>
          <w:p>
            <w:pPr>
              <w:jc w:val="right"/>
              <w:spacing w:after="0"/>
              <w:rPr>
                <w:sz w:val="20"/>
                <w:szCs w:val="20"/>
                <w:color w:val="auto"/>
              </w:rPr>
            </w:pPr>
            <w:r>
              <w:rPr>
                <w:rFonts w:ascii="Arial" w:cs="Arial" w:eastAsia="Arial" w:hAnsi="Arial"/>
                <w:sz w:val="14"/>
                <w:szCs w:val="14"/>
                <w:color w:val="auto"/>
              </w:rPr>
              <w:t>Percentage of Liquidation Preference</w:t>
            </w: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before March 31, 2021</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3400" w:type="dxa"/>
            <w:vAlign w:val="bottom"/>
            <w:gridSpan w:val="2"/>
          </w:tcPr>
          <w:p>
            <w:pPr>
              <w:spacing w:after="0" w:line="176" w:lineRule="exact"/>
              <w:rPr>
                <w:sz w:val="20"/>
                <w:szCs w:val="20"/>
                <w:color w:val="auto"/>
              </w:rPr>
            </w:pPr>
            <w:r>
              <w:rPr>
                <w:rFonts w:ascii="Arial" w:cs="Arial" w:eastAsia="Arial" w:hAnsi="Arial"/>
                <w:sz w:val="18"/>
                <w:szCs w:val="18"/>
                <w:color w:val="auto"/>
              </w:rPr>
              <w:t>After March 31, 2021 and on or before</w:t>
            </w:r>
          </w:p>
        </w:tc>
        <w:tc>
          <w:tcPr>
            <w:tcW w:w="284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December 31, 2021</w:t>
            </w:r>
          </w:p>
        </w:tc>
        <w:tc>
          <w:tcPr>
            <w:tcW w:w="2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After December 31, 2021 and on or before</w:t>
            </w:r>
          </w:p>
        </w:tc>
        <w:tc>
          <w:tcPr>
            <w:tcW w:w="2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After December 31, 2022</w:t>
            </w:r>
          </w:p>
        </w:tc>
        <w:tc>
          <w:tcPr>
            <w:tcW w:w="28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March 31, 2021 date shall be deemed May 15, 2021 if we have entered into a definitive agreement with respect to a transaction that constitutes a Change of Control (as defined in the Purchase Agreement) on or prior to March 31, 2021. The redemption price and any accrued and unpaid dividends shall be paid in cash unless our outstanding shares of Common Stock have a market capitalization in excess of $750 million on the date of the redemption notice, in which case the redemption price may be paid in cash or a combination of cash and shares of Common Stock; provided that the number of shares of Common Stock to be delivered will be determined based on 95% of the 30-trading day volume-weighted average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Redemption and Conversion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and until the Stockholder Approval is obtained, the holders shall not have the right to acquire shares of Common Stock pursuant to a redemption or conversion of the Series B Preferred Stock in a manner that would violate Nasdaq Listing Rule 5635. Conversion and redemption of Series B Preferred Stock are also subject to certain other beneficial ownership limitations applicable to any holder.</w:t>
      </w:r>
    </w:p>
    <w:p>
      <w:pPr>
        <w:sectPr>
          <w:pgSz w:w="11900" w:h="16838" w:orient="portrait"/>
          <w:cols w:equalWidth="0" w:num="1">
            <w:col w:w="11240"/>
          </w:cols>
          <w:pgMar w:left="320" w:top="111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Limitation on Dividends and Redemptions of Junior Securities</w:t>
      </w:r>
    </w:p>
    <w:p>
      <w:pPr>
        <w:spacing w:after="0" w:line="225" w:lineRule="exact"/>
        <w:rPr>
          <w:sz w:val="20"/>
          <w:szCs w:val="20"/>
          <w:color w:val="auto"/>
        </w:rPr>
      </w:pPr>
    </w:p>
    <w:p>
      <w:pPr>
        <w:jc w:val="both"/>
        <w:ind w:firstLine="279"/>
        <w:spacing w:after="0" w:line="259" w:lineRule="auto"/>
        <w:rPr>
          <w:sz w:val="20"/>
          <w:szCs w:val="20"/>
          <w:color w:val="auto"/>
        </w:rPr>
      </w:pPr>
      <w:r>
        <w:rPr>
          <w:rFonts w:ascii="Arial" w:cs="Arial" w:eastAsia="Arial" w:hAnsi="Arial"/>
          <w:sz w:val="18"/>
          <w:szCs w:val="18"/>
          <w:color w:val="auto"/>
        </w:rPr>
        <w:t>Without the prior written consent of the holders of a majority of the outstanding shares of Series B Preferred Stock, we will not, nor permit any subsidiary to, redeem or purchase or otherwise acquire directly or indirectly any junior securities, nor shall we directly or indirectly pay or declare any dividend upon any junior securities (including any spin-off or other dividend or distribution of properties, securities or any other assets), subject to certain exceptions.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Consent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affiliates of Corre Partners Management, L.L.C. and Legion Partners Asset Management, LLC (collectively, the “Specified Holders”) cease to hold specified amounts of Series B Preferred Stock, we shall not, without the prior consent of each Specified Holder, consummate or effect Change of Control transactions, other than (a) a transaction not approved by our board of directors prior to the consummation thereof or (b) a Qualifying Transaction (as defined in the Purchase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Stock</w:t>
      </w:r>
    </w:p>
    <w:p>
      <w:pPr>
        <w:spacing w:after="0" w:line="229"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Our Board has authority to issue 200,000 shares of our Preferred Stock designated as Series C Junior Participating Preferred Stock, par value $.01 per share (the “Series C Preferred Stock”). The powers, preferences, rights, qualifications, limitations and restrictions of shares of our preferred stock and our Series C Preferred Stock have been fixed in amendments to our Certificate of Incorporation (including the Certificate of Designation for the Series C Preferred Stock). No shares of Series C Preferred Stock are issued and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April 15, 2020, we entered into the Rights Agreement (the “Rights Agreement”), by and between us and Computershare Inc., as rights agent (the “Rights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Dividend</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Pursuant to the Rights Agreement, our Board declared a dividend of one preferred share purchase right (a “Right”) for each outstanding share of our Common Stock to stockholders of record as of the close of business on April 27, 2020 (the “Record Date”). In addition, one Right will automatically attach to each share of Common Stock that becomes outstanding between the Record Date and the earliest of (i) the Distribution Date (defined below), (ii) the redemption of the Rights or (iii) the expiration of the Rights. Each Right entitles the registered holder thereof to purchase one one-thousandth of a share of our Series C Preferred Stock, at a purchase price of $31.50 per one-thousandth of a share of Series C Preferred Stock (the “Purchase Price”), subject to adjustment as provided in the Rights Agreement and summarized below. Until a Right is exercised, the holder thereof, as such, will have no rights as a stockholder of NN, including, without limitation, the right to vote or to receive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Date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Initially, the Rights will be evidenced by the certificates representing shares of Common Stock then outstanding (or, in the case of shares of Common Stock held in uncertificated form, by the transaction statement or other record of ownership of such shares of Common Stock), and no separate Right Certificates (defined below) will be distributed. Upon the occurrence of the Distribution Date, the Rights will separate from the shares of Common Stock and, as soon as practicable thereafter, separate certificates evidencing the Rights (“Right Certificates”) will be mailed to holders of record of the shares of Common Stock as of the close of business on the Distribution Date, and such separate Right Certificates alone will evidence the Rights. The “Distribution Date” is the earlier of (i) the close of business on the 10th day after the first date of public announcement that any person has become an Acquiring Person (as defined in the Rights Agreement) (such date, the “Shares Acquisition Date”) (or, if the 10th day after the Shares Acquisition Date occurs before the Record Date, the close of business on the Record Date) and (ii) the close of business on the 10th day (or such later date as the Board shall determine, prior to such time as any person becomes an Acquiring Person) after the date that a tender or exchange offer by any person is first published, sent or given, if, upon consummation thereof, such person would become an Acquiring Person.</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Until the earliest of the Distribution Date, the date that the Rights are redeemed by the Board and the date on which the Rights expire, (i) in the case of certificated shares, the Rights associated with the shares of Common Stock represented by any certificate will be evidenced by such certificate and the surrender for transfer of any such certificate shall also constitute the transfer of the Rights associated with the shares of Common Stock represented thereby, and (ii) in the case of the shares of Common Stock held in uncertificated form, the Rights associated with the shares of Common Stock shall be evidenced by the balances indicated in the book-entry account system of the transfer agent for such shares and the transfer of any shares of</w:t>
      </w:r>
    </w:p>
    <w:p>
      <w:pPr>
        <w:sectPr>
          <w:pgSz w:w="11900" w:h="16838" w:orient="portrait"/>
          <w:cols w:equalWidth="0" w:num="1">
            <w:col w:w="11240"/>
          </w:cols>
          <w:pgMar w:left="320" w:top="1111" w:right="339" w:bottom="1440" w:gutter="0" w:footer="0" w:header="0"/>
        </w:sectPr>
      </w:pPr>
    </w:p>
    <w:bookmarkStart w:id="93" w:name="page94"/>
    <w:bookmarkEnd w:id="93"/>
    <w:p>
      <w:pPr>
        <w:jc w:val="both"/>
        <w:spacing w:after="0" w:line="243" w:lineRule="auto"/>
        <w:rPr>
          <w:sz w:val="20"/>
          <w:szCs w:val="20"/>
          <w:color w:val="auto"/>
        </w:rPr>
      </w:pPr>
      <w:r>
        <w:rPr>
          <w:rFonts w:ascii="Arial" w:cs="Arial" w:eastAsia="Arial" w:hAnsi="Arial"/>
          <w:sz w:val="18"/>
          <w:szCs w:val="18"/>
          <w:color w:val="auto"/>
        </w:rPr>
        <w:t>Common Stock in the book-entry account system of the transfer agent for such shares shall also constitute the transfer of the Rights associated with such shares. Therefore, until the Distribution Date, the Rights may be transferred with and only with the underlying shares of Common Stock. After that date, the Rights may be transferred only on the registry book of the Rights Agent. Any Rights held by an Acquiring Person will become null and void and may not be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Exercisability</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b w:val="1"/>
          <w:bCs w:val="1"/>
          <w:i w:val="1"/>
          <w:iCs w:val="1"/>
          <w:color w:val="auto"/>
        </w:rPr>
        <w:t>Flip In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any person or group becomes an Acquiring Person, all holders of Rights (not including the Rights of the Acquiring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which will have become null and void) may, for the Purchase Price, purchase shares of Common Stock (or, in certain circumstances, a combination of shares of Common Stock and shares of Series C Preferred Stock) with a then-current market value of twice the Purchase Price, based on the market value of the Common Shares.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b w:val="1"/>
          <w:bCs w:val="1"/>
          <w:i w:val="1"/>
          <w:iCs w:val="1"/>
          <w:color w:val="auto"/>
        </w:rPr>
        <w:t>Flip Over</w:t>
      </w:r>
      <w:r>
        <w:rPr>
          <w:rFonts w:ascii="Arial" w:cs="Arial" w:eastAsia="Arial" w:hAnsi="Arial"/>
          <w:sz w:val="17"/>
          <w:szCs w:val="17"/>
          <w:color w:val="auto"/>
        </w:rPr>
        <w:t>. In the event that, at any time after a person or group has become an Acquiring Person, (i) the we or our subsidiaries are party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with another company in which the shares of Common Stock are converted into other securities, cash or property, or (ii) we sell or otherwise transfer 50% or more of our assets or earning power of to another company, all holders of Rights (not including the Rights of the Acquiring Person, which will have become null and void) may, for the Purchase Price, purchase shares of common stock of such other company with a then-current market value of twice the Purchase Price, based on the market price of such common stock prior to such merger or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will expire at the close of business on March 31, 2021, unless earlier redeemed or exchanged by us as described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outstanding shares of Common Stock, the Board may extinguish the Rights by exchanging one share of Common Stock (or, in certain circumstances, shares of Series C Preferred Stock or a combination of shares of Common Stock and shares of Series C Preferred Stock) for each Right (not including the Rights of the Acquiring Person, which will have become null and void).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Provisions</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Board may adjust the Purchase Price, the number of shares of Series C Preferred Stock issuable and the number of outstanding Rights to prevent dilution that may occur from a stock dividend, a stock split, or a reclassification of the shares of Series C Preferred Stock or shares of Common Stock. No adjustments to the Purchase Price of less than 1% will be made.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Stock Provisions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Shares of Series C Preferred Stock purchasable upon exercise of the Rights will not be redeemable. Each thousandth of a Preferred Share will entitle holders, in preference to the holders of shares of Common Stock, to receive, when and if declared, quarterly dividends in an amount per share equal to the greater of (i) $0.01 and (ii) subject to adjustment, the aggregate dividend amount declared per share of Common Stock. In the event of liquidation, the holders of the shares of Series C Preferred Stock will be entitled to a preferential liquidation payment equal to the greater of (x) $1,000 per share of Series C Preferred Stock (plus an amount equal to accrued and unpaid dividends and distributions thereon) and (y) an aggregate amount per share of Series C Preferred Stock subject to certain adjustments equal to 1,000 times the aggregate amount to be distributed per share to the holders of the shares of Common Stock. Finally, in the event of any merger, consolidation or other transaction in which shares of Common Stock are exchanged, each thousandth of a shares of Series C Preferred Stock will be entitled to receive (subject to certain adjustments) the amount received per share of Common Stock. These rights are protected by customary anti-dilution provisions.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 fractional shares of Series C Preferred Stock will be issued other than fractions which are integral multiples of one one-thousandth of a share of Series C Preferred Stock (which may, at our election, be evidenced by depositary receipts), but, in lieu thereof, an adjustment in cash will be made based on the closing price of the shares of Series C Preferred Stock on the last trading day prior to the date of exercise.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Board may, at its option, at any time prior to such time as any person or group becomes an Acquiring Person, redeem all but not less than all the then outstanding Rights at a redemption price of $0.001 per Right, subject to adjustment (the</w:t>
      </w:r>
    </w:p>
    <w:p>
      <w:pPr>
        <w:sectPr>
          <w:pgSz w:w="11900" w:h="16838" w:orient="portrait"/>
          <w:cols w:equalWidth="0" w:num="1">
            <w:col w:w="11240"/>
          </w:cols>
          <w:pgMar w:left="320" w:top="1111" w:right="339" w:bottom="1440" w:gutter="0" w:footer="0" w:header="0"/>
        </w:sectPr>
      </w:pPr>
    </w:p>
    <w:bookmarkStart w:id="94" w:name="page95"/>
    <w:bookmarkEnd w:id="94"/>
    <w:p>
      <w:pPr>
        <w:jc w:val="both"/>
        <w:spacing w:after="0" w:line="261" w:lineRule="auto"/>
        <w:rPr>
          <w:sz w:val="20"/>
          <w:szCs w:val="20"/>
          <w:color w:val="auto"/>
        </w:rPr>
      </w:pPr>
      <w:r>
        <w:rPr>
          <w:rFonts w:ascii="Arial" w:cs="Arial" w:eastAsia="Arial" w:hAnsi="Arial"/>
          <w:sz w:val="18"/>
          <w:szCs w:val="18"/>
          <w:color w:val="auto"/>
        </w:rPr>
        <w:t>“Redemption Price”). Immediately upon the action of the Board ordering redemption of the Rights, the Rights will terminate and the only right of the holders of Rights will be to receive the Redemption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may from time to time supplement or amend the Rights Agreement without the approval of any holders of Right Certificates in order to, among other things, make any provisions with respect to the Rights, the Rights Agreement or otherwise, which we may deem necessary or desirable; provided, however, that from and after such time as any person or group becomes an Acquiring Person, the Rights Agreement may not be amended in any manner which would adversely affect the interests of the holders of Rights.</w:t>
      </w:r>
    </w:p>
    <w:p>
      <w:pPr>
        <w:spacing w:after="0" w:line="29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CERTAIN MATTERS OF CORPORATE GOVERNANCE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subject to certain exceptions, prohibits a publicly held Delaware corporation from engaging in any business combination with any interested stockholder for a period of three years following the date that such person or entity became an interested stockholder, unless:</w:t>
      </w:r>
    </w:p>
    <w:p>
      <w:pPr>
        <w:spacing w:after="0" w:line="76" w:lineRule="exact"/>
        <w:rPr>
          <w:sz w:val="20"/>
          <w:szCs w:val="20"/>
          <w:color w:val="auto"/>
        </w:rPr>
      </w:pPr>
    </w:p>
    <w:p>
      <w:pPr>
        <w:ind w:left="98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15" w:lineRule="exact"/>
        <w:rPr>
          <w:rFonts w:ascii="Arial" w:cs="Arial" w:eastAsia="Arial" w:hAnsi="Arial"/>
          <w:sz w:val="16"/>
          <w:szCs w:val="16"/>
          <w:color w:val="auto"/>
        </w:rPr>
      </w:pPr>
    </w:p>
    <w:p>
      <w:pPr>
        <w:jc w:val="both"/>
        <w:ind w:left="980" w:hanging="324"/>
        <w:spacing w:after="0" w:line="286"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92" w:lineRule="exact"/>
        <w:rPr>
          <w:sz w:val="20"/>
          <w:szCs w:val="20"/>
          <w:color w:val="auto"/>
        </w:rPr>
      </w:pPr>
    </w:p>
    <w:p>
      <w:pPr>
        <w:jc w:val="both"/>
        <w:ind w:firstLine="675"/>
        <w:spacing w:after="0" w:line="259" w:lineRule="auto"/>
        <w:rPr>
          <w:sz w:val="20"/>
          <w:szCs w:val="20"/>
          <w:color w:val="auto"/>
        </w:rPr>
      </w:pPr>
      <w:r>
        <w:rPr>
          <w:rFonts w:ascii="Arial" w:cs="Arial" w:eastAsia="Arial" w:hAnsi="Arial"/>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“business combination” as:</w:t>
      </w:r>
    </w:p>
    <w:p>
      <w:pPr>
        <w:spacing w:after="0" w:line="117" w:lineRule="exact"/>
        <w:rPr>
          <w:sz w:val="20"/>
          <w:szCs w:val="20"/>
          <w:color w:val="auto"/>
        </w:rPr>
      </w:pPr>
    </w:p>
    <w:p>
      <w:pPr>
        <w:ind w:left="1020" w:hanging="36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to or with the interested stockholder;</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certain exceptions, any transaction which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239"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w:t>
      </w:r>
    </w:p>
    <w:p>
      <w:pPr>
        <w:sectPr>
          <w:pgSz w:w="11900" w:h="16838" w:orient="portrait"/>
          <w:cols w:equalWidth="0" w:num="1">
            <w:col w:w="11240"/>
          </w:cols>
          <w:pgMar w:left="320" w:top="1111" w:right="339" w:bottom="1440" w:gutter="0" w:footer="0" w:header="0"/>
        </w:sectPr>
      </w:pPr>
    </w:p>
    <w:bookmarkStart w:id="95" w:name="page96"/>
    <w:bookmarkEnd w:id="95"/>
    <w:p>
      <w:pPr>
        <w:jc w:val="both"/>
        <w:ind w:right="20"/>
        <w:spacing w:after="0" w:line="277" w:lineRule="auto"/>
        <w:rPr>
          <w:sz w:val="20"/>
          <w:szCs w:val="20"/>
          <w:color w:val="auto"/>
        </w:rPr>
      </w:pPr>
      <w:r>
        <w:rPr>
          <w:rFonts w:ascii="Arial" w:cs="Arial" w:eastAsia="Arial" w:hAnsi="Arial"/>
          <w:sz w:val="18"/>
          <w:szCs w:val="18"/>
          <w:color w:val="auto"/>
        </w:rPr>
        <w:t>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Governance Matters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Until the election of directors at the 2021 annual meeting of stockholders, the directors, other than those who may be elected by the holders of any series of Preferred Stock under specified circumstances, shall be divided, with respect to the time for which they severally hold office, into three classes, as nearly equal in number as is reasonably possible. Each director elected at or prior to the 2018 annual meeting shall be elected for a term expiring on the date of the third annual meeting following the annual meeting at which the director was elected. Each director elected at the 2019 annual meeting shall be elected for a one-year term expiring at the 2020 annual meeting of stockholders. Each director elected at the 2020 annual meeting shall be elected for a one-year term expiring at the 2021 annual meeting of stockholders. At the 2021 annual meeting and each annual meeting thereafter, all directors shall be elected for a one-year term expiring at the next annual meeting. Directors elected to succeed those directors whose terms then expire shall be elected for a term of office to expire at the succeeding annual meeting after their election, with each director to hold office until his or her successor shall have been duly elected and qualified.</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preferential rights of any other class or series of preferred stock, any director, or the entire board of directors, may be removed from office at any time, with or without cause, by the affirmative vote of the holders of a majority of the voting power of all the then outstanding shares of voting stock of the company, voting together as a single class. Our Bylaws require that stockholders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 meeting was 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stockholders of our company may be called only by: (i) the Chairman of the board of directors, (ii) by a majority of the board of directors, or (iii) the Chief Executive Officer of our Company. Our Certificate of Incorporation, as well as applicable provisions of the DGCL, provide that no action required or permitted to be taken at any annual or special meeting of our stockholders may be taken without a meeting, unless the consent of two-thirds of the voting power of the then outstanding shares of stock of the company entitled to vote on the matter is obtained. These provisions may diminish the likelihood that a potential acquirer would make an offer for our common stock or that there would otherwise be a change in control of our company.</w:t>
      </w:r>
    </w:p>
    <w:p>
      <w:pPr>
        <w:sectPr>
          <w:pgSz w:w="11900" w:h="16838" w:orient="portrait"/>
          <w:cols w:equalWidth="0" w:num="1">
            <w:col w:w="11240"/>
          </w:cols>
          <w:pgMar w:left="320" w:top="111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20" w:type="dxa"/>
            <w:vAlign w:val="bottom"/>
            <w:gridSpan w:val="5"/>
          </w:tcPr>
          <w:p>
            <w:pPr>
              <w:ind w:left="240"/>
              <w:spacing w:after="0"/>
              <w:rPr>
                <w:sz w:val="20"/>
                <w:szCs w:val="20"/>
                <w:color w:val="auto"/>
              </w:rPr>
            </w:pPr>
            <w:r>
              <w:rPr>
                <w:rFonts w:ascii="Arial" w:cs="Arial" w:eastAsia="Arial" w:hAnsi="Arial"/>
                <w:sz w:val="18"/>
                <w:szCs w:val="18"/>
                <w:b w:val="1"/>
                <w:bCs w:val="1"/>
                <w:color w:val="auto"/>
              </w:rPr>
              <w:t>Subsidiaries of Registrant</w:t>
            </w:r>
          </w:p>
        </w:tc>
      </w:tr>
      <w:tr>
        <w:trPr>
          <w:trHeight w:val="85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 of NN, Inc.</w:t>
            </w:r>
          </w:p>
        </w:tc>
        <w:tc>
          <w:tcPr>
            <w:tcW w:w="24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jc w:val="center"/>
              <w:ind w:right="510"/>
              <w:spacing w:after="0"/>
              <w:rPr>
                <w:sz w:val="20"/>
                <w:szCs w:val="20"/>
                <w:color w:val="auto"/>
              </w:rPr>
            </w:pPr>
            <w:r>
              <w:rPr>
                <w:rFonts w:ascii="Arial" w:cs="Arial" w:eastAsia="Arial" w:hAnsi="Arial"/>
                <w:sz w:val="14"/>
                <w:szCs w:val="14"/>
                <w:b w:val="1"/>
                <w:bCs w:val="1"/>
                <w:color w:val="auto"/>
                <w:w w:val="94"/>
              </w:rPr>
              <w:t>Jurisdiction of Incorporation or Organization</w:t>
            </w:r>
          </w:p>
        </w:tc>
      </w:tr>
      <w:tr>
        <w:trPr>
          <w:trHeight w:val="228"/>
        </w:trPr>
        <w:tc>
          <w:tcPr>
            <w:tcW w:w="4380" w:type="dxa"/>
            <w:vAlign w:val="bottom"/>
          </w:tcPr>
          <w:p>
            <w:pPr>
              <w:ind w:left="20"/>
              <w:spacing w:after="0"/>
              <w:rPr>
                <w:sz w:val="20"/>
                <w:szCs w:val="20"/>
                <w:color w:val="auto"/>
              </w:rPr>
            </w:pPr>
            <w:r>
              <w:rPr>
                <w:rFonts w:ascii="Arial" w:cs="Arial" w:eastAsia="Arial" w:hAnsi="Arial"/>
                <w:sz w:val="18"/>
                <w:szCs w:val="18"/>
                <w:color w:val="auto"/>
              </w:rPr>
              <w:t>Advanced Precision Products,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(China) Automotive Components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China</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do Brasil Usinagem, Ltda.</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97"/>
              </w:rPr>
              <w:t>Brazil</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 Equipment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Equipment,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Europe, B.V.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8"/>
              </w:rPr>
              <w:t>Netherlands</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 France, SARL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France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International,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Poland Sp. z o.o.</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Poland</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 South Carolina,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Autocam-Pax,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Bouverat Industries, S.A.S.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France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w w:val="95"/>
              </w:rPr>
              <w:t>Brainin (Foshan) Precision Engineered Products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China</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Brainin de Mexico, S.A.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4"/>
              </w:rPr>
              <w:t>Mexico</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Brainin-Advance Industries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Caprock Enclosures,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5"/>
              </w:rPr>
              <w:t>Texas</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Caprock Manufacturing,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5"/>
              </w:rPr>
              <w:t>Texas</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General Metal Finishing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Holmed,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HowesTemco,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Industrial Molding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3"/>
              </w:rPr>
              <w:t>Tennessee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Kugelfertigung Eltmann GmbH</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Germany</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NN Euroball Ireland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0"/>
              </w:rPr>
              <w:t>Ireland</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NN Power Solutions,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NN Power Solutions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NN Precision Plastics,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PMC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PMC USA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PNC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Polymetallurgical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Precision Metal Components Mexico SRL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4"/>
              </w:rPr>
              <w:t>Mexico</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Premco,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86"/>
              </w:rPr>
              <w:t>Massachusetts</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Profiles Incorporated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86"/>
              </w:rPr>
              <w:t>Massachusetts</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Southern California Technical Arts,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California</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Triumph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4"/>
              </w:rPr>
              <w:t>Arizona</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Wauconda Tool &amp; Engineering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Whirlaway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1240"/>
          </w:cols>
          <w:pgMar w:left="320" w:top="89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have issued our reports dated March 15, 2021, with respect to the consolidated financial statements and internal control over financial reporting included in the Annual Report of NN, Inc. on Form 10-K for the year ended December 31, 2020. We consent to the incorporation by reference of said reports in the Registration Statements of NN, Inc. on Form S-8 (File Nos. 333-174519, 333-130395, 333-216739, and 333-232258) and Form S-3 (File No. 333-216737).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GRANT THORNTON LLP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333-174519, 333-130395, 333-216739, and 333-232258) and Form S-3 (No. 333-216737) of NN, Inc. of our report dated March 16, 2020, except for the effect of discontinued operations discussed in Note 2 to the consolidated financial statements, as to which the date is March 15, 2021, relating to the consolidated financial statements, which appears in this Form 10-K.</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89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March 15,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D. DeByle, certify that:</w:t>
      </w:r>
    </w:p>
    <w:p>
      <w:pPr>
        <w:spacing w:after="0" w:line="171"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March 15,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D. DeByle</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Thomas D. DeByle</w:t>
            </w:r>
          </w:p>
        </w:tc>
      </w:tr>
      <w:tr>
        <w:trPr>
          <w:trHeight w:val="229"/>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March 15,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29"/>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March 15, 2021</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D. DeByle</w:t>
            </w:r>
          </w:p>
        </w:tc>
      </w:tr>
      <w:tr>
        <w:trPr>
          <w:trHeight w:val="222"/>
        </w:trPr>
        <w:tc>
          <w:tcPr>
            <w:tcW w:w="61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Thomas D. DeByle</w:t>
            </w:r>
          </w:p>
        </w:tc>
      </w:tr>
      <w:tr>
        <w:trPr>
          <w:trHeight w:val="229"/>
        </w:trPr>
        <w:tc>
          <w:tcPr>
            <w:tcW w:w="61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1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lvl w:ilvl="1">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Letter"/>
      <w:start w:val="2"/>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82" Type="http://schemas.openxmlformats.org/officeDocument/2006/relationships/image" Target="media/image112.png"/><Relationship Id="rId183" Type="http://schemas.openxmlformats.org/officeDocument/2006/relationships/image" Target="media/image113.png"/><Relationship Id="rId184" Type="http://schemas.openxmlformats.org/officeDocument/2006/relationships/image" Target="media/image114.png"/><Relationship Id="rId113" Type="http://schemas.openxmlformats.org/officeDocument/2006/relationships/hyperlink" Target="http://www.sec.gov/Archives/edgar/data/918541/000119312514275202/d759459dex21.htm" TargetMode="External"/><Relationship Id="rId114" Type="http://schemas.openxmlformats.org/officeDocument/2006/relationships/hyperlink" Target="http://www.sec.gov/Archives/edgar/data/918541/000119312515294271/d17337dex21.htm" TargetMode="External"/><Relationship Id="rId115" Type="http://schemas.openxmlformats.org/officeDocument/2006/relationships/hyperlink" Target="http://www.sec.gov/Archives/edgar/data/918541/000119312517224726/d422757dex21.htm" TargetMode="External"/><Relationship Id="rId116" Type="http://schemas.openxmlformats.org/officeDocument/2006/relationships/hyperlink" Target="http://www.sec.gov/Archives/edgar/data/918541/000119312518105623/d535081dex21.htm" TargetMode="External"/><Relationship Id="rId117" Type="http://schemas.openxmlformats.org/officeDocument/2006/relationships/hyperlink" Target="http://www.sec.gov/Archives/edgar/data/918541/000119312520227628/d73183dex21.htm" TargetMode="External"/><Relationship Id="rId118" Type="http://schemas.openxmlformats.org/officeDocument/2006/relationships/hyperlink" Target="http://www.sec.gov/Archives/edgar/data/918541/000095016802001631/dex31.txt" TargetMode="External"/><Relationship Id="rId119" Type="http://schemas.openxmlformats.org/officeDocument/2006/relationships/hyperlink" Target="http://www.sec.gov/Archives/edgar/data/918541/000119312519151712/d750456dex31.htm" TargetMode="External"/><Relationship Id="rId120" Type="http://schemas.openxmlformats.org/officeDocument/2006/relationships/hyperlink" Target="http://www.sec.gov/Archives/edgar/data/918541/000119312519151712/d750456dex32.htm" TargetMode="External"/><Relationship Id="rId121" Type="http://schemas.openxmlformats.org/officeDocument/2006/relationships/hyperlink" Target="http://www.sec.gov/Archives/edgar/data/918541/000092290708000740/exhibit31_121608.htm" TargetMode="External"/><Relationship Id="rId122" Type="http://schemas.openxmlformats.org/officeDocument/2006/relationships/hyperlink" Target="http://www.sec.gov/Archives/edgar/data/918541/000119312519311505/d775548dex31.htm" TargetMode="External"/><Relationship Id="rId123" Type="http://schemas.openxmlformats.org/officeDocument/2006/relationships/hyperlink" Target="http://www.sec.gov/Archives/edgar/data/918541/000119312520108738/d852780dex31.htm" TargetMode="External"/><Relationship Id="rId124" Type="http://schemas.openxmlformats.org/officeDocument/2006/relationships/hyperlink" Target="http://www.sec.gov/Archives/edgar/data/918541/000119312515383841/d73953dex31.htm" TargetMode="External"/><Relationship Id="rId125" Type="http://schemas.openxmlformats.org/officeDocument/2006/relationships/hyperlink" Target="http://www.sec.gov/Archives/edgar/data/918541/000119312519151712/d750456dex33.htm" TargetMode="External"/><Relationship Id="rId126" Type="http://schemas.openxmlformats.org/officeDocument/2006/relationships/hyperlink" Target="http://www.sec.gov/Archives/edgar/data/918541/000095016802001631/dex41.txt" TargetMode="External"/><Relationship Id="rId127" Type="http://schemas.openxmlformats.org/officeDocument/2006/relationships/hyperlink" Target="http://www.sec.gov/Archives/edgar/data/918541/000119312514328980/d785003dex41.htm" TargetMode="External"/><Relationship Id="rId128" Type="http://schemas.openxmlformats.org/officeDocument/2006/relationships/hyperlink" Target="http://www.sec.gov/Archives/edgar/data/918541/000119312519311505/d775548dex41.htm" TargetMode="External"/><Relationship Id="rId129" Type="http://schemas.openxmlformats.org/officeDocument/2006/relationships/hyperlink" Target="http://www.sec.gov/Archives/edgar/data/918541/000119312520108738/d852780dex41.htm" TargetMode="External"/><Relationship Id="rId130" Type="http://schemas.openxmlformats.org/officeDocument/2006/relationships/hyperlink" Target="http://www.sec.gov/Archives/edgar/data/918541/000100579405000976/nnex4_3.htm" TargetMode="External"/><Relationship Id="rId131" Type="http://schemas.openxmlformats.org/officeDocument/2006/relationships/hyperlink" Target="http://www.sec.gov/Archives/edgar/data/918541/000119312516528060/d172979ddef14a.htm" TargetMode="External"/><Relationship Id="rId132" Type="http://schemas.openxmlformats.org/officeDocument/2006/relationships/hyperlink" Target="http://www.sec.gov/Archives/edgar/data/918541/000095013102002704/dex106.txt" TargetMode="External"/><Relationship Id="rId133" Type="http://schemas.openxmlformats.org/officeDocument/2006/relationships/hyperlink" Target="http://www.sec.gov/Archives/edgar/data/918541/0001047469-99-013036.txt" TargetMode="External"/><Relationship Id="rId136" Type="http://schemas.openxmlformats.org/officeDocument/2006/relationships/hyperlink" Target="http://www.sec.gov/Archives/edgar/data/918541/000119312514328980/d785003dex103.htm" TargetMode="External"/><Relationship Id="rId137" Type="http://schemas.openxmlformats.org/officeDocument/2006/relationships/hyperlink" Target="http://www.sec.gov/Archives/edgar/data/918541/000119312514328980/d785003dex104.htm" TargetMode="External"/><Relationship Id="rId138" Type="http://schemas.openxmlformats.org/officeDocument/2006/relationships/hyperlink" Target="http://www.sec.gov/Archives/edgar/data/918541/000119312515093835/d863758dex1027.htm" TargetMode="External"/><Relationship Id="rId139" Type="http://schemas.openxmlformats.org/officeDocument/2006/relationships/hyperlink" Target="http://www.sec.gov/Archives/edgar/data/918541/000119312516729285/d137430dex101.htm" TargetMode="External"/><Relationship Id="rId140" Type="http://schemas.openxmlformats.org/officeDocument/2006/relationships/hyperlink" Target="http://www.sec.gov/Archives/edgar/data/918541/000119312516760147/d286848dex101.htm" TargetMode="External"/><Relationship Id="rId141" Type="http://schemas.openxmlformats.org/officeDocument/2006/relationships/hyperlink" Target="http://www.sec.gov/Archives/edgar/data/918541/000119312516765864/d161928ddef14a.htm" TargetMode="External"/><Relationship Id="rId142" Type="http://schemas.openxmlformats.org/officeDocument/2006/relationships/hyperlink" Target="http://www.sec.gov/Archives/edgar/data/918541/000119312517085150/d287773dex1018.htm" TargetMode="External"/><Relationship Id="rId143" Type="http://schemas.openxmlformats.org/officeDocument/2006/relationships/hyperlink" Target="http://www.sec.gov/Archives/edgar/data/918541/000119312517085150/d287773dex1019.htm" TargetMode="External"/><Relationship Id="rId144" Type="http://schemas.openxmlformats.org/officeDocument/2006/relationships/hyperlink" Target="http://www.sec.gov/Archives/edgar/data/918541/000119312517085150/d287773dex1020.htm" TargetMode="External"/><Relationship Id="rId145" Type="http://schemas.openxmlformats.org/officeDocument/2006/relationships/hyperlink" Target="http://www.sec.gov/Archives/edgar/data/918541/000119312517085150/d287773dex1021.htm" TargetMode="External"/><Relationship Id="rId146" Type="http://schemas.openxmlformats.org/officeDocument/2006/relationships/hyperlink" Target="http://www.sec.gov/Archives/edgar/data/918541/000119312517157840/d258644dex102.htm" TargetMode="External"/><Relationship Id="rId147" Type="http://schemas.openxmlformats.org/officeDocument/2006/relationships/hyperlink" Target="http://www.sec.gov/Archives/edgar/data/918541/000119312517109078/d354106dex101.htm" TargetMode="External"/><Relationship Id="rId148" Type="http://schemas.openxmlformats.org/officeDocument/2006/relationships/hyperlink" Target="http://www.sec.gov/Archives/edgar/data/918541/000119312517262214/d443368dex101.htm" TargetMode="External"/><Relationship Id="rId149" Type="http://schemas.openxmlformats.org/officeDocument/2006/relationships/hyperlink" Target="http://www.sec.gov/Archives/edgar/data/918541/000119312517351180/d492996dex101.htm" TargetMode="External"/><Relationship Id="rId150" Type="http://schemas.openxmlformats.org/officeDocument/2006/relationships/hyperlink" Target="http://www.sec.gov/Archives/edgar/data/918541/000119312518105623/d535081dex101.htm" TargetMode="External"/><Relationship Id="rId153" Type="http://schemas.openxmlformats.org/officeDocument/2006/relationships/hyperlink" Target="http://www.sec.gov/Archives/edgar/data/918541/000119312518153752/d584161dex101.htm" TargetMode="External"/><Relationship Id="rId154" Type="http://schemas.openxmlformats.org/officeDocument/2006/relationships/hyperlink" Target="http://www.sec.gov/Archives/edgar/data/918541/000119312518358103/d677211dex101.htm" TargetMode="External"/><Relationship Id="rId155" Type="http://schemas.openxmlformats.org/officeDocument/2006/relationships/hyperlink" Target="http://www.sec.gov/Archives/edgar/data/918541/000119312519050655/d702004dex101.htm" TargetMode="External"/><Relationship Id="rId156" Type="http://schemas.openxmlformats.org/officeDocument/2006/relationships/hyperlink" Target="http://www.sec.gov/Archives/edgar/data/918541/000119312519077094/d690479dex101.htm" TargetMode="External"/><Relationship Id="rId157" Type="http://schemas.openxmlformats.org/officeDocument/2006/relationships/hyperlink" Target="http://www.sec.gov/Archives/edgar/data/918541/000119312519100697/d716172ddef14a.htm" TargetMode="External"/><Relationship Id="rId158" Type="http://schemas.openxmlformats.org/officeDocument/2006/relationships/hyperlink" Target="http://www.sec.gov/Archives/edgar/data/918541/000162828019006509/q12019ex101.htm" TargetMode="External"/><Relationship Id="rId159" Type="http://schemas.openxmlformats.org/officeDocument/2006/relationships/hyperlink" Target="http://www.sec.gov/Archives/edgar/data/918541/000162828019006509/q12019ex102.htm" TargetMode="External"/><Relationship Id="rId160" Type="http://schemas.openxmlformats.org/officeDocument/2006/relationships/hyperlink" Target="http://www.sec.gov/Archives/edgar/data/918541/000119312519171299/d765702dex101.htm" TargetMode="External"/><Relationship Id="rId161" Type="http://schemas.openxmlformats.org/officeDocument/2006/relationships/hyperlink" Target="http://www.sec.gov/Archives/edgar/data/918541/000119312519193548/d772479dex101.htm" TargetMode="External"/><Relationship Id="rId162" Type="http://schemas.openxmlformats.org/officeDocument/2006/relationships/hyperlink" Target="http://www.sec.gov/Archives/edgar/data/918541/000162828019010554/q22019ex104.htm" TargetMode="External"/><Relationship Id="rId163" Type="http://schemas.openxmlformats.org/officeDocument/2006/relationships/hyperlink" Target="http://www.sec.gov/Archives/edgar/data/918541/000162828019010554/q22019ex105.htm" TargetMode="External"/><Relationship Id="rId164" Type="http://schemas.openxmlformats.org/officeDocument/2006/relationships/hyperlink" Target="http://www.sec.gov/Archives/edgar/data/918541/000162828019010554/q22019ex106.htm" TargetMode="External"/><Relationship Id="rId165" Type="http://schemas.openxmlformats.org/officeDocument/2006/relationships/hyperlink" Target="http://www.sec.gov/Archives/edgar/data/918541/000162828019010554/q22019ex107.htm" TargetMode="External"/><Relationship Id="rId166" Type="http://schemas.openxmlformats.org/officeDocument/2006/relationships/hyperlink" Target="http://www.sec.gov/Archives/edgar/data/918541/000119312519230172/d797574dex101.htm" TargetMode="External"/><Relationship Id="rId167" Type="http://schemas.openxmlformats.org/officeDocument/2006/relationships/hyperlink" Target="http://www.sec.gov/Archives/edgar/data/918541/000119312519230172/d797574dex102.htm" TargetMode="External"/><Relationship Id="rId168" Type="http://schemas.openxmlformats.org/officeDocument/2006/relationships/hyperlink" Target="http://www.sec.gov/Archives/edgar/data/918541/000119312519245436/d805388dex101.htm" TargetMode="External"/><Relationship Id="rId169" Type="http://schemas.openxmlformats.org/officeDocument/2006/relationships/hyperlink" Target="http://www.sec.gov/Archives/edgar/data/918541/000119312519252768/d628110dex101.htm" TargetMode="External"/><Relationship Id="rId170" Type="http://schemas.openxmlformats.org/officeDocument/2006/relationships/hyperlink" Target="http://www.sec.gov/Archives/edgar/data/918541/000119312519299187/d839694dex101.htm" TargetMode="External"/><Relationship Id="rId171" Type="http://schemas.openxmlformats.org/officeDocument/2006/relationships/hyperlink" Target="http://www.sec.gov/Archives/edgar/data/918541/000119312519311505/d775548dex101.htm" TargetMode="External"/><Relationship Id="rId174" Type="http://schemas.openxmlformats.org/officeDocument/2006/relationships/hyperlink" Target="http://www.sec.gov/Archives/edgar/data/918541/000119312519311505/d775548dex102.htm" TargetMode="External"/><Relationship Id="rId175" Type="http://schemas.openxmlformats.org/officeDocument/2006/relationships/hyperlink" Target="http://www.sec.gov/Archives/edgar/data/918541/000119312519319078/d851077dex101.htm" TargetMode="External"/><Relationship Id="rId176" Type="http://schemas.openxmlformats.org/officeDocument/2006/relationships/hyperlink" Target="http://www.sec.gov/Archives/edgar/data/918541/000119312520043434/d574674dex101.htm" TargetMode="External"/><Relationship Id="rId177" Type="http://schemas.openxmlformats.org/officeDocument/2006/relationships/hyperlink" Target="http://www.sec.gov/Archives/edgar/data/918541/000162828020007401/ex101.htm" TargetMode="External"/><Relationship Id="rId178" Type="http://schemas.openxmlformats.org/officeDocument/2006/relationships/hyperlink" Target="http://www.sec.gov/Archives/edgar/data/918541/000162828020007401/ex102.htm" TargetMode="External"/><Relationship Id="rId179" Type="http://schemas.openxmlformats.org/officeDocument/2006/relationships/hyperlink" Target="http://www.sec.gov/Archives/edgar/data/918541/000119312520206437/d900289dex101.htm" TargetMode="External"/><Relationship Id="rId180" Type="http://schemas.openxmlformats.org/officeDocument/2006/relationships/hyperlink" Target="http://www.sec.gov/Archives/edgar/data/918541/000119312520227628/d73183dex101.htm" TargetMode="External"/><Relationship Id="rId181" Type="http://schemas.openxmlformats.org/officeDocument/2006/relationships/hyperlink" Target="http://www.sec.gov/Archives/edgar/data/918541/000119312520272107/d7617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2021-03-15T10:13:02Z</dcterms:created>
  <dcterms:modified xsi:type="dcterms:W3CDTF">2021-03-15T10:13:02Z</dcterms:modified>
</cp:coreProperties>
</file>