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334645</wp:posOffset>
            </wp:positionV>
            <wp:extent cx="7178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351790</wp:posOffset>
            </wp:positionV>
            <wp:extent cx="7178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163195</wp:posOffset>
            </wp:positionV>
            <wp:extent cx="2598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352425</wp:posOffset>
            </wp:positionV>
            <wp:extent cx="2598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2019</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7"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-3810</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326390</wp:posOffset>
            </wp:positionV>
            <wp:extent cx="259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497840</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4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300990</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2440"/>
        <w:spacing w:after="0"/>
        <w:tabs>
          <w:tab w:leader="none" w:pos="818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62-1096725</w:t>
      </w:r>
    </w:p>
    <w:p>
      <w:pPr>
        <w:spacing w:after="0" w:line="73" w:lineRule="exact"/>
        <w:rPr>
          <w:sz w:val="24"/>
          <w:szCs w:val="24"/>
          <w:color w:val="auto"/>
        </w:rPr>
      </w:pPr>
    </w:p>
    <w:p>
      <w:pPr>
        <w:ind w:left="182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28" w:lineRule="exact"/>
        <w:rPr>
          <w:sz w:val="24"/>
          <w:szCs w:val="24"/>
          <w:color w:val="auto"/>
        </w:rPr>
      </w:pPr>
    </w:p>
    <w:p>
      <w:pPr>
        <w:ind w:left="1780"/>
        <w:spacing w:after="0"/>
        <w:tabs>
          <w:tab w:leader="none" w:pos="782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6"/>
          <w:szCs w:val="16"/>
          <w:i w:val="1"/>
          <w:iCs w:val="1"/>
          <w:color w:val="auto"/>
        </w:rPr>
        <w:t>Identification Number)</w:t>
      </w:r>
    </w:p>
    <w:p>
      <w:pPr>
        <w:spacing w:after="0" w:line="1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6210 Ardrey Kell Road</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Charlotte, North Carolina 28277</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(980) 264-4300</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95"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4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0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35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000" w:type="dxa"/>
            <w:vAlign w:val="bottom"/>
          </w:tcPr>
          <w:p>
            <w:pPr>
              <w:ind w:left="5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35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19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5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80"/>
        <w:spacing w:after="0" w:line="24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3, 2019, there were 42,366,961 shares of the registrant’s common stock, par value $0.01 per share, outstanding.</w:t>
      </w:r>
    </w:p>
    <w:p>
      <w:pPr>
        <w:spacing w:after="0" w:line="1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64" w:lineRule="exact"/>
        <w:rPr>
          <w:sz w:val="24"/>
          <w:szCs w:val="24"/>
          <w:color w:val="auto"/>
        </w:rPr>
      </w:pPr>
    </w:p>
    <w:p>
      <w:pPr>
        <w:ind w:left="1300"/>
        <w:spacing w:after="0"/>
        <w:tabs>
          <w:tab w:leader="none" w:pos="5200" w:val="left"/>
          <w:tab w:leader="none" w:pos="8100" w:val="left"/>
        </w:tabs>
        <w:rPr>
          <w:sz w:val="20"/>
          <w:szCs w:val="20"/>
          <w:color w:val="auto"/>
        </w:rPr>
      </w:pPr>
      <w:r>
        <w:rPr>
          <w:rFonts w:ascii="Times New Roman" w:cs="Times New Roman" w:eastAsia="Times New Roman" w:hAnsi="Times New Roman"/>
          <w:sz w:val="16"/>
          <w:szCs w:val="16"/>
          <w:i w:val="1"/>
          <w:iCs w:val="1"/>
          <w:color w:val="auto"/>
        </w:rPr>
        <w:t>Title of each class</w:t>
      </w:r>
      <w:r>
        <w:rPr>
          <w:sz w:val="20"/>
          <w:szCs w:val="20"/>
          <w:color w:val="auto"/>
        </w:rPr>
        <w:tab/>
      </w:r>
      <w:r>
        <w:rPr>
          <w:rFonts w:ascii="Times New Roman" w:cs="Times New Roman" w:eastAsia="Times New Roman" w:hAnsi="Times New Roman"/>
          <w:sz w:val="16"/>
          <w:szCs w:val="16"/>
          <w:i w:val="1"/>
          <w:iCs w:val="1"/>
          <w:color w:val="auto"/>
        </w:rPr>
        <w:t>Trading symbol</w:t>
      </w:r>
      <w:r>
        <w:rPr>
          <w:sz w:val="20"/>
          <w:szCs w:val="20"/>
          <w:color w:val="auto"/>
        </w:rPr>
        <w:tab/>
      </w:r>
      <w:r>
        <w:rPr>
          <w:rFonts w:ascii="Times New Roman" w:cs="Times New Roman" w:eastAsia="Times New Roman" w:hAnsi="Times New Roman"/>
          <w:sz w:val="16"/>
          <w:szCs w:val="16"/>
          <w:i w:val="1"/>
          <w:iCs w:val="1"/>
          <w:color w:val="auto"/>
        </w:rPr>
        <w:t>Name of each exchange on which registered</w:t>
      </w:r>
    </w:p>
    <w:p>
      <w:pPr>
        <w:spacing w:after="0" w:line="86" w:lineRule="exact"/>
        <w:rPr>
          <w:sz w:val="24"/>
          <w:szCs w:val="24"/>
          <w:color w:val="auto"/>
        </w:rPr>
      </w:pPr>
    </w:p>
    <w:p>
      <w:pPr>
        <w:ind w:left="440"/>
        <w:spacing w:after="0"/>
        <w:tabs>
          <w:tab w:leader="none" w:pos="5480" w:val="left"/>
          <w:tab w:leader="none" w:pos="8400" w:val="left"/>
        </w:tabs>
        <w:rPr>
          <w:sz w:val="20"/>
          <w:szCs w:val="20"/>
          <w:color w:val="auto"/>
        </w:rPr>
      </w:pPr>
      <w:r>
        <w:rPr>
          <w:rFonts w:ascii="Times New Roman" w:cs="Times New Roman" w:eastAsia="Times New Roman" w:hAnsi="Times New Roman"/>
          <w:sz w:val="16"/>
          <w:szCs w:val="16"/>
          <w:b w:val="1"/>
          <w:bCs w:val="1"/>
          <w:color w:val="auto"/>
        </w:rPr>
        <w:t>Common Stock, par value $0.01 per share</w:t>
      </w:r>
      <w:r>
        <w:rPr>
          <w:sz w:val="20"/>
          <w:szCs w:val="20"/>
          <w:color w:val="auto"/>
        </w:rPr>
        <w:tab/>
      </w:r>
      <w:r>
        <w:rPr>
          <w:rFonts w:ascii="Times New Roman" w:cs="Times New Roman" w:eastAsia="Times New Roman" w:hAnsi="Times New Roman"/>
          <w:sz w:val="16"/>
          <w:szCs w:val="16"/>
          <w:b w:val="1"/>
          <w:bCs w:val="1"/>
          <w:color w:val="auto"/>
        </w:rPr>
        <w:t>NNBR</w:t>
      </w:r>
      <w:r>
        <w:rPr>
          <w:sz w:val="20"/>
          <w:szCs w:val="20"/>
          <w:color w:val="auto"/>
        </w:rPr>
        <w:tab/>
      </w:r>
      <w:r>
        <w:rPr>
          <w:rFonts w:ascii="Times New Roman" w:cs="Times New Roman" w:eastAsia="Times New Roman" w:hAnsi="Times New Roman"/>
          <w:sz w:val="16"/>
          <w:szCs w:val="16"/>
          <w:b w:val="1"/>
          <w:bCs w:val="1"/>
          <w:color w:val="auto"/>
        </w:rPr>
        <w:t>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201930</wp:posOffset>
            </wp:positionV>
            <wp:extent cx="7178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219075</wp:posOffset>
            </wp:positionV>
            <wp:extent cx="7178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260"/>
          </w:cols>
          <w:pgMar w:left="240" w:top="229" w:right="399" w:bottom="1090" w:gutter="0" w:footer="0" w:header="0"/>
        </w:sectPr>
      </w:pPr>
    </w:p>
    <w:p>
      <w:pPr>
        <w:spacing w:after="0" w:line="200" w:lineRule="exact"/>
        <w:rPr>
          <w:sz w:val="24"/>
          <w:szCs w:val="24"/>
          <w:color w:val="auto"/>
        </w:rPr>
      </w:pPr>
    </w:p>
    <w:p>
      <w:pPr>
        <w:spacing w:after="0" w:line="3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240" w:top="229" w:right="399" w:bottom="109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PART I. FINANCIAL INFORMATION</w:t>
              </w:r>
            </w:hyperlink>
          </w:p>
        </w:tc>
        <w:tc>
          <w:tcPr>
            <w:tcW w:w="5080" w:type="dxa"/>
            <w:vAlign w:val="bottom"/>
            <w:gridSpan w:val="6"/>
          </w:tcPr>
          <w:p>
            <w:pPr>
              <w:spacing w:after="0"/>
              <w:rPr>
                <w:sz w:val="17"/>
                <w:szCs w:val="17"/>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4960" w:type="dxa"/>
            <w:vAlign w:val="bottom"/>
            <w:gridSpan w:val="5"/>
          </w:tcPr>
          <w:p>
            <w:pPr>
              <w:spacing w:after="0"/>
              <w:rPr>
                <w:sz w:val="24"/>
                <w:szCs w:val="24"/>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22</w:t>
              </w:r>
            </w:hyperlink>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Quantitative and Qualitative Disclosures About Market Risk</w:t>
              </w:r>
            </w:hyperlink>
          </w:p>
        </w:tc>
        <w:tc>
          <w:tcPr>
            <w:tcW w:w="2100" w:type="dxa"/>
            <w:vAlign w:val="bottom"/>
          </w:tcPr>
          <w:p>
            <w:pPr>
              <w:spacing w:after="0"/>
              <w:rPr>
                <w:sz w:val="24"/>
                <w:szCs w:val="24"/>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4.</w:t>
            </w:r>
          </w:p>
        </w:tc>
        <w:tc>
          <w:tcPr>
            <w:tcW w:w="6460" w:type="dxa"/>
            <w:vAlign w:val="bottom"/>
            <w:gridSpan w:val="12"/>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Controls and Procedures</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72"/>
        </w:trPr>
        <w:tc>
          <w:tcPr>
            <w:tcW w:w="7960" w:type="dxa"/>
            <w:vAlign w:val="bottom"/>
            <w:gridSpan w:val="1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PART II. OTHER INFORMATION</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0"/>
        </w:trPr>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2"/>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3"/>
          </w:tcPr>
          <w:p>
            <w:pPr>
              <w:spacing w:after="0"/>
              <w:rPr>
                <w:sz w:val="24"/>
                <w:szCs w:val="24"/>
                <w:color w:val="auto"/>
              </w:rPr>
            </w:pPr>
          </w:p>
        </w:tc>
        <w:tc>
          <w:tcPr>
            <w:tcW w:w="5140" w:type="dxa"/>
            <w:vAlign w:val="bottom"/>
            <w:gridSpan w:val="7"/>
          </w:tcPr>
          <w:p>
            <w:pPr>
              <w:spacing w:after="0"/>
              <w:rPr>
                <w:sz w:val="24"/>
                <w:szCs w:val="24"/>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50"/>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2"/>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Unregistered Sales of Equity Securities and Use of Proceeds</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50"/>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Defaults upon Senior Securities</w:t>
              </w:r>
            </w:hyperlink>
          </w:p>
        </w:tc>
        <w:tc>
          <w:tcPr>
            <w:tcW w:w="2060" w:type="dxa"/>
            <w:vAlign w:val="bottom"/>
            <w:tcBorders>
              <w:top w:val="single" w:sz="8" w:color="0000EE"/>
            </w:tcBorders>
          </w:tcPr>
          <w:p>
            <w:pPr>
              <w:spacing w:after="0"/>
              <w:rPr>
                <w:sz w:val="21"/>
                <w:szCs w:val="21"/>
                <w:color w:val="auto"/>
              </w:rPr>
            </w:pPr>
          </w:p>
        </w:tc>
        <w:tc>
          <w:tcPr>
            <w:tcW w:w="2120" w:type="dxa"/>
            <w:vAlign w:val="bottom"/>
            <w:gridSpan w:val="2"/>
          </w:tcPr>
          <w:p>
            <w:pPr>
              <w:spacing w:after="0"/>
              <w:rPr>
                <w:sz w:val="21"/>
                <w:szCs w:val="21"/>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50"/>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4.</w:t>
            </w:r>
          </w:p>
        </w:tc>
        <w:tc>
          <w:tcPr>
            <w:tcW w:w="6460" w:type="dxa"/>
            <w:vAlign w:val="bottom"/>
            <w:gridSpan w:val="1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Mine Safety Disclosures</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31</w:t>
              </w:r>
            </w:hyperlink>
          </w:p>
        </w:tc>
      </w:tr>
      <w:tr>
        <w:trPr>
          <w:trHeight w:val="250"/>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Other Information</w:t>
              </w:r>
            </w:hyperlink>
          </w:p>
        </w:tc>
        <w:tc>
          <w:tcPr>
            <w:tcW w:w="4700" w:type="dxa"/>
            <w:vAlign w:val="bottom"/>
            <w:gridSpan w:val="4"/>
          </w:tcPr>
          <w:p>
            <w:pPr>
              <w:spacing w:after="0"/>
              <w:rPr>
                <w:sz w:val="21"/>
                <w:szCs w:val="21"/>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31</w:t>
              </w:r>
            </w:hyperlink>
          </w:p>
        </w:tc>
      </w:tr>
      <w:tr>
        <w:trPr>
          <w:trHeight w:val="250"/>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Exhibits</w:t>
              </w:r>
            </w:hyperlink>
          </w:p>
        </w:tc>
        <w:tc>
          <w:tcPr>
            <w:tcW w:w="5160" w:type="dxa"/>
            <w:vAlign w:val="bottom"/>
            <w:gridSpan w:val="8"/>
          </w:tcPr>
          <w:p>
            <w:pPr>
              <w:spacing w:after="0"/>
              <w:rPr>
                <w:sz w:val="21"/>
                <w:szCs w:val="21"/>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32</w:t>
              </w:r>
            </w:hyperlink>
          </w:p>
        </w:tc>
      </w:tr>
      <w:tr>
        <w:trPr>
          <w:trHeight w:val="250"/>
        </w:trPr>
        <w:tc>
          <w:tcPr>
            <w:tcW w:w="11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SIGNATURES</w:t>
              </w:r>
            </w:hyperlink>
          </w:p>
        </w:tc>
        <w:tc>
          <w:tcPr>
            <w:tcW w:w="40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per share data</w:t>
      </w:r>
    </w:p>
    <w:p>
      <w:pPr>
        <w:spacing w:after="0" w:line="14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13335</wp:posOffset>
            </wp:positionV>
            <wp:extent cx="2169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213,256</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169,148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161,269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126,444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28,125</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22,177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related costs excluded from selling, general and administrative expense</w:t>
            </w:r>
          </w:p>
        </w:tc>
        <w:tc>
          <w:tcPr>
            <w:tcW w:w="40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23,425</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14,281</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integration expense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13,801</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11,996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729</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(provision) benefit for income taxes and share of net income from joint venture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2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fair value of interest rate swap,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1,262</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Basic net loss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per share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41,972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27,597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Diluted net loss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 per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41,972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27,597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13"/>
                <w:szCs w:val="13"/>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17,988</w:t>
            </w:r>
          </w:p>
        </w:tc>
        <w:tc>
          <w:tcPr>
            <w:tcW w:w="0" w:type="dxa"/>
            <w:vAlign w:val="bottom"/>
          </w:tcPr>
          <w:p>
            <w:pPr>
              <w:spacing w:after="0"/>
              <w:rPr>
                <w:sz w:val="1"/>
                <w:szCs w:val="1"/>
                <w:color w:val="auto"/>
              </w:rPr>
            </w:pPr>
          </w:p>
        </w:tc>
      </w:tr>
      <w:tr>
        <w:trPr>
          <w:trHeight w:val="243"/>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133,421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122,615</w:t>
            </w:r>
          </w:p>
        </w:tc>
        <w:tc>
          <w:tcPr>
            <w:tcW w:w="0" w:type="dxa"/>
            <w:vAlign w:val="bottom"/>
          </w:tcPr>
          <w:p>
            <w:pPr>
              <w:spacing w:after="0"/>
              <w:rPr>
                <w:sz w:val="1"/>
                <w:szCs w:val="1"/>
                <w:color w:val="auto"/>
              </w:rPr>
            </w:pPr>
          </w:p>
        </w:tc>
      </w:tr>
      <w:tr>
        <w:trPr>
          <w:trHeight w:val="243"/>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21,901</w:t>
            </w:r>
          </w:p>
        </w:tc>
        <w:tc>
          <w:tcPr>
            <w:tcW w:w="0" w:type="dxa"/>
            <w:vAlign w:val="bottom"/>
          </w:tcPr>
          <w:p>
            <w:pPr>
              <w:spacing w:after="0"/>
              <w:rPr>
                <w:sz w:val="1"/>
                <w:szCs w:val="1"/>
                <w:color w:val="auto"/>
              </w:rPr>
            </w:pPr>
          </w:p>
        </w:tc>
      </w:tr>
      <w:tr>
        <w:trPr>
          <w:trHeight w:val="237"/>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314,450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296,871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352,923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361,028</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440,169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439,452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376,248</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20,364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237"/>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1,580,993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1,501,570</w:t>
            </w:r>
          </w:p>
        </w:tc>
        <w:tc>
          <w:tcPr>
            <w:tcW w:w="0" w:type="dxa"/>
            <w:vAlign w:val="bottom"/>
          </w:tcPr>
          <w:p>
            <w:pPr>
              <w:spacing w:after="0"/>
              <w:rPr>
                <w:sz w:val="1"/>
                <w:szCs w:val="1"/>
                <w:color w:val="auto"/>
              </w:rPr>
            </w:pPr>
          </w:p>
        </w:tc>
      </w:tr>
      <w:tr>
        <w:trPr>
          <w:trHeight w:val="67"/>
        </w:trPr>
        <w:tc>
          <w:tcPr>
            <w:tcW w:w="84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65,694</w:t>
            </w:r>
          </w:p>
        </w:tc>
        <w:tc>
          <w:tcPr>
            <w:tcW w:w="0" w:type="dxa"/>
            <w:vAlign w:val="bottom"/>
          </w:tcPr>
          <w:p>
            <w:pPr>
              <w:spacing w:after="0"/>
              <w:rPr>
                <w:sz w:val="1"/>
                <w:szCs w:val="1"/>
                <w:color w:val="auto"/>
              </w:rPr>
            </w:pPr>
          </w:p>
        </w:tc>
      </w:tr>
      <w:tr>
        <w:trPr>
          <w:trHeight w:val="243"/>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24,636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31,280</w:t>
            </w:r>
          </w:p>
        </w:tc>
        <w:tc>
          <w:tcPr>
            <w:tcW w:w="0" w:type="dxa"/>
            <w:vAlign w:val="bottom"/>
          </w:tcPr>
          <w:p>
            <w:pPr>
              <w:spacing w:after="0"/>
              <w:rPr>
                <w:sz w:val="1"/>
                <w:szCs w:val="1"/>
                <w:color w:val="auto"/>
              </w:rPr>
            </w:pPr>
          </w:p>
        </w:tc>
      </w:tr>
      <w:tr>
        <w:trPr>
          <w:trHeight w:val="243"/>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23,420</w:t>
            </w:r>
          </w:p>
        </w:tc>
        <w:tc>
          <w:tcPr>
            <w:tcW w:w="0" w:type="dxa"/>
            <w:vAlign w:val="bottom"/>
          </w:tcPr>
          <w:p>
            <w:pPr>
              <w:spacing w:after="0"/>
              <w:rPr>
                <w:sz w:val="1"/>
                <w:szCs w:val="1"/>
                <w:color w:val="auto"/>
              </w:rPr>
            </w:pPr>
          </w:p>
        </w:tc>
      </w:tr>
      <w:tr>
        <w:trPr>
          <w:trHeight w:val="237"/>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165,112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145,030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93,482</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income tax payable</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826,274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811,471</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35,855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29,417</w:t>
            </w:r>
          </w:p>
        </w:tc>
        <w:tc>
          <w:tcPr>
            <w:tcW w:w="0" w:type="dxa"/>
            <w:vAlign w:val="bottom"/>
          </w:tcPr>
          <w:p>
            <w:pPr>
              <w:spacing w:after="0"/>
              <w:rPr>
                <w:sz w:val="1"/>
                <w:szCs w:val="1"/>
                <w:color w:val="auto"/>
              </w:rPr>
            </w:pPr>
          </w:p>
        </w:tc>
      </w:tr>
      <w:tr>
        <w:trPr>
          <w:trHeight w:val="237"/>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1,186,084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1,083,275</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 $0.01 par value, authorized 45,000 shares, 42,367 and 42,104 shares issued and outstanding</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at March 31, 2019 and December 31, 2018,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43"/>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512,274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511,545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deficit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(62,046)</w:t>
            </w:r>
          </w:p>
        </w:tc>
        <w:tc>
          <w:tcPr>
            <w:tcW w:w="0" w:type="dxa"/>
            <w:vAlign w:val="bottom"/>
          </w:tcPr>
          <w:p>
            <w:pPr>
              <w:spacing w:after="0"/>
              <w:rPr>
                <w:sz w:val="1"/>
                <w:szCs w:val="1"/>
                <w:color w:val="auto"/>
              </w:rPr>
            </w:pPr>
          </w:p>
        </w:tc>
      </w:tr>
      <w:tr>
        <w:trPr>
          <w:trHeight w:val="243"/>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(31,625)</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394,909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418,295</w:t>
            </w:r>
          </w:p>
        </w:tc>
        <w:tc>
          <w:tcPr>
            <w:tcW w:w="0" w:type="dxa"/>
            <w:vAlign w:val="bottom"/>
          </w:tcPr>
          <w:p>
            <w:pPr>
              <w:spacing w:after="0"/>
              <w:rPr>
                <w:sz w:val="1"/>
                <w:szCs w:val="1"/>
                <w:color w:val="auto"/>
              </w:rPr>
            </w:pPr>
          </w:p>
        </w:tc>
      </w:tr>
      <w:tr>
        <w:trPr>
          <w:trHeight w:val="237"/>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1,580,993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1,501,570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ectPr>
          <w:pgSz w:w="11900" w:h="16838" w:orient="portrait"/>
          <w:cols w:equalWidth="0" w:num="1">
            <w:col w:w="11020"/>
          </w:cols>
          <w:pgMar w:left="240" w:top="121" w:right="639" w:bottom="1440" w:gutter="0" w:footer="0" w:header="0"/>
        </w:sectPr>
      </w:pPr>
    </w:p>
    <w:p>
      <w:pPr>
        <w:spacing w:after="0" w:line="2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240" w:top="121" w:right="6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Par</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511,545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418,295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shares forgiven for taxes and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5"/>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Change in fair value of interest rate swap, net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of tax of $1,104</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Adoption of new accounting standard (Note 1)</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2019</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42,367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512,274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394,909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Par</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2017</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27,572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292,494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211,080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486,104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issued for option exercises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5"/>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Restricted shares and performance shares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forgiven for taxes and 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2018</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27,666</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293,704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203,159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484,859</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14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0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5" w:lineRule="exact"/>
        <w:rPr>
          <w:sz w:val="20"/>
          <w:szCs w:val="20"/>
          <w:color w:val="auto"/>
        </w:rPr>
      </w:pPr>
    </w:p>
    <w:p>
      <w:pPr>
        <w:jc w:val="both"/>
        <w:ind w:left="9120"/>
        <w:spacing w:after="0"/>
        <w:tabs>
          <w:tab w:leader="none" w:pos="105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3773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ectPr>
          <w:pgSz w:w="11900" w:h="16838" w:orient="portrait"/>
          <w:cols w:equalWidth="0" w:num="1">
            <w:col w:w="11400"/>
          </w:cols>
          <w:pgMar w:left="240" w:top="121" w:right="259" w:bottom="1440" w:gutter="0" w:footer="0" w:header="0"/>
        </w:sectPr>
      </w:pP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by) operating activities: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Amortization of debt issuance costs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Share of net income from joint venture, net of cash dividends received</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Compensation expense from issuance of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Inventories</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Income taxes receivable and payable, net</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Net cash used by operating activities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Acquisition of property, plant and equipment</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Proceeds from liquidation of short-term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Cash paid to acquire businesses, net of cash received</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Cash paid for earnest money for Paragon Medical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w:t>
      </w:r>
    </w:p>
    <w:p>
      <w:pPr>
        <w:spacing w:after="0" w:line="1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cash used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Cash paid for debt issuance or prepayment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Dividends paid</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Proceeds from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Repayment of long-term debt</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Proceeds from (repayments of) short-term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w:t>
      </w:r>
    </w:p>
    <w:p>
      <w:pPr>
        <w:spacing w:after="0" w:line="1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cash provided by (used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flows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Supplemental schedule of non-cash operating, investing and financing activities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(18,600)</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r>
      <w:tr>
        <w:trPr>
          <w:trHeight w:val="540"/>
        </w:trPr>
        <w:tc>
          <w:tcPr>
            <w:tcW w:w="46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23,425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14,281</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1,088</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2,699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1,256</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347</w:t>
            </w:r>
          </w:p>
        </w:tc>
      </w:tr>
      <w:tr>
        <w:trPr>
          <w:trHeight w:val="540"/>
        </w:trPr>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(9,433)</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(7,791)</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7,236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275"/>
        </w:trPr>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4,941</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7,001</w:t>
            </w:r>
          </w:p>
        </w:tc>
      </w:tr>
      <w:tr>
        <w:trPr>
          <w:trHeight w:val="250"/>
        </w:trPr>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(2,712)</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r>
      <w:tr>
        <w:trPr>
          <w:trHeight w:val="529"/>
        </w:trPr>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(11,860)</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8,000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4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w:t>
            </w:r>
          </w:p>
        </w:tc>
      </w:tr>
      <w:tr>
        <w:trPr>
          <w:trHeight w:val="270"/>
        </w:trPr>
        <w:tc>
          <w:tcPr>
            <w:tcW w:w="4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275"/>
        </w:trPr>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2,394</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250"/>
        </w:trPr>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(32,818)</w:t>
            </w:r>
          </w:p>
        </w:tc>
      </w:tr>
      <w:tr>
        <w:trPr>
          <w:trHeight w:val="529"/>
        </w:trPr>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19,025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75"/>
        </w:trPr>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r>
      <w:tr>
        <w:trPr>
          <w:trHeight w:val="250"/>
        </w:trPr>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8,876</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(6,261)</w:t>
            </w:r>
          </w:p>
        </w:tc>
      </w:tr>
      <w:tr>
        <w:trPr>
          <w:trHeight w:val="245"/>
        </w:trPr>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562</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(39,491)</w:t>
            </w:r>
          </w:p>
        </w:tc>
      </w:tr>
      <w:tr>
        <w:trPr>
          <w:trHeight w:val="275"/>
        </w:trPr>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17,988</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224,446</w:t>
            </w:r>
          </w:p>
        </w:tc>
      </w:tr>
      <w:tr>
        <w:trPr>
          <w:trHeight w:val="237"/>
        </w:trPr>
        <w:tc>
          <w:tcPr>
            <w:tcW w:w="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20,269</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184,955</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ectPr>
          <w:pgSz w:w="11900" w:h="16838" w:orient="portrait"/>
          <w:cols w:equalWidth="0" w:num="2">
            <w:col w:w="7860" w:space="720"/>
            <w:col w:w="2820"/>
          </w:cols>
          <w:pgMar w:left="240" w:top="121" w:right="259" w:bottom="1440" w:gutter="0" w:footer="0" w:header="0"/>
          <w:type w:val="continuous"/>
        </w:sectPr>
      </w:pPr>
    </w:p>
    <w:tbl>
      <w:tblPr>
        <w:tblLayout w:type="fixed"/>
        <w:tblInd w:w="180" w:type="dxa"/>
        <w:tblCellMar>
          <w:top w:w="0" w:type="dxa"/>
          <w:left w:w="0" w:type="dxa"/>
          <w:bottom w:w="0" w:type="dxa"/>
          <w:right w:w="0" w:type="dxa"/>
        </w:tblCellMar>
      </w:tblPr>
      <w:tr>
        <w:trPr>
          <w:trHeight w:val="188"/>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Non-cash additions to property, plant and equipment</w:t>
            </w:r>
          </w:p>
        </w:tc>
        <w:tc>
          <w:tcPr>
            <w:tcW w:w="32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4,071</w:t>
            </w:r>
          </w:p>
        </w:tc>
        <w:tc>
          <w:tcPr>
            <w:tcW w:w="6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0" w:type="dxa"/>
            <w:vAlign w:val="bottom"/>
          </w:tcPr>
          <w:p>
            <w:pPr>
              <w:spacing w:after="0"/>
              <w:rPr>
                <w:sz w:val="1"/>
                <w:szCs w:val="1"/>
                <w:color w:val="auto"/>
              </w:rPr>
            </w:pPr>
          </w:p>
        </w:tc>
      </w:tr>
      <w:tr>
        <w:trPr>
          <w:trHeight w:val="68"/>
        </w:trPr>
        <w:tc>
          <w:tcPr>
            <w:tcW w:w="572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the terms “NN,” the “Company,” “we,” “our,” or “us” refer to NN, Inc., and its subsidiaries. As of March 31, 2019, we had 51 facilities in North America, Europe, South America, and China.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except that the Condensed Consolidated Balance Sheet as of December 31, 2018, was derived from the audited consolidated financial statements included in our Annual Report on Form 10-K for the year ended December 31, 2018 (the “2018 Annual Report”), which we filed with the U.S. Securities and Exchange Commission (the “SEC”), on March 18, 2019. In management’s opinion, the accompanying unaudited condensed consolidated financial statements reflect all adjustments necessary to fairly state our results of operations for the three months ended March 31, 2019 and 2018; financial position as of March 31, 2019, and December 31, 2018; and cash flows for the three months ended March 31, 2019 and 2018, on a basis consistent with our audited consolidated financial statements other than the adoption of new accounting standards, such as the new lease standard (see Note 10). These adjustments are of a normal recurring nature and are, in the opinion of management, necessary to state fairly the Company’s financial position and operating results for the interim periods.</w:t>
      </w:r>
    </w:p>
    <w:p>
      <w:pPr>
        <w:spacing w:after="0" w:line="7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interim financial statements presented in this Quarterly Report on Form 10-Q. These unaudited condensed consolidated financial statements should be read in conjunction with our audited consolidated financial statements and accompanying notes included in the 2018 Annual Report. The results for the three months ended March 31, 2019, are not necessarily indicative of results for the year ending December 31, 2019, or any other future periods.</w:t>
      </w:r>
    </w:p>
    <w:p>
      <w:pPr>
        <w:spacing w:after="0" w:line="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presented in the tables in these Notes to Condensed Consolidated Financial Statements are in thousands.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On January 1, 2019, we adopted Accounting Standards Codification (“ASC”) 842,</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which superseded ASC 840,</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We adopted ASC 842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utilizing the modified retrospective transition approach, therefore, historical financial information and disclosures do not reflect the new standard and will continue to be presented under the previous lease accounting guidance. Under the modified retrospective transition method, we recognized the cumulative effect of the initial adoption adjustment to the opening balance of retained deficit as of January 1, 2019. The adoption adjustment to retained deficit was less than $0.1 million. As part of the adoption of ASC 842, we elected the package of practical expedients, the short-term lease exemption, and the practical expedient to not separate lease and non-lease components. We recorded lease-related assets and liabilities to our balance sheet for leases with terms greater than twelve months that were classified as operating leases and not previously recorded on our balance sheet. See Note 10 for the required disclosures related to ASC 842.</w:t>
      </w:r>
    </w:p>
    <w:p>
      <w:pPr>
        <w:spacing w:after="0" w:line="7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In August 2017, the Financial Accounting Standards Board (“FASB”) issued Accounting Standards Update 2017-12,</w:t>
      </w:r>
      <w:r>
        <w:rPr>
          <w:rFonts w:ascii="Times New Roman" w:cs="Times New Roman" w:eastAsia="Times New Roman" w:hAnsi="Times New Roman"/>
          <w:sz w:val="18"/>
          <w:szCs w:val="18"/>
          <w:i w:val="1"/>
          <w:iCs w:val="1"/>
          <w:color w:val="auto"/>
        </w:rPr>
        <w:t xml:space="preserve"> Derivatives and Hedging (Topic 815): Targeted Improvements to Accounting for Hedging Activities</w:t>
      </w:r>
      <w:r>
        <w:rPr>
          <w:rFonts w:ascii="Times New Roman" w:cs="Times New Roman" w:eastAsia="Times New Roman" w:hAnsi="Times New Roman"/>
          <w:sz w:val="18"/>
          <w:szCs w:val="18"/>
          <w:color w:val="auto"/>
        </w:rPr>
        <w:t>, (“ASU 2017-12”). ASU 2017-12 provides new rules that expand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strategies that qualify for hedge accounting. The new rules also allow additional time to complete hedge effectiveness testing and allow qualitative assessments subsequent to initial quantitative tests if there is supportable expectation that the hedge will remain highly effective. We adopted the guidance on January 1, 2019. We have applied the new rules to 2019 hedging activities as disclosed in Note 16 to these condensed consolidated financial statements. The new guidance has no effect on our historical financial statements.</w:t>
      </w:r>
    </w:p>
    <w:p>
      <w:pPr>
        <w:spacing w:after="0" w:line="7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Effects of Tax Reform in Other Comprehensive Income. </w:t>
      </w:r>
      <w:r>
        <w:rPr>
          <w:rFonts w:ascii="Times New Roman" w:cs="Times New Roman" w:eastAsia="Times New Roman" w:hAnsi="Times New Roman"/>
          <w:sz w:val="17"/>
          <w:szCs w:val="17"/>
          <w:color w:val="auto"/>
        </w:rPr>
        <w:t>In February 2018, the FASB issued guidance related to the impacts of the U.S. Tax Cuts and Jobs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2017 (“Tax Act”).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(“AOCI”) are adjusted, certain tax effects become stranded in AOCI. The FASB issued ASU 2018-2, </w:t>
      </w:r>
      <w:r>
        <w:rPr>
          <w:rFonts w:ascii="Times New Roman" w:cs="Times New Roman" w:eastAsia="Times New Roman" w:hAnsi="Times New Roman"/>
          <w:sz w:val="17"/>
          <w:szCs w:val="17"/>
          <w:i w:val="1"/>
          <w:iCs w:val="1"/>
          <w:color w:val="auto"/>
        </w:rPr>
        <w:t>Income Statement – Reporting Comprehensive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(Topic 220): Reclassification of Certain Tax Effects from Accumulated Other Comprehensive Income, </w:t>
      </w:r>
      <w:r>
        <w:rPr>
          <w:rFonts w:ascii="Times New Roman" w:cs="Times New Roman" w:eastAsia="Times New Roman" w:hAnsi="Times New Roman"/>
          <w:sz w:val="18"/>
          <w:szCs w:val="18"/>
          <w:color w:val="auto"/>
        </w:rPr>
        <w:t>that permits reclassification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effects of the Tax Act from AOCI to retained earnings. The guidance also requires certain disclosures about stranded tax effects. The new guidance was effective for us on January 1, 2019. We adopted the new guidance at the beginning of the period of adoption. The new guidance had no effect on our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Fair Value Disclosures. </w:t>
      </w:r>
      <w:r>
        <w:rPr>
          <w:rFonts w:ascii="Times New Roman" w:cs="Times New Roman" w:eastAsia="Times New Roman" w:hAnsi="Times New Roman"/>
          <w:sz w:val="18"/>
          <w:szCs w:val="18"/>
          <w:color w:val="auto"/>
        </w:rPr>
        <w:t>In August 2018, the FASB issued ASU 2018-13,</w:t>
      </w:r>
      <w:r>
        <w:rPr>
          <w:rFonts w:ascii="Times New Roman" w:cs="Times New Roman" w:eastAsia="Times New Roman" w:hAnsi="Times New Roman"/>
          <w:sz w:val="18"/>
          <w:szCs w:val="18"/>
          <w:i w:val="1"/>
          <w:iCs w:val="1"/>
          <w:color w:val="auto"/>
        </w:rPr>
        <w:t xml:space="preserve"> Fair Value Measurement (Topic 820): Disclosure Framework - Changes to the Disclosure Requirements for Fair Value Measurement, </w:t>
      </w:r>
      <w:r>
        <w:rPr>
          <w:rFonts w:ascii="Times New Roman" w:cs="Times New Roman" w:eastAsia="Times New Roman" w:hAnsi="Times New Roman"/>
          <w:sz w:val="18"/>
          <w:szCs w:val="18"/>
          <w:color w:val="auto"/>
        </w:rPr>
        <w:t>that modifies fair value disclosure requirements. The new guidance could impact us by streamlining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of Level 3 fair value measurements. The modified disclosures are effective for NN beginning in the first quarter of 2020, with early adoption allowed. ASU 2018-13 changes only disclosures and does not impact our financial condition, results of operations, or cash flows. We are in the process of evaluating the effects of this guidance on our fair value disclosures.</w:t>
      </w:r>
    </w:p>
    <w:p>
      <w:pPr>
        <w:spacing w:after="0" w:line="7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Internal-Use Software. </w:t>
      </w:r>
      <w:r>
        <w:rPr>
          <w:rFonts w:ascii="Times New Roman" w:cs="Times New Roman" w:eastAsia="Times New Roman" w:hAnsi="Times New Roman"/>
          <w:sz w:val="18"/>
          <w:szCs w:val="18"/>
          <w:color w:val="auto"/>
        </w:rPr>
        <w:t>In August 2018, the FASB issued ASU 2018-15,</w:t>
      </w:r>
      <w:r>
        <w:rPr>
          <w:rFonts w:ascii="Times New Roman" w:cs="Times New Roman" w:eastAsia="Times New Roman" w:hAnsi="Times New Roman"/>
          <w:sz w:val="18"/>
          <w:szCs w:val="18"/>
          <w:i w:val="1"/>
          <w:iCs w:val="1"/>
          <w:color w:val="auto"/>
        </w:rPr>
        <w:t xml:space="preserve"> Intangibles - Goodwill and Other - Internal-Use Software: Customer’s Accounting for Implementation Costs Incurred in a Cloud Computing Arrangement That Is a Service Contract (a consensus of the FASB Emerging Issues Task Force), </w:t>
      </w:r>
      <w:r>
        <w:rPr>
          <w:rFonts w:ascii="Times New Roman" w:cs="Times New Roman" w:eastAsia="Times New Roman" w:hAnsi="Times New Roman"/>
          <w:sz w:val="18"/>
          <w:szCs w:val="18"/>
          <w:color w:val="auto"/>
        </w:rPr>
        <w:t>that provides guidance on a customer’s accounting for implementation, set-up, and other upfront costs incurred in a cloud computing arrangement that is hosted by the vendor. Under the new guidance, customers will apply the same criteria for capitalizing implementation costs as they would for an arrangement that has a software license. ASU 2018-15 is effective for us on January 1, 2020, using either a prospective or retrospective approach and with early adoption permitted. We are in the process of evaluating the effects of this guidance on our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Paragon Medical, Inc.</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7, 2018, we acquired 100% of the stock of PMG Intermediate Holding Corporation, the parent company of Paragon Medical, Inc. (“Paragon Medical”). For accounting purposes, Paragon Medical meets the definition of a business and has been accounted for as a business combination. Paragon Medical is a medical device manufacturer which focuses on the orthopedic, case and tray, implant, and instrument markets. This acquisition continues our strategic focus to expand our Life Sciences portfolio as well as create a balanced business by diversifying our products and finished device offerings. We have performed an assessment of the opening balance sheet which is subject to completion of our internal review procedures over fair value estimates. Opening balance sheet deferred taxes have been recorded based on estimates made as of the acquisition date as well as information currently available to management. As estimates are refined and additional information is received throughout the measurement period, adjustments to opening deferred taxes may be recorded with an offsetting adjustment to goodwill.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May 7, 2018, our consolidated results of operations include the results of Paragon Medical.</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results shown in the table below for the three months ended March 31, 2018, combine the consolidated results of NN and Paragon Medical giving effect to the Paragon Medical acquisition as if it had been completed on January 1, 2017. The unaudited pro forma financial results do not give effect to any of our other acquisitions that occurred after January 1, 2017, and do not include any anticipated synergies or other assumed benefits of the Paragon Medical acquisition. This unaudited pro forma financial information is presented for informational purposes only and is not indicative of future operations or results had the Paragon Medical acquisition been completed as of January 1, 2017.</w:t>
      </w:r>
    </w:p>
    <w:p>
      <w:pPr>
        <w:spacing w:after="0" w:line="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results include certain adjustments for debt service costs and additional depreciation and amortization expense based upon the fair value step-up and estimated useful lives of Paragon Medical depreciable fixed assets and definite-life amortizable assets acquired. The provision for income taxes has also been adjusted for all periods, based upon the foregoing adjustments to historical results.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3760" w:type="dxa"/>
            <w:vAlign w:val="bottom"/>
            <w:tcBorders>
              <w:bottom w:val="single" w:sz="8" w:color="CCEEFF"/>
            </w:tcBorders>
          </w:tcPr>
          <w:p>
            <w:pPr>
              <w:spacing w:after="0"/>
              <w:rPr>
                <w:sz w:val="16"/>
                <w:szCs w:val="16"/>
                <w:color w:val="auto"/>
              </w:rPr>
            </w:pPr>
          </w:p>
        </w:tc>
        <w:tc>
          <w:tcPr>
            <w:tcW w:w="5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sales</w:t>
            </w:r>
          </w:p>
        </w:tc>
        <w:tc>
          <w:tcPr>
            <w:tcW w:w="6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209,830</w:t>
            </w: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loss</w:t>
            </w:r>
          </w:p>
        </w:tc>
        <w:tc>
          <w:tcPr>
            <w:tcW w:w="6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w:t>
            </w:r>
          </w:p>
        </w:tc>
      </w:tr>
      <w:tr>
        <w:trPr>
          <w:trHeight w:val="27"/>
        </w:trPr>
        <w:tc>
          <w:tcPr>
            <w:tcW w:w="37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loss per share</w:t>
            </w:r>
          </w:p>
        </w:tc>
        <w:tc>
          <w:tcPr>
            <w:tcW w:w="6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6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486"/>
        </w:trPr>
        <w:tc>
          <w:tcPr>
            <w:tcW w:w="3760" w:type="dxa"/>
            <w:vAlign w:val="bottom"/>
          </w:tcPr>
          <w:p>
            <w:pPr>
              <w:spacing w:after="0"/>
              <w:rPr>
                <w:sz w:val="24"/>
                <w:szCs w:val="24"/>
                <w:color w:val="auto"/>
              </w:rPr>
            </w:pPr>
          </w:p>
        </w:tc>
        <w:tc>
          <w:tcPr>
            <w:tcW w:w="5840" w:type="dxa"/>
            <w:vAlign w:val="bottom"/>
          </w:tcPr>
          <w:p>
            <w:pPr>
              <w:jc w:val="right"/>
              <w:ind w:right="375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Bridgemedica, LLC. </w:t>
      </w:r>
      <w:r>
        <w:rPr>
          <w:rFonts w:ascii="Times New Roman" w:cs="Times New Roman" w:eastAsia="Times New Roman" w:hAnsi="Times New Roman"/>
          <w:sz w:val="18"/>
          <w:szCs w:val="18"/>
          <w:color w:val="auto"/>
        </w:rPr>
        <w:t>On February 22, 2018, we completed the acquisition of 100% of the assets of Bridgemedica, LLC (“Bridgemedica”). For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Bridgemedica meets the definition of a business and has been accounted for as a business combination. Bridgemedica is a medical device company that provides concept to supply solutions through design, development engineering, and manufacturing. Operating results of Bridgemedica are reported in our Life Sciences group after the acquisition date. We have finalized the purchase price allocation with no material changes to the initial allocation.</w:t>
      </w:r>
    </w:p>
    <w:p>
      <w:pPr>
        <w:spacing w:after="0" w:line="7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Southern California Technical Arts, Inc. </w:t>
      </w:r>
      <w:r>
        <w:rPr>
          <w:rFonts w:ascii="Times New Roman" w:cs="Times New Roman" w:eastAsia="Times New Roman" w:hAnsi="Times New Roman"/>
          <w:sz w:val="18"/>
          <w:szCs w:val="18"/>
          <w:color w:val="auto"/>
        </w:rPr>
        <w:t>On August 9, 2018, we completed the acquisition of 100% of the capital stock of Southern California Technical Arts,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(“Technical Arts”). For accounting purposes, Technical Arts meets the definition of a business and has been accounted for as a business combination. Technical Arts is an industrial machining company that manufactures tight tolerance metal components and assemblies. The acquisition of Technical Arts expands our presence in the aerospace and defense end market. Operating results of Technical Arts are reported in our Power Solutions group after the acquisition date. We have completed a preliminary purchase price allocation and are in the process of finalizing the fair value of assets acquired and liabilities assumed.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Segment Information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determined our reportable segments under the provisions of U.S. GAAP related to disclosures about segments of an enterprise. Management has concluded that Mobile Solutions, Power Solutions, and Life Sciences each constitutes an operating segment as each engages in business activities for which it earns revenues and incurs expenses for which separate financial information is available, and this is the level at which the Chief Operating Decision Maker (“CODM”) reviews discrete financial information for purposes of allocating resources and assessing performance.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Mobile Solutions is focused on growth in the general industrial and automotive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Power Solutions is focused on growth in the electrical and aerospace and defense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 Sciences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Life Sciences is focused on growth in the medical end market. Within this group we combine advanced engineering and production capabilities to design and manufacture a broad range of high-precision metal and plastic components, assemblies, and finished devices.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manufacture a variety of components, assemblies, and instruments, such as surgical knives, bioresorbable implants, surgical staples, cases and trays, orthopedic implants and tools, laparoscopic devices, and drug delivery devices for the medical and life sciences end market.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results of operations for each reportable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20" w:type="dxa"/>
            <w:vAlign w:val="bottom"/>
          </w:tcPr>
          <w:p>
            <w:pPr>
              <w:spacing w:after="0"/>
              <w:rPr>
                <w:sz w:val="13"/>
                <w:szCs w:val="13"/>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3"/>
                <w:szCs w:val="13"/>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2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78,075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49,657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86,008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213,256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0" w:type="dxa"/>
            <w:vAlign w:val="bottom"/>
          </w:tcPr>
          <w:p>
            <w:pPr>
              <w:spacing w:after="0"/>
              <w:rPr>
                <w:sz w:val="1"/>
                <w:szCs w:val="1"/>
                <w:color w:val="auto"/>
              </w:rPr>
            </w:pPr>
          </w:p>
        </w:tc>
      </w:tr>
      <w:tr>
        <w:trPr>
          <w:trHeight w:val="205"/>
        </w:trPr>
        <w:tc>
          <w:tcPr>
            <w:tcW w:w="402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before provision for income taxes and share of</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0" w:type="dxa"/>
            <w:vAlign w:val="bottom"/>
          </w:tcPr>
          <w:p>
            <w:pPr>
              <w:spacing w:after="0"/>
              <w:rPr>
                <w:sz w:val="1"/>
                <w:szCs w:val="1"/>
                <w:color w:val="auto"/>
              </w:rPr>
            </w:pPr>
          </w:p>
        </w:tc>
      </w:tr>
      <w:tr>
        <w:trPr>
          <w:trHeight w:val="281"/>
        </w:trPr>
        <w:tc>
          <w:tcPr>
            <w:tcW w:w="40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net income from joint venture</w:t>
            </w:r>
          </w:p>
        </w:tc>
        <w:tc>
          <w:tcPr>
            <w:tcW w:w="2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89,794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48,682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169,148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9,785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5"/>
        </w:trPr>
        <w:tc>
          <w:tcPr>
            <w:tcW w:w="402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before benefit for income taxes and share of net</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0" w:type="dxa"/>
            <w:vAlign w:val="bottom"/>
          </w:tcPr>
          <w:p>
            <w:pPr>
              <w:spacing w:after="0"/>
              <w:rPr>
                <w:sz w:val="1"/>
                <w:szCs w:val="1"/>
                <w:color w:val="auto"/>
              </w:rPr>
            </w:pPr>
          </w:p>
        </w:tc>
      </w:tr>
      <w:tr>
        <w:trPr>
          <w:trHeight w:val="234"/>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8890</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-95885</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Includes elimination of intersegment transactions occurring during the ordinary course of business.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134"/>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5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Mobile Solutions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392,100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356,387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Solutions</w:t>
            </w: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311,771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297,947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Life Sciences</w:t>
            </w: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824,891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802,770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Consolidations</w:t>
            </w: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44,466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1,580,993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1,501,570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tc>
        <w:tc>
          <w:tcPr>
            <w:tcW w:w="1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4"/>
                <w:szCs w:val="24"/>
                <w:color w:val="auto"/>
              </w:rPr>
            </w:pPr>
          </w:p>
        </w:tc>
        <w:tc>
          <w:tcPr>
            <w:tcW w:w="15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52,930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42,578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26,264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27,107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128,922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122,615</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Goodwill</w:t>
            </w: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goodwill.</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240" w:type="dxa"/>
            <w:vAlign w:val="bottom"/>
          </w:tcPr>
          <w:p>
            <w:pPr>
              <w:spacing w:after="0"/>
              <w:rPr>
                <w:sz w:val="24"/>
                <w:szCs w:val="24"/>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6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24"/>
                <w:szCs w:val="24"/>
                <w:color w:val="auto"/>
              </w:rPr>
            </w:pPr>
          </w:p>
        </w:tc>
        <w:tc>
          <w:tcPr>
            <w:tcW w:w="150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94,505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344,947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439,452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impacts</w:t>
            </w:r>
          </w:p>
        </w:tc>
        <w:tc>
          <w:tcPr>
            <w:tcW w:w="1300" w:type="dxa"/>
            <w:vAlign w:val="bottom"/>
          </w:tcPr>
          <w:p>
            <w:pPr>
              <w:spacing w:after="0"/>
              <w:rPr>
                <w:sz w:val="21"/>
                <w:szCs w:val="21"/>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94,703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345,466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440,169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Based on the closing price of a share of our common stock as of March 31, 2019, our market capitalization had declined to a level that is less than the net book value of our stockholders’ equity. A prolonged or significant decline in market capitalization could be an indicator of additional goodwill impairment. We will continue to monitor our market capitalization to determine if an indicator of impairment exists in subsequent periods.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During 2018, as a result of our annual goodwill impairment analysis performed during the fourth quarter of 2018, we recorded an impairment of $109.1 million in our Power Solutions group. After the impairment, Power Solutions reported a goodwill balance of $94.5 million at December 31, 2018. Given the carrying value of the Power Solutions reporting unit was equal to its fair value at December 31, 2018 as a result of the 2018 goodwill impairment, if actual performance of the Power Solutions reporting unit falls short of expected results, additional material impairment charges may be required. During the first quarter of 2019, we reassessed the relevant facts and circumstances and concluded there was no impairment during the period. We will continue to monitor and assess Power Solutions during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34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36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400" w:type="dxa"/>
            <w:vAlign w:val="bottom"/>
          </w:tcPr>
          <w:p>
            <w:pPr>
              <w:spacing w:after="0"/>
              <w:rPr>
                <w:sz w:val="13"/>
                <w:szCs w:val="13"/>
                <w:color w:val="auto"/>
              </w:rPr>
            </w:pPr>
          </w:p>
        </w:tc>
        <w:tc>
          <w:tcPr>
            <w:tcW w:w="130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35,892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95,991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244,365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376,248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35,009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93,243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235,356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363,608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our investment in the JV.</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35"/>
        </w:trPr>
        <w:tc>
          <w:tcPr>
            <w:tcW w:w="9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20,364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of earnings</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9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r>
      <w:tr>
        <w:trPr>
          <w:trHeight w:val="237"/>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21,087</w:t>
            </w:r>
          </w:p>
        </w:tc>
      </w:tr>
      <w:tr>
        <w:trPr>
          <w:trHeight w:val="27"/>
        </w:trPr>
        <w:tc>
          <w:tcPr>
            <w:tcW w:w="97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fourth quarter of 2018, as a result of changing market conditions, the fair value of the JV was assessed and we recorded an impairment charge of $16.6 million against our investment in the JV. The fair value assessment was most significantly affected by changes in our assessment of future growth rates. It is reasonably possible that material deviation of future performance from the estimates used in the 2018 valuation could result in further impairment to our investment in the JV in subsequent periods. There was no impairment of our investment in the JV during the three months ended March 31, 2019.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sales to the JV of less than $0.1 million and $0.1 million during the three months ended March 31, 2019 and 2018,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effective tax rate was (13.5)% for the three months ended March 31, 2019, and 14.7% for the three months ended March 31, 2018. Our 2019 effective tax rate differs from the U.S. federal statutory tax rate of 21% principally due to a discrete tax charge of $6.0 million related to final tax regulations published by the Department of the Treasury and Internal Revenue Service on February 4, 2019. The 2019 effective tax rate was also impacted by the minimum tax on global intangible low-tax income (“GILTI”) and earnings outside the United States, which are taxed at different rates than the U.S. federal statutory tax rate of 21%.</w:t>
      </w:r>
    </w:p>
    <w:p>
      <w:pPr>
        <w:spacing w:after="0" w:line="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2018 effective tax rate differed from the U.S. federal statutory tax rate of 21% due to permanent differences including GILTI and earnings outside the United States, which were taxed at different rates than the U.S. federal statutory rate of 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Collectively, our credit facility is comprised of a term loan with a face amount of $545.0 million, maturing on October 19, 2022 (the “Senior Secured Term Loan”); a term loan with a face amount of $300.0 million, maturing on April 3, 2021 (the Incremental Term Loan”); and a revolving line of credit with a face amount of $143.0 million, maturing on October 19, 2020 (the “Senior Secured Revolver”). The credit facility is collateralized by all of our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debt balances as of March 31, 2019, and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530,625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532,063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Incremental Term Loan</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279,000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Revolver</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38,720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lines of credit and other loans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9,810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principal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873,410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859,593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31,280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839,966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828,313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unamortized debt issuance costs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16,842</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826,274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811,471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capitalized interest costs amounting to $0.6 million and $0.2 million in the three months ended March 31, 2019 and 2018, respectively, related to construction in progress.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w:t>
      </w:r>
    </w:p>
    <w:p>
      <w:pPr>
        <w:spacing w:after="0" w:line="6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Outstanding borrowings under the Senior Secured Term Loan bear interest at the greater of 0.75% or one-month London Interbank Offered Rate (“LIBOR”) plus an applicable margin of 3.75%. At March 31, 2019, the Senior Secured Term Loan bore interest at 6.24%.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Term Loan</w:t>
      </w:r>
    </w:p>
    <w:p>
      <w:pPr>
        <w:spacing w:after="0" w:line="6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Outstanding borrowings under the Incremental Term Loan bear interest at one-month LIBOR plus an applicable margin of 3.25%. At March 31, 2019, the Incremental Term Loan bore interest of 5.74%.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Revolver</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Outstanding borrowings under the Senior Secured Revolver bear interest at one-month LIBOR plus an applicable margin of 3.50%. At March 31, 2019, the Senior Secured Revolver bore interest of 5.99%. We pay an annual commitment fee of 0.50% for unused capacity under the Senior Secured Revolver on a quarterly basis.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Total available capacity under the Senior Secured Revolver was $125.0 million as of March 31, 2019. Our credit facility is subject to certain financial covenants based on a consolidated net leverage ratio, as defined in the credit facility agreement. The financial covenants are effective when we have outstanding borrowings under our Senior Secured Revolver on the last day of any fiscal quarter, become more restrictive over time, and are dependent upon our operational and financial performance. If our operational or financial performance is below our expectations, we may be required to take actions to reduce expenditures and decrease our net indebtedness to maintain compliance in future periods. We had $56.2 million outstanding under the Senior Secured Revolver at March 31, 2019, and we were in compliance with all covenants under our credit facility.</w:t>
      </w:r>
    </w:p>
    <w:p>
      <w:pPr>
        <w:spacing w:after="0" w:line="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March 15, 2019, we amended our existing credit facility (the “March 2019 amendment”) to amend the defined terms within the credit facility. We paid $0.8 million of debt issuance costs related to the March 2019 amendment which was recorded as a direct reduction to the carrying amount of the associated long-term debt. We also wrote-off $2.7 million of unamortized debt issuance costs related to the modification of the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$700.0 million amortizing notional amount fixed-rate interest rate swap agreement to manage the interest rate risk associated with our long-term variable-rate debt until 2022. The fixed-rate interest rate swap agreement calls for us to receive interest monthly at a variable rate equal to one-month LIBOR and to pay interest monthly at a fixed rate of 2.4575%. Refer to Note 16 for further discussion of the interest rate swap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adopted ASC 842 on January 1, 2019, and elected the modified retrospective approach in which the new standard is applied to all leases existing at the date of adoption through a cumulative-effect adjustment of less than $0.1 million to retained deficit.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Consequently, financial information is not updated, and the disclosures required under the new standard are not provided for periods prior to January 1, 2019. As part of the adoption, we elected the package of practical expedients, the short-term lease exemption, and the practical expedient to not separate lease and non-lease components permitted within ASC 842. Accordingly, we accounted for our existing operating leases as operating leases under the new standard, without reassessing (a) whether the contracts contain a lease under ASC 842, (b) whether classification of the operating leases would be different in accordance with ASC 842, or (c) whether any unamortized initial direct costs would have met the definition of initial direct costs in ASC 842 at lease commencement.</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determine whether an arrangement is a lease at inception. Right-of-use (“ROU”) lease assets represent our right to use an underlying asset for the lease term, and lease obligations represent our obligation to make lease payments arising from the lease. ROU lease assets and obligations are recognized at the lease commencement date based on the present value of lease payments over the lease term. When the implicit rate is not readily determinable, we use the estimated incremental borrowing rate based on the information available at the lease commencement date in determining the present value of lease payments. The lease terms may include options to extend or terminate the lease when it is reasonably certain that we will exercise that option. Amortization of ROU lease assets is recognized in expense on a straight-line basis over the lease term.</w:t>
      </w:r>
    </w:p>
    <w:p>
      <w:pPr>
        <w:spacing w:after="0" w:line="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Short-term leases are leases having a term of twelve months or less. We recognize short-term leases on a straight-line basis and do not record a related lease asset or liability for such leases. Finance lease ROU assets consist of equipment used in the manufacturing process with terms between thirteen months and five years. Operating lease ROU assets consist of the following:</w:t>
      </w:r>
    </w:p>
    <w:p>
      <w:pPr>
        <w:spacing w:after="0" w:line="6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used in the manufacturing process as well as office equipment with terms between thirteen months and five years.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plants and office facilities with terms between thirteen months and 25 years.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expense for the three months ended March 31,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500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220" w:type="dxa"/>
            <w:vAlign w:val="bottom"/>
          </w:tcPr>
          <w:p>
            <w:pPr>
              <w:spacing w:after="0"/>
              <w:rPr>
                <w:sz w:val="13"/>
                <w:szCs w:val="13"/>
                <w:color w:val="auto"/>
              </w:rPr>
            </w:pPr>
          </w:p>
        </w:tc>
        <w:tc>
          <w:tcPr>
            <w:tcW w:w="1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cost:</w:t>
            </w: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cost</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and selling, general and administrative expense</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Short-term lease cost </w:t>
            </w:r>
            <w:r>
              <w:rPr>
                <w:rFonts w:ascii="Times New Roman" w:cs="Times New Roman" w:eastAsia="Times New Roman" w:hAnsi="Times New Roman"/>
                <w:sz w:val="25"/>
                <w:szCs w:val="25"/>
                <w:color w:val="auto"/>
                <w:vertAlign w:val="superscript"/>
              </w:rPr>
              <w:t>(1)</w:t>
            </w:r>
          </w:p>
        </w:tc>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 and selling, general and administrative expense</w:t>
            </w: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4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3,916</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80" w:type="dxa"/>
            <w:vAlign w:val="bottom"/>
            <w:vMerge w:val="continue"/>
          </w:tcPr>
          <w:p>
            <w:pPr>
              <w:spacing w:after="0"/>
              <w:rPr>
                <w:sz w:val="13"/>
                <w:szCs w:val="13"/>
                <w:color w:val="auto"/>
              </w:rPr>
            </w:pPr>
          </w:p>
        </w:tc>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620" w:right="5460" w:hanging="5288"/>
        <w:spacing w:after="0" w:line="492" w:lineRule="auto"/>
        <w:tabs>
          <w:tab w:leader="none" w:pos="58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expenses related to leases with a lease term of one month or less. 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lease-related assets and liabilities recorded on the balance sheet as of March 31, 2019:</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8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assets and liabilities:</w:t>
            </w:r>
          </w:p>
        </w:tc>
        <w:tc>
          <w:tcPr>
            <w:tcW w:w="4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 assets</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68,458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Finance lease asset</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12,886</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assets</w:t>
            </w:r>
          </w:p>
        </w:tc>
        <w:tc>
          <w:tcPr>
            <w:tcW w:w="480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81,344</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4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Current liabilities</w:t>
            </w:r>
          </w:p>
        </w:tc>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7,630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66,975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257"/>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480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83,156</w:t>
            </w: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following table contains supplemental information related to leases for the three months ended March 31, 2019:</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2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4"/>
                <w:szCs w:val="24"/>
                <w:color w:val="auto"/>
              </w:rPr>
            </w:pPr>
          </w:p>
        </w:tc>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820" w:type="dxa"/>
            <w:vAlign w:val="bottom"/>
            <w:tcBorders>
              <w:bottom w:val="single" w:sz="8" w:color="CCEEFF"/>
            </w:tcBorders>
            <w:vMerge w:val="continue"/>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80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5,288</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6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the weighted average remaining lease term and weighted-average discount rate for finance and operating leases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gridSpan w:val="7"/>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Weighted-Average Remaining Lease Term</w:t>
            </w: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95"/>
        </w:trPr>
        <w:tc>
          <w:tcPr>
            <w:tcW w:w="5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2"/>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Weighted-Average Discount Rate</w:t>
            </w:r>
          </w:p>
        </w:tc>
      </w:tr>
      <w:tr>
        <w:trPr>
          <w:trHeight w:val="242"/>
        </w:trPr>
        <w:tc>
          <w:tcPr>
            <w:tcW w:w="72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future minimum lease obligations with noncancelable terms in excess of twelve months as of March 31, 2019, is as follows:</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8"/>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40" w:type="dxa"/>
            <w:vAlign w:val="bottom"/>
          </w:tcPr>
          <w:p>
            <w:pPr>
              <w:spacing w:after="0"/>
              <w:rPr>
                <w:sz w:val="24"/>
                <w:szCs w:val="24"/>
                <w:color w:val="auto"/>
              </w:rPr>
            </w:pPr>
          </w:p>
        </w:tc>
        <w:tc>
          <w:tcPr>
            <w:tcW w:w="17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69"/>
        </w:trPr>
        <w:tc>
          <w:tcPr>
            <w:tcW w:w="5440" w:type="dxa"/>
            <w:vAlign w:val="bottom"/>
            <w:tcBorders>
              <w:top w:val="single" w:sz="8" w:color="auto"/>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25"/>
                <w:szCs w:val="25"/>
                <w:color w:val="auto"/>
                <w:vertAlign w:val="superscript"/>
              </w:rPr>
              <w:t>(1)</w:t>
            </w:r>
          </w:p>
        </w:tc>
        <w:tc>
          <w:tcPr>
            <w:tcW w:w="10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10,104</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2,190</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2,033</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2,020</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10,812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1,853</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962</w:t>
            </w:r>
          </w:p>
        </w:tc>
      </w:tr>
      <w:tr>
        <w:trPr>
          <w:trHeight w:val="243"/>
        </w:trPr>
        <w:tc>
          <w:tcPr>
            <w:tcW w:w="72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59,946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0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113,223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9,075</w:t>
            </w:r>
          </w:p>
        </w:tc>
      </w:tr>
      <w:tr>
        <w:trPr>
          <w:trHeight w:val="243"/>
        </w:trPr>
        <w:tc>
          <w:tcPr>
            <w:tcW w:w="72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1"/>
                <w:szCs w:val="21"/>
                <w:color w:val="auto"/>
              </w:rPr>
            </w:pPr>
          </w:p>
        </w:tc>
        <w:tc>
          <w:tcPr>
            <w:tcW w:w="1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38,618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r>
      <w:tr>
        <w:trPr>
          <w:trHeight w:val="27"/>
        </w:trPr>
        <w:tc>
          <w:tcPr>
            <w:tcW w:w="70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74,605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8,551</w:t>
            </w: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For the period from April 1, 2019 to December 31, 2019.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2019, we have an additional operating lease commitment that has not yet commenced that would require us to pay a total of approximately $21.9 million base rent payments over the lease term of 15 years. This lease is expected to commence during the fourth quarter of 2019.</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future minimum lease payments under operating leases with initial or non-cancelable lease terms in excess of one year prior to adoption of ASC 842 as reported in our Annual Report on Form 10-K for the year ended December 31,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9"/>
        </w:trPr>
        <w:tc>
          <w:tcPr>
            <w:tcW w:w="90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11,515</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10,293</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8,752</w:t>
            </w:r>
          </w:p>
        </w:tc>
      </w:tr>
      <w:tr>
        <w:trPr>
          <w:trHeight w:val="243"/>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53,945</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108,399</w:t>
            </w:r>
          </w:p>
        </w:tc>
      </w:tr>
      <w:tr>
        <w:trPr>
          <w:trHeight w:val="20"/>
        </w:trPr>
        <w:tc>
          <w:tcPr>
            <w:tcW w:w="9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2018, we recognized rent expense of $2.1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 and Integration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restructuring and integration charges incurred for the three months ended March 31,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000" w:type="dxa"/>
            <w:vAlign w:val="bottom"/>
          </w:tcPr>
          <w:p>
            <w:pPr>
              <w:jc w:val="center"/>
              <w:ind w:left="319"/>
              <w:spacing w:after="0" w:line="149" w:lineRule="exact"/>
              <w:rPr>
                <w:sz w:val="20"/>
                <w:szCs w:val="20"/>
                <w:color w:val="auto"/>
              </w:rPr>
            </w:pPr>
            <w:r>
              <w:rPr>
                <w:rFonts w:ascii="Times New Roman" w:cs="Times New Roman" w:eastAsia="Times New Roman" w:hAnsi="Times New Roman"/>
                <w:sz w:val="14"/>
                <w:szCs w:val="14"/>
                <w:b w:val="1"/>
                <w:bCs w:val="1"/>
                <w:color w:val="auto"/>
              </w:rPr>
              <w:t>Mobile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259"/>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5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Site closure and other associated costs</w:t>
            </w:r>
          </w:p>
        </w:tc>
        <w:tc>
          <w:tcPr>
            <w:tcW w:w="10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6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000" w:type="dxa"/>
            <w:vAlign w:val="bottom"/>
          </w:tcPr>
          <w:p>
            <w:pPr>
              <w:jc w:val="center"/>
              <w:ind w:left="319"/>
              <w:spacing w:after="0" w:line="149" w:lineRule="exact"/>
              <w:rPr>
                <w:sz w:val="20"/>
                <w:szCs w:val="20"/>
                <w:color w:val="auto"/>
              </w:rPr>
            </w:pPr>
            <w:r>
              <w:rPr>
                <w:rFonts w:ascii="Times New Roman" w:cs="Times New Roman" w:eastAsia="Times New Roman" w:hAnsi="Times New Roman"/>
                <w:sz w:val="14"/>
                <w:szCs w:val="14"/>
                <w:b w:val="1"/>
                <w:bCs w:val="1"/>
                <w:color w:val="auto"/>
              </w:rPr>
              <w:t>Mobile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259"/>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5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Site closure and other associated costs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restructuring and integration reserve activity for the three months ended March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20" w:type="dxa"/>
            <w:vAlign w:val="bottom"/>
          </w:tcPr>
          <w:p>
            <w:pPr>
              <w:spacing w:after="0"/>
              <w:rPr>
                <w:sz w:val="13"/>
                <w:szCs w:val="13"/>
                <w:color w:val="auto"/>
              </w:rPr>
            </w:pPr>
          </w:p>
        </w:tc>
        <w:tc>
          <w:tcPr>
            <w:tcW w:w="12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3"/>
                <w:szCs w:val="13"/>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260" w:type="dxa"/>
            <w:vAlign w:val="bottom"/>
          </w:tcPr>
          <w:p>
            <w:pPr>
              <w:spacing w:after="0"/>
              <w:rPr>
                <w:sz w:val="12"/>
                <w:szCs w:val="12"/>
                <w:color w:val="auto"/>
              </w:rPr>
            </w:pPr>
          </w:p>
        </w:tc>
        <w:tc>
          <w:tcPr>
            <w:tcW w:w="11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Site closure and other associated costs</w:t>
            </w:r>
          </w:p>
        </w:tc>
        <w:tc>
          <w:tcPr>
            <w:tcW w:w="240" w:type="dxa"/>
            <w:vAlign w:val="bottom"/>
          </w:tcPr>
          <w:p>
            <w:pPr>
              <w:spacing w:after="0"/>
              <w:rPr>
                <w:sz w:val="21"/>
                <w:szCs w:val="21"/>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amount accrued for restructuring and integration costs represents what we expect to pay over the next 1.9 years. We expect to pay $0.5 million within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March 31, 2019, for this matter.</w:t>
      </w:r>
    </w:p>
    <w:p>
      <w:pPr>
        <w:spacing w:after="0" w:line="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Legal Matters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 from Contracts with Customers</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Sales, value add, and other taxes we collect concurrent with revenue-producing activities are excluded from revenue. Incidental items that are immaterial in the context of the contract are recognized as expense.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sales to external customers by major source.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300" w:type="dxa"/>
            <w:vAlign w:val="bottom"/>
          </w:tcPr>
          <w:p>
            <w:pPr>
              <w:spacing w:after="0"/>
              <w:rPr>
                <w:sz w:val="12"/>
                <w:szCs w:val="12"/>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0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380" w:type="dxa"/>
            <w:vAlign w:val="bottom"/>
          </w:tcPr>
          <w:p>
            <w:pPr>
              <w:spacing w:after="0"/>
              <w:rPr>
                <w:sz w:val="12"/>
                <w:szCs w:val="12"/>
                <w:color w:val="auto"/>
              </w:rPr>
            </w:pPr>
          </w:p>
        </w:tc>
        <w:tc>
          <w:tcPr>
            <w:tcW w:w="122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153,431</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12,683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8,214</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8,451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Poland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Czech Republic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Africa</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7,145</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78,075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49,657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86,008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213,256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8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0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32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119,808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13,192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10,605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9,935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Poland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Czech Republic</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Netherlands</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6,135</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89,794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48,682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31,200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169,148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liabilities from contracts with customers.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Deferred</w:t>
            </w:r>
          </w:p>
        </w:tc>
      </w:tr>
      <w:tr>
        <w:trPr>
          <w:trHeight w:val="195"/>
        </w:trPr>
        <w:tc>
          <w:tcPr>
            <w:tcW w:w="93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249"/>
        </w:trPr>
        <w:tc>
          <w:tcPr>
            <w:tcW w:w="9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2,974</w:t>
            </w:r>
          </w:p>
        </w:tc>
      </w:tr>
      <w:tr>
        <w:trPr>
          <w:trHeight w:val="243"/>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March 31, 2019</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2,890</w:t>
            </w:r>
          </w:p>
        </w:tc>
      </w:tr>
    </w:tbl>
    <w:p>
      <w:pPr>
        <w:spacing w:after="0" w:line="11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2019, from amounts included in deferred revenue at the beginning of the period for performance obligations satisfied or partially satisfied during the period, was approximately $0.6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unless our contracts meet one of the practical expedients. Our contracts met the following practical expedient provided by the guidance:</w:t>
      </w:r>
    </w:p>
    <w:p>
      <w:pPr>
        <w:spacing w:after="0" w:line="126" w:lineRule="exact"/>
        <w:rPr>
          <w:sz w:val="20"/>
          <w:szCs w:val="20"/>
          <w:color w:val="auto"/>
        </w:rPr>
      </w:pPr>
    </w:p>
    <w:p>
      <w:pPr>
        <w:ind w:left="640" w:hanging="3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 is part of a contract that has an original expected duration of one year or less.</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119" w:lineRule="exact"/>
        <w:rPr>
          <w:sz w:val="20"/>
          <w:szCs w:val="20"/>
          <w:color w:val="auto"/>
        </w:rPr>
      </w:pPr>
    </w:p>
    <w:p>
      <w:pPr>
        <w:jc w:val="both"/>
        <w:ind w:left="60"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we recognized sales from a single customer of $23.3 million, or 10.9% of consolidated net sales. Revenues from this customer are in our Life Sciences and Power Solutions groups. No customers represented more than 10% of our net sales during the three months ended March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Shared-Based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w:t>
      </w:r>
    </w:p>
    <w:p>
      <w:pPr>
        <w:spacing w:after="0" w:line="28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 share units</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60" w:type="dxa"/>
            <w:vAlign w:val="bottom"/>
            <w:tcBorders>
              <w:top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1,256</w:t>
            </w:r>
          </w:p>
        </w:tc>
      </w:tr>
      <w:tr>
        <w:trPr>
          <w:trHeight w:val="27"/>
        </w:trPr>
        <w:tc>
          <w:tcPr>
            <w:tcW w:w="79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2019, we granted options to purchase 210,400 shares to certain key employees. The weighted average grant date fair value of the options granted during the three months ended March 31, 2019, was $2.77 per share. The fair value of our options cannot be determined by market value because they are not traded in an open market. Accordingly, we utilized the Black Scholes financial pricing model to estimate the fair value.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assumptions relevant to determining the fair value of stock options granted in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8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9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w:t>
            </w:r>
          </w:p>
        </w:tc>
        <w:tc>
          <w:tcPr>
            <w:tcW w:w="2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 years</w:t>
            </w:r>
          </w:p>
        </w:tc>
      </w:tr>
      <w:tr>
        <w:trPr>
          <w:trHeight w:val="243"/>
        </w:trPr>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free interest rate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9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forfeiture rate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9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expected term is derived from using the simplified method of determining stock option terms as described under the Staff Accounting Bulletin Topic 14,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simplified method was used because sufficient historical stock option exercise experience was not available,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transformation of the management structure over the past several years.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average risk-free interest rate is derived from United States Department of Treasury published interest rates of daily yield curves for the same time period as the expected term.</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expected volatility rate is derived from our actual common stock historical volatility over the same time period as the expected term. The volatility rate is derived by mathematical formula utilizing daily closing price data.</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forfeiture rate is determined from examining the historical pre-vesting forfeiture patterns of past option issuances to key employees. While the forfeiture rate is not an input of the Black Scholes model for determining the fair value of the options, it is an important determinant of stock option compensation expense to be recorded.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March 31, 2019.</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8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Borders>
              <w:bottom w:val="single" w:sz="8" w:color="CCEEFF"/>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 or expired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5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13.58</w:t>
            </w: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BFE4FF"/>
              <w:bottom w:val="single" w:sz="8" w:color="BFE4FF"/>
            </w:tcBorders>
            <w:shd w:val="clear" w:color="auto" w:fill="BFE4FF"/>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 at March 31, 2019</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gridSpan w:val="2"/>
            <w:vMerge w:val="continue"/>
          </w:tcPr>
          <w:p>
            <w:pPr>
              <w:spacing w:after="0"/>
              <w:rPr>
                <w:sz w:val="21"/>
                <w:szCs w:val="21"/>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14.27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54" w:lineRule="exact"/>
        <w:rPr>
          <w:sz w:val="20"/>
          <w:szCs w:val="20"/>
          <w:color w:val="auto"/>
        </w:rPr>
      </w:pPr>
    </w:p>
    <w:p>
      <w:pPr>
        <w:ind w:left="660" w:right="2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the sum of intrinsic values for each exercisable individual option grant. The intrinsic value is the amount by which the closing market price of our stock at March 31, 2019, was greater than the exercise price of any individual option grant.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2019, we granted 281,065 restricted stock awards to non-executive directors, officers and certain other key employees. The shares of restricted stock granted during the three months ended March 31, 2019, vest pro-rata over three years for officers and certain other key employees and over one year for non-executive directors. We determined the fair value of the shares awarded by using the closing price of our common stock as of the date of grant. The weighted average grant date value of restricted stock granted in the three months ended March 31, 2019, was $7.93 per share. Total grant-date fair value of restricted stock that vested in the three months ended March 31, 2019, was $1.5 million.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unvested restricted stock awards as of March 31, 2019, and changes during the three months then ended.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32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January 1, 2019</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146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281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March 31, 2019</w:t>
            </w:r>
          </w:p>
        </w:tc>
        <w:tc>
          <w:tcPr>
            <w:tcW w:w="13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339</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 awards granted in 2019 were made pursuant to the NN, Inc. 2016 Omnibus Incentive Plan and a Performance Share Unit Agreement (the “2016 Omnibus Agreement”). Some PSUs are based on total shareholder return (“TSR Awards”), and other PSUs are based on return on invested capital (“ROIC Awards”).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2016 Omnibus Agreement. The ROIC Awards vest, if at all, upon our achieving a specified average return on invested capital during the performance periods. Each performance period generally begins on January 1 of the year of grant and ends 36 months later on December 31.</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executive officer’s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goals with respect to TSR Awards and ROIC Awards granted in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2000" w:type="dxa"/>
            <w:vAlign w:val="bottom"/>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60"/>
        </w:trPr>
        <w:tc>
          <w:tcPr>
            <w:tcW w:w="3980" w:type="dxa"/>
            <w:vAlign w:val="bottom"/>
            <w:gridSpan w:val="4"/>
            <w:vMerge w:val="continue"/>
          </w:tcPr>
          <w:p>
            <w:pPr>
              <w:spacing w:after="0"/>
              <w:rPr>
                <w:sz w:val="13"/>
                <w:szCs w:val="13"/>
                <w:color w:val="auto"/>
              </w:rPr>
            </w:pPr>
          </w:p>
        </w:tc>
        <w:tc>
          <w:tcPr>
            <w:tcW w:w="2000" w:type="dxa"/>
            <w:vAlign w:val="bottom"/>
          </w:tcPr>
          <w:p>
            <w:pPr>
              <w:jc w:val="center"/>
              <w:ind w:left="364"/>
              <w:spacing w:after="0" w:line="160" w:lineRule="exact"/>
              <w:rPr>
                <w:sz w:val="20"/>
                <w:szCs w:val="20"/>
                <w:color w:val="auto"/>
              </w:rPr>
            </w:pPr>
            <w:r>
              <w:rPr>
                <w:rFonts w:ascii="Times New Roman" w:cs="Times New Roman" w:eastAsia="Times New Roman" w:hAnsi="Times New Roman"/>
                <w:sz w:val="14"/>
                <w:szCs w:val="14"/>
                <w:b w:val="1"/>
                <w:bCs w:val="1"/>
                <w:color w:val="auto"/>
              </w:rPr>
              <w:t>(50% of Shares)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(100% of Shares)</w:t>
            </w:r>
          </w:p>
        </w:tc>
        <w:tc>
          <w:tcPr>
            <w:tcW w:w="2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grants</w:t>
            </w:r>
          </w:p>
        </w:tc>
        <w:tc>
          <w:tcPr>
            <w:tcW w:w="2000" w:type="dxa"/>
            <w:vAlign w:val="bottom"/>
            <w:tcBorders>
              <w:bottom w:val="single" w:sz="8" w:color="CCEEFF"/>
            </w:tcBorders>
            <w:shd w:val="clear" w:color="auto" w:fill="CCEEFF"/>
          </w:tcPr>
          <w:p>
            <w:pPr>
              <w:jc w:val="center"/>
              <w:ind w:left="364"/>
              <w:spacing w:after="0"/>
              <w:rPr>
                <w:sz w:val="20"/>
                <w:szCs w:val="20"/>
                <w:color w:val="auto"/>
              </w:rPr>
            </w:pPr>
            <w:r>
              <w:rPr>
                <w:rFonts w:ascii="Times New Roman" w:cs="Times New Roman" w:eastAsia="Times New Roman" w:hAnsi="Times New Roman"/>
                <w:sz w:val="18"/>
                <w:szCs w:val="18"/>
                <w:color w:val="auto"/>
                <w:w w:val="99"/>
              </w:rPr>
              <w:t>35th Percentile</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50th Percentile</w:t>
            </w:r>
          </w:p>
        </w:tc>
        <w:tc>
          <w:tcPr>
            <w:tcW w:w="2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75th Percentile</w:t>
            </w:r>
          </w:p>
        </w:tc>
        <w:tc>
          <w:tcPr>
            <w:tcW w:w="0" w:type="dxa"/>
            <w:vAlign w:val="bottom"/>
          </w:tcPr>
          <w:p>
            <w:pPr>
              <w:spacing w:after="0"/>
              <w:rPr>
                <w:sz w:val="1"/>
                <w:szCs w:val="1"/>
                <w:color w:val="auto"/>
              </w:rPr>
            </w:pPr>
          </w:p>
        </w:tc>
      </w:tr>
      <w:tr>
        <w:trPr>
          <w:trHeight w:val="434"/>
        </w:trPr>
        <w:tc>
          <w:tcPr>
            <w:tcW w:w="3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ROIC Awards:</w:t>
            </w:r>
          </w:p>
        </w:tc>
        <w:tc>
          <w:tcPr>
            <w:tcW w:w="2000" w:type="dxa"/>
            <w:vAlign w:val="bottom"/>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60"/>
        </w:trPr>
        <w:tc>
          <w:tcPr>
            <w:tcW w:w="3980" w:type="dxa"/>
            <w:vAlign w:val="bottom"/>
            <w:gridSpan w:val="4"/>
            <w:vMerge w:val="continue"/>
          </w:tcPr>
          <w:p>
            <w:pPr>
              <w:spacing w:after="0"/>
              <w:rPr>
                <w:sz w:val="13"/>
                <w:szCs w:val="13"/>
                <w:color w:val="auto"/>
              </w:rPr>
            </w:pPr>
          </w:p>
        </w:tc>
        <w:tc>
          <w:tcPr>
            <w:tcW w:w="2000" w:type="dxa"/>
            <w:vAlign w:val="bottom"/>
          </w:tcPr>
          <w:p>
            <w:pPr>
              <w:jc w:val="center"/>
              <w:ind w:left="364"/>
              <w:spacing w:after="0" w:line="160" w:lineRule="exact"/>
              <w:rPr>
                <w:sz w:val="20"/>
                <w:szCs w:val="20"/>
                <w:color w:val="auto"/>
              </w:rPr>
            </w:pPr>
            <w:r>
              <w:rPr>
                <w:rFonts w:ascii="Times New Roman" w:cs="Times New Roman" w:eastAsia="Times New Roman" w:hAnsi="Times New Roman"/>
                <w:sz w:val="14"/>
                <w:szCs w:val="14"/>
                <w:b w:val="1"/>
                <w:bCs w:val="1"/>
                <w:color w:val="auto"/>
              </w:rPr>
              <w:t>(35% of Shares)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(100% of Shares)</w:t>
            </w:r>
          </w:p>
        </w:tc>
        <w:tc>
          <w:tcPr>
            <w:tcW w:w="2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980" w:type="dxa"/>
            <w:vAlign w:val="bottom"/>
            <w:gridSpan w:val="4"/>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2019 grants </w:t>
            </w:r>
            <w:r>
              <w:rPr>
                <w:rFonts w:ascii="Times New Roman" w:cs="Times New Roman" w:eastAsia="Times New Roman" w:hAnsi="Times New Roman"/>
                <w:sz w:val="25"/>
                <w:szCs w:val="25"/>
                <w:color w:val="auto"/>
                <w:vertAlign w:val="superscript"/>
              </w:rPr>
              <w:t>(1)</w:t>
            </w:r>
          </w:p>
        </w:tc>
        <w:tc>
          <w:tcPr>
            <w:tcW w:w="200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ROIC Awards granted in 2019, the denominator of the calculation is different than in prior years, and therefore the target percentages are not comparable to historical target percentages.</w:t>
      </w:r>
    </w:p>
    <w:p>
      <w:pPr>
        <w:spacing w:after="0" w:line="5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We estimate the grant date fair value of TSR Awards using the Monte Carlo simulation model, as the total shareholder return metric is considered a market condition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grant date fair value of ROIC Awards is based on the closing price of a share of our common stock on the date of grant.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number of awards granted and the grant date fair value of each award in the period presented.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1282"/>
              <w:spacing w:after="0"/>
              <w:rPr>
                <w:sz w:val="20"/>
                <w:szCs w:val="20"/>
                <w:color w:val="auto"/>
              </w:rPr>
            </w:pPr>
            <w:r>
              <w:rPr>
                <w:rFonts w:ascii="Times New Roman" w:cs="Times New Roman" w:eastAsia="Times New Roman" w:hAnsi="Times New Roman"/>
                <w:sz w:val="14"/>
                <w:szCs w:val="14"/>
                <w:b w:val="1"/>
                <w:bCs w:val="1"/>
                <w:color w:val="auto"/>
              </w:rPr>
              <w:t>ROIC Awards</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5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Award Year</w:t>
            </w: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20" w:type="dxa"/>
            <w:vAlign w:val="bottom"/>
            <w:gridSpan w:val="2"/>
            <w:vMerge w:val="continue"/>
          </w:tcPr>
          <w:p>
            <w:pPr>
              <w:spacing w:after="0"/>
              <w:rPr>
                <w:sz w:val="16"/>
                <w:szCs w:val="16"/>
                <w:color w:val="auto"/>
              </w:rPr>
            </w:pPr>
          </w:p>
        </w:tc>
        <w:tc>
          <w:tcPr>
            <w:tcW w:w="13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5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42"/>
        </w:trPr>
        <w:tc>
          <w:tcPr>
            <w:tcW w:w="39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6"/>
              </w:rPr>
              <w:t>136</w:t>
            </w:r>
          </w:p>
        </w:tc>
        <w:tc>
          <w:tcPr>
            <w:tcW w:w="1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unvested PSUs as of March 31, 2019, and changes during the three months then ended.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56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Nonvested TSR Awards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Nonvested ROIC Awards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260" w:type="dxa"/>
            <w:vAlign w:val="bottom"/>
          </w:tcPr>
          <w:p>
            <w:pPr>
              <w:spacing w:after="0"/>
              <w:rPr>
                <w:sz w:val="12"/>
                <w:szCs w:val="12"/>
                <w:color w:val="auto"/>
              </w:rPr>
            </w:pPr>
          </w:p>
        </w:tc>
        <w:tc>
          <w:tcPr>
            <w:tcW w:w="146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January 1, 2019</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174</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March 31, 2019</w:t>
            </w:r>
          </w:p>
        </w:tc>
        <w:tc>
          <w:tcPr>
            <w:tcW w:w="13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274</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15. Net Income (Loss) Per Share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4"/>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9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7"/>
        </w:trPr>
        <w:tc>
          <w:tcPr>
            <w:tcW w:w="55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41,972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27,597</w:t>
            </w:r>
          </w:p>
        </w:tc>
        <w:tc>
          <w:tcPr>
            <w:tcW w:w="0" w:type="dxa"/>
            <w:vAlign w:val="bottom"/>
          </w:tcPr>
          <w:p>
            <w:pPr>
              <w:spacing w:after="0"/>
              <w:rPr>
                <w:sz w:val="1"/>
                <w:szCs w:val="1"/>
                <w:color w:val="auto"/>
              </w:rPr>
            </w:pPr>
          </w:p>
        </w:tc>
      </w:tr>
      <w:tr>
        <w:trPr>
          <w:trHeight w:val="27"/>
        </w:trPr>
        <w:tc>
          <w:tcPr>
            <w:tcW w:w="55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41,972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27,597</w:t>
            </w:r>
          </w:p>
        </w:tc>
        <w:tc>
          <w:tcPr>
            <w:tcW w:w="0" w:type="dxa"/>
            <w:vAlign w:val="bottom"/>
          </w:tcPr>
          <w:p>
            <w:pPr>
              <w:spacing w:after="0"/>
              <w:rPr>
                <w:sz w:val="1"/>
                <w:szCs w:val="1"/>
                <w:color w:val="auto"/>
              </w:rPr>
            </w:pPr>
          </w:p>
        </w:tc>
      </w:tr>
      <w:tr>
        <w:trPr>
          <w:trHeight w:val="67"/>
        </w:trPr>
        <w:tc>
          <w:tcPr>
            <w:tcW w:w="5560" w:type="dxa"/>
            <w:vAlign w:val="bottom"/>
            <w:tcBorders>
              <w:bottom w:val="single" w:sz="8" w:color="CCEEFF"/>
            </w:tcBorders>
            <w:gridSpan w:val="2"/>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Per common share net loss:</w:t>
            </w: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Basic net loss per share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7"/>
        </w:trPr>
        <w:tc>
          <w:tcPr>
            <w:tcW w:w="55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0.07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calculation of diluted net loss per share for the three months ended March 31, 2019 and 2018, excludes 0.7 million and 0.5 million potentially dilutive stock options, which had the effect of being anti-dilutive. Given the net loss for the three months ended March 31, 2019 and 2018, all options are considered anti-dilutive and were excluded from the calculation of diluted net loss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2018 Annual Report.</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derivatives, and long-term debt. As of March 31, 2019, the carrying values of these financial instruments approximated fair value. The fair value of floating-rate debt approximates the carrying amount because the interest rates paid are based on short-term maturities. As of March 31, 2019, we had $10.6 million fixed-rate debt outstanding included in the “International lines of credit and other loans” line item within Note 9 to these Notes to Condensed Consolidated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Financial Statements. These fair values represent Level 2 under the three-tier hierarchy described above. Due to the nature of these loans, fair value approximates book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7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We manage our exposure to fluctuations in interest rates using a mix of fixed and variable rate debt. On February 8, 2019, we entered into a $700.0 million fixed-rate interest rate swap agreement that changed the LIBOR-based portion of the interest rate on a portion of our variable rate debt to a fixed rate of 2.4575% (the “interest rate swap”). The term of the interest rate swap is from the effective date of February 12, 2019, through the termination date of October 19, 2022 (the “interest rate swap term”). The interest rate swap effectively mitigates our exposures to the risks and variability of changes in LIBOR.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 of the interest rate swap will decrease over the interest rate swap term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Notional Amount</w:t>
            </w:r>
          </w:p>
        </w:tc>
      </w:tr>
      <w:tr>
        <w:trPr>
          <w:trHeight w:val="249"/>
        </w:trPr>
        <w:tc>
          <w:tcPr>
            <w:tcW w:w="7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1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 December 30,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700,000</w:t>
            </w:r>
          </w:p>
        </w:tc>
      </w:tr>
      <w:tr>
        <w:trPr>
          <w:trHeight w:val="243"/>
        </w:trPr>
        <w:tc>
          <w:tcPr>
            <w:tcW w:w="7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December 30,</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466,667</w:t>
            </w:r>
          </w:p>
        </w:tc>
      </w:tr>
      <w:tr>
        <w:trPr>
          <w:trHeight w:val="27"/>
        </w:trPr>
        <w:tc>
          <w:tcPr>
            <w:tcW w:w="896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8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2021 - October 19,</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233,333</w:t>
            </w:r>
          </w:p>
        </w:tc>
      </w:tr>
      <w:tr>
        <w:trPr>
          <w:trHeight w:val="27"/>
        </w:trPr>
        <w:tc>
          <w:tcPr>
            <w:tcW w:w="7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objective of the interest rate swap is to eliminate the variability of cash flows in interest payments on the first $700.0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If one-month LIBOR is greater than the minimum percentage under the Senior Secured Term Loan, the changes in cash flows of the interest rate swap are expected to exactly offset changes in cash flows of the variable rate debt. The interest rate swap is designated as a cash flow hedge.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we reported $3.9 million loss , net of tax, in accumulated other comprehensive income related to the interest rate swap.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liabilities measured at fair value on a recurring basis for the interest rate swap as of March 31, 2019.</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6"/>
          </w:tcPr>
          <w:p>
            <w:pPr>
              <w:jc w:val="center"/>
              <w:ind w:left="981"/>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2019</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540" w:type="dxa"/>
            <w:vAlign w:val="bottom"/>
          </w:tcPr>
          <w:p>
            <w:pPr>
              <w:spacing w:after="0"/>
              <w:rPr>
                <w:sz w:val="12"/>
                <w:szCs w:val="12"/>
                <w:color w:val="auto"/>
              </w:rPr>
            </w:pPr>
          </w:p>
        </w:tc>
        <w:tc>
          <w:tcPr>
            <w:tcW w:w="1160" w:type="dxa"/>
            <w:vAlign w:val="bottom"/>
          </w:tcPr>
          <w:p>
            <w:pPr>
              <w:jc w:val="center"/>
              <w:ind w:right="4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20" w:type="dxa"/>
            <w:vAlign w:val="bottom"/>
          </w:tcPr>
          <w:p>
            <w:pPr>
              <w:spacing w:after="0"/>
              <w:rPr>
                <w:sz w:val="21"/>
                <w:szCs w:val="21"/>
                <w:color w:val="auto"/>
              </w:rPr>
            </w:pPr>
          </w:p>
        </w:tc>
        <w:tc>
          <w:tcPr>
            <w:tcW w:w="17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contracts is a highly rated financial institution which we believe carries only a minimal risk of nonperformance.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we had no interest rate swap agreements outstanding.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Tennessee Shared Service Center Closure</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April 18, 2019, we announced the closure of our shared service center in Johnson City, Tennessee, effective at the end of June 2019. Closure of the Tennessee shared service center aligns with our focus on operating excellence and efficiency and is not expected to have a material impact on our financial statements.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the terms “NN,” the “Company,” “we,” “our,” or “us” refer to NN, Inc., and its subsidiaries. As of March 31, 2019, we had 51 facilities in North America, Europe, South America, and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 titled “Item 1A. Risk Factors” in our 2018 Annual Report on Form 10-K for the fiscal year ended December 31, 2018, which we filed with the SEC on March 18, 2019 (the “2018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three months ended March 31, 2019, that management believes are important to provide an understanding of the business and results of operations, or that may influence operations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Structure</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2018, we implemented a new enterprise and management structure designed to accelerate growth and further balance our portfolio by aligning our strategic assets and businesses. Our businesses were reorganized into the Mobile Solutions, Power Solutions, and Life Sciences groups and are based principally on the end markets they serve. Mobile Solutions is focused on growth in the general industrial and automotive end markets. Power Solutions is focused on growth in the electrical and aerospace and defense end markets. Life Sciences is focused on growth in the medical end market.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117"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In February 2018, we acquired 100% of the assets of Bridgemedica, LLC (“Bridgemedica”). Bridgemedica is a medical device company that provides concept to supply solutions through design, development engineering, and manufacturing. Operating results of Bridgemedica are reported in our Life Sciences group.</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May 2018, we acquired 100% of the stock of PMG Intermediate Holding Corporation, the parent company of Paragon Medical, Inc. (“Paragon Medical”). Paragon Medical is a medical device manufacturer which focuses on the orthopedic, case and tray, implant, and instrument markets. Operating results of Paragon Medical are reported in our Life Sciences group.</w:t>
      </w:r>
    </w:p>
    <w:p>
      <w:pPr>
        <w:spacing w:after="0" w:line="6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August 2018, we acquired 100% of the capital stock of Southern California Technical Arts, Inc. (“Technical Arts”). Technical Arts is an industrial machining company that manufactures tight tolerance metal components and assemblies. The acquisition of Technical Arts expands our presence in the aerospace and defense end market. Operating results of Technical Arts are reported in our Power Solutions group.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2019, compared to the Three Months Ended March 31,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4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169,148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44,108</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55,224</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(7,999)</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(2,820)</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Price/mix/inflation/other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(297)</w:t>
            </w:r>
          </w:p>
        </w:tc>
      </w:tr>
      <w:tr>
        <w:trPr>
          <w:trHeight w:val="225"/>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separately below)</w:t>
            </w: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161,269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126,444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34,825</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37,862</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(4,300)</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(2,346)</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Cost reduction projects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(3,008)</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Inflation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1,691</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Mix/other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4,926</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5,948</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5"/>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related costs excluded from selling, general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expense</w:t>
            </w: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9,144</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integration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1,805</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2,699</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1,042</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05"/>
        </w:trPr>
        <w:tc>
          <w:tcPr>
            <w:tcW w:w="52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before (provision) benefit for income taxes and share of net</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$44.1 million, or 26%, in the three months ended March 31, 2019 compared to the three months ended March 31,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$55.2 million of net sales attributable to the 2018 business acquisitions. The increase in sales was partially offset by a decrease in volume of $8.0 million, primarily as a result of lower demand within the automotive end market as well as unfavorable foreign exchange effects of $2.8 million, primarily in Brazil.</w:t>
      </w:r>
    </w:p>
    <w:p>
      <w:pPr>
        <w:spacing w:after="0" w:line="7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$34.8 million, or 28%, in the three months ended March 31, 2019 compared to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primarily due to $37.9 million in cost of sales attributable to the 2018 business acquisitions. The increase in cost of sales was partially offset by lower volume of $4.3 million, consistent with the decrease in sales demand. The increase in cost of sales was also partially offset by favorable foreign exchange effects of $2.3 million and $3.0 million in cost savings from production process improvement projects. Inflation and wage increases contributed $1.7 million to the increase in cost of sales.</w:t>
      </w:r>
    </w:p>
    <w:p>
      <w:pPr>
        <w:spacing w:after="0" w:line="7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$5.9 million during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compared to the three months ended March 31, 2018, primarily due to the 2018 business</w:t>
      </w:r>
    </w:p>
    <w:p>
      <w:pPr>
        <w:sectPr>
          <w:pgSz w:w="11900" w:h="16838" w:orient="portrait"/>
          <w:cols w:equalWidth="0" w:num="1">
            <w:col w:w="11360"/>
          </w:cols>
          <w:pgMar w:left="240" w:top="121" w:right="299" w:bottom="1440" w:gutter="0" w:footer="0" w:header="0"/>
        </w:sectPr>
      </w:pP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121" w:right="29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acquisitions which collectively contributed $5.0 million to selling, general and administrative expense during the three months ended March 31, 2019. Infrastructure and staffing costs incurred related to our strategic initiatives, including integration of recent acquisitions and a global implementation of an enterprise resource planning (“ERP”) system, also contributed to the increase. These increases were partially offset by lower costs for professional services as a result of our strategic initiatives.</w:t>
      </w:r>
    </w:p>
    <w:p>
      <w:pPr>
        <w:spacing w:after="0" w:line="7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 Related Costs Excluded from Selling, General and Administrative Expense. </w:t>
      </w:r>
      <w:r>
        <w:rPr>
          <w:rFonts w:ascii="Times New Roman" w:cs="Times New Roman" w:eastAsia="Times New Roman" w:hAnsi="Times New Roman"/>
          <w:sz w:val="18"/>
          <w:szCs w:val="18"/>
          <w:color w:val="auto"/>
        </w:rPr>
        <w:t>Acquisition related costs decreased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2019, compared to the three months ended March 31, 2018, as there was no business acquisition activity during the three months ended March 31, 2019. The three months ended March 31, 2018, included professional service costs incurred in connection with the 2018 business acquisitions.</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during the three months ended March 31, 2019,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2018, consistent with additions to intangible assets and property, plant and equipment, including $8.9 million from the 2018 business acquisitions. The increase in depreciation and amortization includes the effects of related fair value adjustments to certain property, plant and equipment and the addition of intangible assets, principally for customer relationships and trade names.</w:t>
      </w:r>
    </w:p>
    <w:p>
      <w:pPr>
        <w:spacing w:after="0" w:line="72"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Expense, Net. </w:t>
      </w:r>
      <w:r>
        <w:rPr>
          <w:rFonts w:ascii="Times New Roman" w:cs="Times New Roman" w:eastAsia="Times New Roman" w:hAnsi="Times New Roman"/>
          <w:sz w:val="18"/>
          <w:szCs w:val="18"/>
          <w:color w:val="auto"/>
        </w:rPr>
        <w:t>Other operating income, net, decreased during the three months ended March 31, 2019,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2018, primarily due to a $0.2 million net gain on the sale of property, plant and equipment.</w:t>
      </w:r>
    </w:p>
    <w:p>
      <w:pPr>
        <w:spacing w:after="0" w:line="5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and Integration Expense. </w:t>
      </w:r>
      <w:r>
        <w:rPr>
          <w:rFonts w:ascii="Times New Roman" w:cs="Times New Roman" w:eastAsia="Times New Roman" w:hAnsi="Times New Roman"/>
          <w:sz w:val="18"/>
          <w:szCs w:val="18"/>
          <w:color w:val="auto"/>
        </w:rPr>
        <w:t>Restructuring and integration expense decreased during the three months ended March 31, 2019,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2018, primarily due to employee severance costs incurred in connection with implementing our new enterprise and management structure in 2018. Note 11 in the Notes to Condensed Consolidated Financial Statements provides more information regarding the effects of restructuring and integration on our operating results.</w:t>
      </w:r>
    </w:p>
    <w:p>
      <w:pPr>
        <w:spacing w:after="0" w:line="72"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$1.8 million during the three months ended March 31, 2019, compared to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primarily due to an increased balance in our Senior Secured Revolver as well as a higher variable interest rate. The increase was partially offset by the fixed-rate interest rate swap entered into in February 2019, which reduced the variability in the interest expense.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debt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13,119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1,088</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interest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13,801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and Write-off of Unamortized Debt Issuance Costs. </w:t>
      </w:r>
      <w:r>
        <w:rPr>
          <w:rFonts w:ascii="Times New Roman" w:cs="Times New Roman" w:eastAsia="Times New Roman" w:hAnsi="Times New Roman"/>
          <w:sz w:val="18"/>
          <w:szCs w:val="18"/>
          <w:color w:val="auto"/>
        </w:rPr>
        <w:t>Loss on extinguishment of debt and write-off of unamortized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costs increased during the three months ended March 31, 2019, compared to the three months ended March 31, 2018, due to costs written off due to the March 2019 amendment to the credit facility.</w:t>
      </w:r>
    </w:p>
    <w:p>
      <w:pPr>
        <w:spacing w:after="0" w:line="6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Provision/Benefit for Income Taxes. </w:t>
      </w:r>
      <w:r>
        <w:rPr>
          <w:rFonts w:ascii="Times New Roman" w:cs="Times New Roman" w:eastAsia="Times New Roman" w:hAnsi="Times New Roman"/>
          <w:sz w:val="18"/>
          <w:szCs w:val="18"/>
          <w:color w:val="auto"/>
        </w:rPr>
        <w:t>Our effective tax rate was (13.5)% for the three months ended March 31, 2019, compared to 14.7%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2018. Note 8 in the Notes to Condensed Consolidated Financial Statements describes the components of income taxes for each period presented.</w:t>
      </w:r>
    </w:p>
    <w:p>
      <w:pPr>
        <w:spacing w:after="0" w:line="65"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Our share of net income from a Chinese joint venture in our Mobile Solutions group decreased by $0.6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price and volume decreases resulting from reduced demand in the Chinese automotive market.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6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4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78,075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89,794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(11,719)</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jc w:val="right"/>
              <w:ind w:right="394"/>
              <w:spacing w:after="0"/>
              <w:rPr>
                <w:sz w:val="20"/>
                <w:szCs w:val="20"/>
                <w:color w:val="auto"/>
              </w:rPr>
            </w:pPr>
            <w:r>
              <w:rPr>
                <w:rFonts w:ascii="Times New Roman" w:cs="Times New Roman" w:eastAsia="Times New Roman" w:hAnsi="Times New Roman"/>
                <w:sz w:val="18"/>
                <w:szCs w:val="18"/>
                <w:i w:val="1"/>
                <w:i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(9,529)</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(2,642)</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Price/mix/inflation/other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452</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(5,678)</w:t>
            </w:r>
          </w:p>
        </w:tc>
        <w:tc>
          <w:tcPr>
            <w:tcW w:w="86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sales decreased during the during the three months ended March 31, 2019, compared to the three months ended March 31, 2018, primarily due to reduced demand within the North American and Chinese automotive markets, unfavorable foreign exchange effects, and the impact of reduced demand for components associated with programs nearing the end of life.</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$5.7 million compared to prior year due to lost variable margin on the above-referenced sales volume decline and costs associated with the launch of new fuel systems business within our European operations. These unfavorable impacts were partially offset by fixed cost reduction actions taken in response to the decline in sales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49,657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48,682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975</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ind w:right="434"/>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1,612</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359</w:t>
            </w:r>
          </w:p>
        </w:tc>
      </w:tr>
      <w:tr>
        <w:trPr>
          <w:trHeight w:val="24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(178)</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Price/mix/inflation/other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(818)</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(1,409)</w:t>
            </w:r>
          </w:p>
        </w:tc>
        <w:tc>
          <w:tcPr>
            <w:tcW w:w="800" w:type="dxa"/>
            <w:vAlign w:val="bottom"/>
          </w:tcPr>
          <w:p>
            <w:pPr>
              <w:spacing w:after="0"/>
              <w:rPr>
                <w:sz w:val="21"/>
                <w:szCs w:val="21"/>
                <w:color w:val="auto"/>
              </w:rPr>
            </w:pPr>
          </w:p>
        </w:tc>
      </w:tr>
    </w:tbl>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Net sales increased during the during the three months ended March 31, 2019, compared to the three months ended March 31, 2018, primarily due to growth in sales to customers in the electrical products end market. Sales from the Technical Arts business, acquired in August 2018, contributed $1.6 million to the current quarter.</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from operations decreased by $1.4 million compared to prior year primarily due to higher selling, general and administrative expenses associated with the 2018 business group resegmentation.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SCIENCES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4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86,008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31,200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54,808</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374"/>
              <w:spacing w:after="0"/>
              <w:rPr>
                <w:sz w:val="20"/>
                <w:szCs w:val="20"/>
                <w:color w:val="auto"/>
              </w:rPr>
            </w:pPr>
            <w:r>
              <w:rPr>
                <w:rFonts w:ascii="Times New Roman" w:cs="Times New Roman" w:eastAsia="Times New Roman" w:hAnsi="Times New Roman"/>
                <w:sz w:val="18"/>
                <w:szCs w:val="18"/>
                <w:i w:val="1"/>
                <w:i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53,612</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1,171</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Price/mix/inflation/other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25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(358)</w:t>
            </w:r>
          </w:p>
        </w:tc>
        <w:tc>
          <w:tcPr>
            <w:tcW w:w="88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sales increased during the three months ended March 31, 2019, compared to the three months ended March 31, 2018, primarily due to $53.6 million of net sales attributable to the Paragon Medical and Bridgemedica acquisitions as well as a $1.2 million increase in core volume.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from operations decreased by $0.4 million compared to prior year primarily due to higher costs associated with the integration and transfer of production between legacy and acquired businesses, higher compensation-related expenses for personnel additions associated with management establishing a platform for future growth within the Life Sciences group, and higher selling, general and administrative expenses associated with the 2018 business group resegmentation. The decrease was partially offset by $3.8 million of income from operations attributable to the Paragon Medical and Bridgemedica acquisitions.</w:t>
      </w:r>
    </w:p>
    <w:p>
      <w:pPr>
        <w:sectPr>
          <w:pgSz w:w="11900" w:h="16838" w:orient="portrait"/>
          <w:cols w:equalWidth="0" w:num="1">
            <w:col w:w="11400"/>
          </w:cols>
          <w:pgMar w:left="240" w:top="121" w:right="25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 from December 31, 2018, to March 31, 2019</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December 31, 2018, to March 31, 2019, total assets increased by $79.4 million primarily due to the initial recognition of operating lease assets as of January 1, 2019, pursuant to ASC 842. Overall, accounts receivable increased consistently with sales growth. Inventories increased as our plants prepare for second quarter sales. Days inventory outstanding decreased by approximately two days as our businesses met expected customer demand on a timely basis and due to managing procurement based on market price projections.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December 31, 2018, to March 31, 2019, total liabilities increased by $102.8 million, primarily due to the initial recognition of operating lease liabilities as of January 1, 2019, pursuant to ASC 842, an increased balance in our Senior Secured Revolver used to fund operations, and recognition of the fair value of the interest rate swap.</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Working capital, which consists principally of cash, accounts receivable, inventories, and other current assets offset by accounts payable, accrued payroll costs, income taxes payable, current maturities of long-term debt, current portion of lease liabilities, and other current liabilities, was $149.3 million as of March 31, 2019, compared to $151.8 million as of December 31, 2018. The decrease in working capital was due primarily to the increase in accounts receivable and inventories consistent with our sales growth offset by an increase in accounts payable due to inventory growth, and the initial recognition of operating lease liabilities.</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used by operations was $2.7 million for the three months ended March 31, 2019, compared with cash used by operations of $1.0 million for the three months ended March 31, 2018. The difference was primarily due to higher interest payments during the three months ended March 31, 2019 compared to the three months ended March 31, 2018.</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was $3.7 million for the three months ended March 31, 2019, compared with cash used by investing activities of $32.8 million for the three months ended March 31, 2018. The decrease was primarily due to cash received from the liquidation of the short-term investment during 2019 and cash paid in 2018 for the 2018 business acquisitions. These decreases were partially offset by an increase in investment in property, plant and equipment during the three months ended March 31, 2019.</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$8.9 million for the three months ended March 31, 2019, compared with cash used by financing activities of $6.3 million for the three months ended March 31, 2018. The difference was primarily due to an increase in net borrowings under our credit facility for the three months ended March 31, 2019.</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2018, as a result of our annual goodwill impairment analysis performed during the fourth quarter of 2018, we recorded an impairment of $109.1 million in our Power Solutions group. After the impairment, Power Solutions reported a goodwill balance of $94.5 million at December 31, 2018. Given the carrying value of the Power Solutions reporting unit was equal to its fair value at December 31, 2018 as a result of the 2018 goodwill impairment, if actual performance of the Power Solutions reporting unit falls short of expected results, additional material impairment charges may be required. During the first quarter of 2019, we reassessed the relevant facts and circumstances and concluded there was no impairment during the period. We will continue to monitor and assess Power Solutions during 2019.</w:t>
      </w:r>
    </w:p>
    <w:p>
      <w:pPr>
        <w:spacing w:after="0" w:line="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Based on the closing price of a share of our common stock as of March 31, 2019, our market capitalization had declined to a level that is less than the net book value of our stockholders’ equity. A prolonged or significant decline in market capitalization could be an indicator of additional goodwill impairment. Given the increase in our market capitalization subsequent to March 31, 2019, and factoring in a reasonable control premium, we concluded that our market capitalization was not an indication of additional goodwill impairment. We will continue to monitor our market capitalization to determine if an indicator of impairment exists in subsequent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March 31, 2019, we had $20.3 million of cash and $56.7 million of unused borrowing capacity under our Senior Secured Revolver. We believe that these sources of cash and funds generated from our consolidated operations will provide sufficient cash flow to service the required debt and interest payments under our existing credit facility and to fund our operating activities, capital expenditure requirements, and dividend payments.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arrangements with customers typically provide that payments are due within 30 to 60 days following the date of shipment. 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is elevated. Various strategies to manage this risk are available to management, including producing and selling in local currencies and hedging programs. As of March 31, 2019, no currency derivatives were in place. In addition, a strengthening of the U.S. dollar</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euro against foreign currencies could impair our ability to compete with international competitors for foreign as well as domestic sales.</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next twelve months, we expect the sum of capital expenditures and assets procured under finance leases to remain relatively consistent with 2018 spending levels, the majority of which relate to new or expanded business or continuous improvement programs. We believe that funds generated from continuing operations and borrowings from the Senior Secured Revolver will be sufficient to finance capital expenditures and working capital needs through this period. We base these assertions on current unused borrowing capacity under our Senior Secured Revolver of $56.7 million and forecasted positive cash flow from operations for the next twelve months.</w:t>
      </w:r>
    </w:p>
    <w:p>
      <w:pPr>
        <w:spacing w:after="0" w:line="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2016, voters in the United Kingdom approved an advisory referendum to withdraw from the European Union, commonly referred to as “Brexit.” The uncertainty surrounding the terms of the United Kingdom’s withdrawal and the timing (deadline to leave was extended to October 31, 2019), could adversely impact consumer and investor confidence, and the level of consumer purchases of discretionary items and retail products, including our products. Any of these effects, among others, could materially adversely affect our business, results of operations, and financial condition. We will continue to monitor and evaluate the potential effect Brexit has on our business, results of operations, and financial condition.</w:t>
      </w:r>
    </w:p>
    <w:p>
      <w:pPr>
        <w:spacing w:after="0" w:line="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February 8, 2019, we entered into a $700.0 million fixed-rate interest rate swap agreement (the “interest rate swap”)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16 in the Notes to Condensed Consolidated Financial Statements for further discussion about the interest rate swap.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Aggregate principal amounts outstanding under our Senior Secured Term Loan, Incremental Term Loan, and Senior Secured Revolver as of March 31, 2019, were $862.8 million (without regard to unamortized debt issuance costs). As of March 31, 2019, we had unused borrowing capacity of $56.7 million under the Senior Secured Revolver, subject to certain limitations. This amount of borrowing capacity is net of $12.1 million of outstanding letters of credit at March 31, 2019, which are considered as usage of the Senior Secured Revolver.</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Collectively, our Senior Secured Term Loan, Incremental Term Loan, and Senior Secured Revolver comprise our credit facility. Total available capacity under the Senior Secured Revolver was $125.0 million as of March 31, 2019. The Senior Secured Revolver matures on October 19, 2020.</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Senior Secured Term Loan requires quarterly principal payments of $1.4 million through October 19, 2022, with the remaining principal amount due on the maturity date. If one-month LIBOR is less than 0.75%, then we pay 4.50% per annum in interest. If one-month LIBOR exceeds 0.75%, then we pay the variable one-month LIBOR plus an applicable margin of 3.75%. Based on the outstanding balance and interest rate in effect at March 31, 2019, annual interest payments would have been $33.1 million.</w:t>
      </w:r>
    </w:p>
    <w:p>
      <w:pPr>
        <w:spacing w:after="0" w:line="7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Incremental Term Loan requires quarterly principal payments of $3.0 million through April 3, 2021, with the remaining principal amount due on the maturity date. The Incremental Term Loan bears interest at the variable one-month LIBOR plus an applicable margin of 3.25%. Based on the outstanding balance and interest rate in effect at March 31, 2019, annual interest payments would have been $15.9 million.</w:t>
      </w:r>
    </w:p>
    <w:p>
      <w:pPr>
        <w:spacing w:after="0" w:line="6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Senior Secured Revolver bears interest at the variable one-month LIBOR plus an applicable margin of 3.50%. Based on the outstanding balance and interest rate in effect at March 31, 2019, annual interest payments would have been $3.4 million. We pay a quarterly commitment fee at an annual rate of 0.50% on the Senior Secured Revolver for unused borrowing capacity.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credit facility is subject to certain financial covenants based on a consolidated net leverage ratio, as defined in the credit facility agreement. The financial covenants are effective when we have outstanding borrowings under our Senior Secured Revolver on the last day of any fiscal quarter, become more restrictive over time, and are dependent upon our operational and financial performance. If our operational or financial performance is below our expectations, we may be required to take actions to reduce expenditures and decrease our net indebtedness to maintain compliance in future periods. We had $56.2 million outstanding under the Senior Secured Revolver at March 31, 2019, and we were in compliance with all covenants under our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original equipment manufacturers are often stronger immediately preceding and following the launch of new products. However, as a whole, we are not materially impacted by seasonality.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the 2018 Annual Report, including those policies as discussed in Note 1 to the Notes to Consolidated Financial Statements included in the 2018 Annual Report. There have been no changes to these policies during the three months ended March 31, 2019, except as discussed in Note 1 to the Notes to Condensed Consolidated Financial Statements included in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in the Notes to Condensed Consolidated Financial Statements included in this Quarterly Report on Form 10-Q.</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March 31, 2019, we had $530.6 million of principal outstanding under the variable rate Senior Secured Term Loan, without regard to debt issuance costs. At March 31, 2019, a one-percent increase in the interest rate charged on outstanding variable rate borrowings under the Senior Secured Term Loan would result in interest expense increasing annually by approximately $5.3 million.</w:t>
      </w:r>
    </w:p>
    <w:p>
      <w:pPr>
        <w:spacing w:after="0" w:line="6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At March 31, 2019, we had $276.0 million of principal outstanding under the Incremental Term Loan, without regard to debt issuance costs. At March 31, 2019, a one-percent increase in the interest rate charged on outstanding variable rate borrowings under the Incremental Term Loan would result in interest expense increasing annually by approximately $2.8 million.</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At March 31, 2019, we had $56.2 million of principal outstanding under the Senior Secured Revolver, without regard to debt issuance costs. At March 31, 2019, a one-percent increase in the interest rate charged on outstanding variable rate borrowings under the Senior Secured Revolver would result in interest expense increasing annually by approximately $0.6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 and Hedging Activities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policy is to manage interest expense using a mix of fixed and variable rate debt. In February 2019, we entered into a $700.0 million fixed-rate interest rate swap agreement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16 in the Notes to Condensed Consolidated Financial Statements for further discussion about the interest rate swap. The nature and amount of borrowings may vary as a result of future business requirements, market conditions, and other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March 31, 2019.</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as a result of the material weakness in internal control over financial reporting described below, our Chief Executive Officer and Chief Financial Officer concluded that our disclosure controls and procedures were not effective as of March 31, 2019,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 in Internal Control Over Financial Reporting</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did not maintain an effective control environment due to a lack of a sufficient complement of personnel with an appropriate level of knowledge, experience, and training commensurate with our financial reporting requirements. This material weakness resulted in immaterial errors to other current assets; property, plant and equipment, net; goodwill; investment in joint venture; other non-current assets; accounts payable; accrued salaries, wages and benefits; other current liabilities; deferred tax liabilities; accumulated other comprehensive income; selling, general and administrative expense; depreciation and amortization; other operating expense/income; write-off of unamortized debt issuance costs; provision/benefit for income taxes; comprehensive income/loss; and cash flows in our consolidated financial statements for the years ended December 31, 2017, 2016, and 2015. These immaterial errors also resulted in a revision to previously issued financial statements for the periods December 31, 2017 and December 31, 2016. Additionally, this material weakness could result in a misstatement of substantially all account balances or disclosures that would result in a material misstatement to the annual or interim consolidated financial statements that would not be prevented or detected.</w:t>
      </w:r>
    </w:p>
    <w:p>
      <w:pPr>
        <w:spacing w:after="0" w:line="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our Chief Executive Officer and Chief Financial Officer have concluded that our condensed consolidated financial statements in this Quarterly Report on Form 10-Q present fairly, and in all material respects, our financial position, results of operations, and cash flows for the periods presented in conformity with accounting principles generally accepted in the United States.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Remediation Efforts for the Unremediated Material Weakness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ensure we have a sufficient complement of resources within our finance department, in 2018 we hired qualified personnel for critical finance roles. After we integrate these professionals into our control environment, we expect that the remediation of this material weakness will be completed.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During the fiscal quarter ended March 31, 2019, we implemented technology, processes, and controls related to the recording of right-of-use assets and liabilities in connection with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described in Note 1 and Note 10 in the Notes to Condensed Consolidated Financial Statements. Otherwise, there were no other changes in our internal control over financial reporting that have materially affected, or are reasonably likely to materially affect, our internal control over financial reporting during the fiscal quarter ended March 31, 2019.</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Brazil ICMS Tax Matter</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March 31, 2019, for this matter.</w:t>
      </w:r>
    </w:p>
    <w:p>
      <w:pPr>
        <w:spacing w:after="0" w:line="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Legal Matters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our 2018 Annual Report on Form 10-K for the fiscal year ended December 31, 2018, which was filed with the SEC on March 18, 2019, under Item 1A. “Risk Factors.”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Total Number of</w:t>
            </w:r>
          </w:p>
        </w:tc>
        <w:tc>
          <w:tcPr>
            <w:tcW w:w="18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Average Price Paid</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as Part of Publicly</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Period</w:t>
            </w:r>
          </w:p>
        </w:tc>
        <w:tc>
          <w:tcPr>
            <w:tcW w:w="120" w:type="dxa"/>
            <w:vAlign w:val="bottom"/>
            <w:vMerge w:val="restart"/>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Announced Plans</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193"/>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color w:val="auto"/>
              </w:rPr>
              <w:t xml:space="preserve">Shares Purchased </w:t>
            </w:r>
            <w:r>
              <w:rPr>
                <w:rFonts w:ascii="Times New Roman" w:cs="Times New Roman" w:eastAsia="Times New Roman" w:hAnsi="Times New Roman"/>
                <w:sz w:val="8"/>
                <w:szCs w:val="8"/>
                <w:color w:val="auto"/>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xml:space="preserve">or Programs </w:t>
            </w:r>
            <w:r>
              <w:rPr>
                <w:rFonts w:ascii="Times New Roman" w:cs="Times New Roman" w:eastAsia="Times New Roman" w:hAnsi="Times New Roman"/>
                <w:sz w:val="8"/>
                <w:szCs w:val="8"/>
                <w:color w:val="auto"/>
              </w:rPr>
              <w:t>(1)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xml:space="preserve">Plan or Programs </w:t>
            </w: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2019</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2019</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2019</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18,311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18,311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c>
          <w:tcPr>
            <w:tcW w:w="148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60" w:right="18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withheld to pay for tax obligations due upon the vesting of restricted stock held by certain employees granted under the NN, Inc. 2016 Omnibus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219"/>
          </w:cols>
          <w:pgMar w:left="240" w:top="121"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86"/>
        </w:trPr>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760" w:type="dxa"/>
            <w:vAlign w:val="bottom"/>
            <w:gridSpan w:val="7"/>
            <w:vMerge w:val="restart"/>
          </w:tcPr>
          <w:p>
            <w:pPr>
              <w:ind w:left="2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30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No.</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76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8"/>
          </w:tcPr>
          <w:p>
            <w:pPr>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Separation Agreement, dated as of April 1, 2017, by and between NN, Inc. and D. Gail Nixon.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8"/>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Separation Agreement, dated as of April 1, 2017, by and between NN, Inc. and J. Robbie Atkinson.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60">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w:anchor="page60">
              <w:r>
                <w:rPr>
                  <w:rFonts w:ascii="Times New Roman" w:cs="Times New Roman" w:eastAsia="Times New Roman" w:hAnsi="Times New Roman"/>
                  <w:sz w:val="18"/>
                  <w:szCs w:val="18"/>
                  <w:color w:val="0000FF"/>
                  <w:w w:val="98"/>
                </w:rPr>
                <w:t>1934, as amended.</w:t>
              </w:r>
            </w:hyperlink>
          </w:p>
        </w:tc>
        <w:tc>
          <w:tcPr>
            <w:tcW w:w="77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8"/>
          </w:tcPr>
          <w:p>
            <w:pPr>
              <w:spacing w:after="0"/>
              <w:rPr>
                <w:rFonts w:ascii="Times New Roman" w:cs="Times New Roman" w:eastAsia="Times New Roman" w:hAnsi="Times New Roman"/>
                <w:sz w:val="18"/>
                <w:szCs w:val="18"/>
                <w:color w:val="0000FF"/>
              </w:rPr>
            </w:pPr>
            <w:hyperlink w:anchor="page61">
              <w:r>
                <w:rPr>
                  <w:rFonts w:ascii="Times New Roman" w:cs="Times New Roman" w:eastAsia="Times New Roman" w:hAnsi="Times New Roman"/>
                  <w:sz w:val="18"/>
                  <w:szCs w:val="18"/>
                  <w:color w:val="0000FF"/>
                </w:rPr>
                <w:t>Certification of Principal Financial Officer Pursuant to Rules 13a-14(a) and 15d-14(a) under the Securities Exchange Act of</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w:anchor="page61">
              <w:r>
                <w:rPr>
                  <w:rFonts w:ascii="Times New Roman" w:cs="Times New Roman" w:eastAsia="Times New Roman" w:hAnsi="Times New Roman"/>
                  <w:sz w:val="18"/>
                  <w:szCs w:val="18"/>
                  <w:color w:val="0000FF"/>
                  <w:w w:val="98"/>
                </w:rPr>
                <w:t>1934, as amended.</w:t>
              </w:r>
            </w:hyperlink>
          </w:p>
        </w:tc>
        <w:tc>
          <w:tcPr>
            <w:tcW w:w="7580" w:type="dxa"/>
            <w:vAlign w:val="bottom"/>
            <w:tcBorders>
              <w:top w:val="single" w:sz="8" w:color="0000FF"/>
            </w:tcBorders>
            <w:gridSpan w:val="5"/>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62">
              <w:r>
                <w:rPr>
                  <w:rFonts w:ascii="Times New Roman" w:cs="Times New Roman" w:eastAsia="Times New Roman" w:hAnsi="Times New Roman"/>
                  <w:sz w:val="18"/>
                  <w:szCs w:val="18"/>
                  <w:color w:val="0000FF"/>
                  <w:w w:val="99"/>
                </w:rPr>
                <w:t>Certification of Principal Executive Officer pursuant to Section 906 of the Sarbanes-Oxley Act of 2002.</w:t>
              </w:r>
            </w:hyperlink>
          </w:p>
        </w:tc>
        <w:tc>
          <w:tcPr>
            <w:tcW w:w="1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8"/>
          </w:tcPr>
          <w:p>
            <w:pPr>
              <w:spacing w:after="0"/>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Certification of Principal Financial Officer pursuant to Section 906 of the Sarbanes-Oxley Act of 2002.</w:t>
              </w:r>
            </w:hyperlink>
          </w:p>
        </w:tc>
        <w:tc>
          <w:tcPr>
            <w:tcW w:w="0" w:type="dxa"/>
            <w:vAlign w:val="bottom"/>
          </w:tcPr>
          <w:p>
            <w:pPr>
              <w:spacing w:after="0"/>
              <w:rPr>
                <w:sz w:val="1"/>
                <w:szCs w:val="1"/>
                <w:color w:val="auto"/>
              </w:rPr>
            </w:pPr>
          </w:p>
        </w:tc>
      </w:tr>
      <w:tr>
        <w:trPr>
          <w:trHeight w:val="615"/>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6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Service</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Taxonomy Calculation Linkbase</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Label Linkbase</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720" w:hanging="68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08"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Date: May 10, 2019 /s/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3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Date: May 10, 2019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36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Date: May 10, 2019 /s/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Michael C. Felcher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Vice President—Chief Accounting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240" w:top="121" w:right="4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w:t>
      </w:r>
    </w:p>
    <w:p>
      <w:pPr>
        <w:spacing w:after="0" w:line="256"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20"/>
          <w:szCs w:val="20"/>
          <w:b w:val="1"/>
          <w:bCs w:val="1"/>
          <w:color w:val="auto"/>
        </w:rPr>
        <w:t xml:space="preserve">THIS SEPERATION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this 1st day of April, 2017,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NN, Inc., a Delaware Corporation with its principal place of business in Johnson City, Tennessee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D. Gail Nixon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WITNESSETH:</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will employ the Executive for the success of the Company and recognizes that the Executive will perform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key functions for the Company; and</w:t>
      </w:r>
    </w:p>
    <w:p>
      <w:pPr>
        <w:spacing w:after="0" w:line="171"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determined that it is in the best interests of the Company to institute a formalized separation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arrangement with the Executive in the event of a separation of employment; and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Executive desires to enter into this Agreement with the Company;</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of the promises, covenants and mutual agreements set forth below,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good and valuable consideration, the receipt and sufficiency of which are hereby acknowledged, the parties hereby agree as follows: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Compensation and Benefits in the Event of Separation from Service</w:t>
      </w:r>
      <w:r>
        <w:rPr>
          <w:rFonts w:ascii="Times New Roman" w:cs="Times New Roman" w:eastAsia="Times New Roman" w:hAnsi="Times New Roman"/>
          <w:sz w:val="20"/>
          <w:szCs w:val="20"/>
          <w:color w:val="auto"/>
        </w:rPr>
        <w:t>. In the event of the Executive’s Separation from Service,</w:t>
      </w:r>
    </w:p>
    <w:p>
      <w:pPr>
        <w:spacing w:after="0" w:line="4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compensation and benefits shall be paid as set forth below.</w:t>
      </w:r>
    </w:p>
    <w:p>
      <w:pPr>
        <w:spacing w:after="0" w:line="28" w:lineRule="exact"/>
        <w:rPr>
          <w:sz w:val="20"/>
          <w:szCs w:val="20"/>
          <w:color w:val="auto"/>
        </w:rPr>
      </w:pPr>
    </w:p>
    <w:p>
      <w:pPr>
        <w:ind w:left="660" w:hanging="652"/>
        <w:spacing w:after="0" w:line="253" w:lineRule="auto"/>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Qualifying Termination Prior To A Change In Control.</w:t>
      </w:r>
      <w:r>
        <w:rPr>
          <w:rFonts w:ascii="Times New Roman" w:cs="Times New Roman" w:eastAsia="Times New Roman" w:hAnsi="Times New Roman"/>
          <w:sz w:val="20"/>
          <w:szCs w:val="20"/>
          <w:color w:val="auto"/>
        </w:rPr>
        <w:t xml:space="preserve"> If the Executive has a Qualifying Termination after the Effective Date and prior to a Change in Control, then upon such Qualifying Termination the Executive shall be entitled to receive the following:</w:t>
      </w:r>
    </w:p>
    <w:p>
      <w:pPr>
        <w:spacing w:after="0" w:line="202" w:lineRule="exact"/>
        <w:rPr>
          <w:rFonts w:ascii="Times New Roman" w:cs="Times New Roman" w:eastAsia="Times New Roman" w:hAnsi="Times New Roman"/>
          <w:sz w:val="20"/>
          <w:szCs w:val="20"/>
          <w:color w:val="auto"/>
        </w:rPr>
      </w:pPr>
    </w:p>
    <w:p>
      <w:pPr>
        <w:ind w:left="1300" w:hanging="644"/>
        <w:spacing w:after="0" w:line="311" w:lineRule="auto"/>
        <w:tabs>
          <w:tab w:leader="none" w:pos="13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annual salary through the effective date of Separation from Service, at the annual rate in effect at the time the Notice of Termination is given (or death occurs), to the extent unpaid prior to such Separation from Service.</w:t>
      </w:r>
    </w:p>
    <w:p>
      <w:pPr>
        <w:spacing w:after="0" w:line="160" w:lineRule="exact"/>
        <w:rPr>
          <w:rFonts w:ascii="Times New Roman" w:cs="Times New Roman" w:eastAsia="Times New Roman" w:hAnsi="Times New Roman"/>
          <w:sz w:val="20"/>
          <w:szCs w:val="20"/>
          <w:color w:val="auto"/>
        </w:rPr>
      </w:pPr>
    </w:p>
    <w:p>
      <w:pPr>
        <w:jc w:val="both"/>
        <w:ind w:left="1300" w:hanging="644"/>
        <w:spacing w:after="0" w:line="296" w:lineRule="auto"/>
        <w:tabs>
          <w:tab w:leader="none" w:pos="13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Executive’s prior service to the Company an amount equal to 18 months of his annual base salary in effect on the date of his Separation from Service. These amounts shall be payable in accordance with the Company’s regular payroll procedures over the 18 month period following the Executive’s Separation from Service.</w:t>
      </w:r>
    </w:p>
    <w:p>
      <w:pPr>
        <w:spacing w:after="0" w:line="175" w:lineRule="exact"/>
        <w:rPr>
          <w:rFonts w:ascii="Times New Roman" w:cs="Times New Roman" w:eastAsia="Times New Roman" w:hAnsi="Times New Roman"/>
          <w:sz w:val="20"/>
          <w:szCs w:val="20"/>
          <w:color w:val="auto"/>
        </w:rPr>
      </w:pPr>
    </w:p>
    <w:p>
      <w:pPr>
        <w:jc w:val="both"/>
        <w:ind w:left="1300" w:hanging="644"/>
        <w:spacing w:after="0" w:line="291" w:lineRule="auto"/>
        <w:tabs>
          <w:tab w:leader="none" w:pos="13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vested rights of Executive in accordance with the Company’s plans, programs or policies. A payment equal to the target annual bonus to which the Executive would have been entitled but for the Qualifying Termination, prorated for the portion of the year during which the Executive was employed by the Company (which bonus will be determined in accordance with the Company’s corporate guidelines and distributed after completion of the Company’s fiscal year end audit).</w:t>
      </w:r>
    </w:p>
    <w:p>
      <w:pPr>
        <w:spacing w:after="0" w:line="181" w:lineRule="exact"/>
        <w:rPr>
          <w:rFonts w:ascii="Times New Roman" w:cs="Times New Roman" w:eastAsia="Times New Roman" w:hAnsi="Times New Roman"/>
          <w:sz w:val="20"/>
          <w:szCs w:val="20"/>
          <w:color w:val="auto"/>
        </w:rPr>
      </w:pPr>
    </w:p>
    <w:p>
      <w:pPr>
        <w:ind w:left="1300" w:right="20" w:hanging="644"/>
        <w:spacing w:after="0" w:line="311" w:lineRule="auto"/>
        <w:tabs>
          <w:tab w:leader="none" w:pos="13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reimbursement for any and all reimbursable business expenses (to the extent not already reimbursed) upon Executive’s properly accounting for the same.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91"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$12,000.00 payable in a single lump sum to assist with the Executive’s transition from employment.</w:t>
      </w:r>
    </w:p>
    <w:p>
      <w:pPr>
        <w:spacing w:after="0" w:line="256" w:lineRule="exact"/>
        <w:rPr>
          <w:sz w:val="20"/>
          <w:szCs w:val="20"/>
          <w:color w:val="auto"/>
        </w:rPr>
      </w:pPr>
    </w:p>
    <w:p>
      <w:pPr>
        <w:ind w:left="660"/>
        <w:spacing w:after="0" w:line="311" w:lineRule="auto"/>
        <w:rPr>
          <w:sz w:val="20"/>
          <w:szCs w:val="20"/>
          <w:color w:val="auto"/>
        </w:rPr>
      </w:pPr>
      <w:r>
        <w:rPr>
          <w:rFonts w:ascii="Times New Roman" w:cs="Times New Roman" w:eastAsia="Times New Roman" w:hAnsi="Times New Roman"/>
          <w:sz w:val="20"/>
          <w:szCs w:val="20"/>
          <w:color w:val="auto"/>
        </w:rPr>
        <w:t>Payments under (ii) and (v) above shall commence or shall be paid within 60 days following the Executive’s Separation from Service; provided, however, that the Executive is in full compliance with the covenants under paragraphs 2, 3, 4, and 6 of this Agreement.</w:t>
      </w:r>
    </w:p>
    <w:p>
      <w:pPr>
        <w:spacing w:after="0" w:line="160" w:lineRule="exact"/>
        <w:rPr>
          <w:sz w:val="20"/>
          <w:szCs w:val="20"/>
          <w:color w:val="auto"/>
        </w:rPr>
      </w:pPr>
    </w:p>
    <w:p>
      <w:pPr>
        <w:ind w:left="660" w:right="20" w:hanging="652"/>
        <w:spacing w:after="0" w:line="281" w:lineRule="auto"/>
        <w:tabs>
          <w:tab w:leader="none" w:pos="6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Company For Cause Or By The Executive Without Good Reason</w:t>
      </w:r>
      <w:r>
        <w:rPr>
          <w:rFonts w:ascii="Times New Roman" w:cs="Times New Roman" w:eastAsia="Times New Roman" w:hAnsi="Times New Roman"/>
          <w:sz w:val="20"/>
          <w:szCs w:val="20"/>
          <w:color w:val="auto"/>
        </w:rPr>
        <w:t>. In the event Executive’s Separation from Service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3" w:lineRule="exact"/>
        <w:rPr>
          <w:rFonts w:ascii="Times New Roman" w:cs="Times New Roman" w:eastAsia="Times New Roman" w:hAnsi="Times New Roman"/>
          <w:sz w:val="20"/>
          <w:szCs w:val="20"/>
          <w:color w:val="auto"/>
        </w:rPr>
      </w:pPr>
    </w:p>
    <w:p>
      <w:pPr>
        <w:ind w:left="1300" w:hanging="644"/>
        <w:spacing w:after="0" w:line="311" w:lineRule="auto"/>
        <w:tabs>
          <w:tab w:leader="none" w:pos="13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annual salary provided through the effective date of Separation from Service, at the annual rate in effect at the time the Notice of Termination is given (or death occurs), to the extent unpaid prior to such Separation from Service.</w:t>
      </w:r>
    </w:p>
    <w:p>
      <w:pPr>
        <w:spacing w:after="0" w:line="22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vested rights of Executive in accordance with the Company’s plans, programs or policies.</w:t>
      </w:r>
    </w:p>
    <w:p>
      <w:pPr>
        <w:spacing w:after="0" w:line="256" w:lineRule="exact"/>
        <w:rPr>
          <w:rFonts w:ascii="Times New Roman" w:cs="Times New Roman" w:eastAsia="Times New Roman" w:hAnsi="Times New Roman"/>
          <w:sz w:val="20"/>
          <w:szCs w:val="20"/>
          <w:color w:val="auto"/>
        </w:rPr>
      </w:pPr>
    </w:p>
    <w:p>
      <w:pPr>
        <w:ind w:left="1300" w:right="20" w:hanging="644"/>
        <w:spacing w:after="0" w:line="311" w:lineRule="auto"/>
        <w:tabs>
          <w:tab w:leader="none" w:pos="13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reimbursement for any and all reimbursable business expenses (to the extent not already reimbursed) upon Executive’s properly accounting for the same.</w:t>
      </w:r>
    </w:p>
    <w:p>
      <w:pPr>
        <w:spacing w:after="0" w:line="160"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Qualifying Termination Following a Change in Control.</w:t>
      </w:r>
    </w:p>
    <w:p>
      <w:pPr>
        <w:spacing w:after="0" w:line="256" w:lineRule="exact"/>
        <w:rPr>
          <w:rFonts w:ascii="Times New Roman" w:cs="Times New Roman" w:eastAsia="Times New Roman" w:hAnsi="Times New Roman"/>
          <w:sz w:val="20"/>
          <w:szCs w:val="20"/>
          <w:color w:val="auto"/>
        </w:rPr>
      </w:pPr>
    </w:p>
    <w:p>
      <w:pPr>
        <w:ind w:left="660" w:hanging="4"/>
        <w:spacing w:after="0" w:line="311" w:lineRule="auto"/>
        <w:tabs>
          <w:tab w:leader="none" w:pos="105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Executive has a Qualifying Termination within 24 months following a Change in Control, Executive shall receive the following, subject to paragraph 1(c)(ii):</w:t>
      </w:r>
    </w:p>
    <w:p>
      <w:pPr>
        <w:spacing w:after="0" w:line="160"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salary due to the Executive through the date of his Separation from Service.</w:t>
      </w:r>
    </w:p>
    <w:p>
      <w:pPr>
        <w:spacing w:after="0" w:line="256" w:lineRule="exact"/>
        <w:rPr>
          <w:rFonts w:ascii="Times New Roman" w:cs="Times New Roman" w:eastAsia="Times New Roman" w:hAnsi="Times New Roman"/>
          <w:sz w:val="20"/>
          <w:szCs w:val="20"/>
          <w:color w:val="auto"/>
        </w:rPr>
      </w:pPr>
    </w:p>
    <w:p>
      <w:pPr>
        <w:jc w:val="both"/>
        <w:ind w:left="1960" w:hanging="655"/>
        <w:spacing w:after="0" w:line="296" w:lineRule="auto"/>
        <w:tabs>
          <w:tab w:leader="none" w:pos="196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lump sum payment equal to an amount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to this Agreement (the “</w:t>
      </w:r>
      <w:r>
        <w:rPr>
          <w:rFonts w:ascii="Times New Roman" w:cs="Times New Roman" w:eastAsia="Times New Roman" w:hAnsi="Times New Roman"/>
          <w:sz w:val="20"/>
          <w:szCs w:val="20"/>
          <w:u w:val="single" w:color="auto"/>
          <w:color w:val="auto"/>
        </w:rPr>
        <w:t>Severance Payment</w:t>
      </w:r>
      <w:r>
        <w:rPr>
          <w:rFonts w:ascii="Times New Roman" w:cs="Times New Roman" w:eastAsia="Times New Roman" w:hAnsi="Times New Roman"/>
          <w:sz w:val="20"/>
          <w:szCs w:val="20"/>
          <w:color w:val="auto"/>
        </w:rPr>
        <w:t>”). The Severance Payment shall be made by wire transfer or immediately available funds to an account designated by Executive following the date of the Separation from Service.</w:t>
      </w:r>
    </w:p>
    <w:p>
      <w:pPr>
        <w:spacing w:after="0" w:line="175" w:lineRule="exact"/>
        <w:rPr>
          <w:rFonts w:ascii="Times New Roman" w:cs="Times New Roman" w:eastAsia="Times New Roman" w:hAnsi="Times New Roman"/>
          <w:sz w:val="20"/>
          <w:szCs w:val="20"/>
          <w:color w:val="auto"/>
        </w:rPr>
      </w:pPr>
    </w:p>
    <w:p>
      <w:pPr>
        <w:jc w:val="both"/>
        <w:ind w:left="1960" w:hanging="655"/>
        <w:spacing w:after="0" w:line="296" w:lineRule="auto"/>
        <w:tabs>
          <w:tab w:leader="none" w:pos="196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equal to the target annual bonus to which Executive would have been entitled but for Executive’s Separation from Service, for the year of Executive’s termination; pro-rated for the portion of the year during which he was employed by the Company (“</w:t>
      </w:r>
      <w:r>
        <w:rPr>
          <w:rFonts w:ascii="Times New Roman" w:cs="Times New Roman" w:eastAsia="Times New Roman" w:hAnsi="Times New Roman"/>
          <w:sz w:val="20"/>
          <w:szCs w:val="20"/>
          <w:u w:val="single" w:color="auto"/>
          <w:color w:val="auto"/>
        </w:rPr>
        <w:t>Pro-rated Bonus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vested rights of Executive in accordance with the Company’s plans, programs or policies.</w:t>
      </w:r>
    </w:p>
    <w:p>
      <w:pPr>
        <w:spacing w:after="0" w:line="256" w:lineRule="exact"/>
        <w:rPr>
          <w:rFonts w:ascii="Times New Roman" w:cs="Times New Roman" w:eastAsia="Times New Roman" w:hAnsi="Times New Roman"/>
          <w:sz w:val="20"/>
          <w:szCs w:val="20"/>
          <w:color w:val="auto"/>
        </w:rPr>
      </w:pPr>
    </w:p>
    <w:p>
      <w:pPr>
        <w:ind w:left="1960" w:right="20" w:hanging="655"/>
        <w:spacing w:after="0" w:line="311" w:lineRule="auto"/>
        <w:tabs>
          <w:tab w:leader="none" w:pos="196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reimbursement for any and all reimbursable business expenses (to the extent not already reimbursed) upon Executive’s properly accounting for the same.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91" w:lineRule="exact"/>
        <w:rPr>
          <w:sz w:val="20"/>
          <w:szCs w:val="20"/>
          <w:color w:val="auto"/>
        </w:rPr>
      </w:pPr>
    </w:p>
    <w:p>
      <w:pPr>
        <w:ind w:left="1304" w:hanging="655"/>
        <w:spacing w:after="0"/>
        <w:tabs>
          <w:tab w:leader="none" w:pos="130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$12,000.00 payable in a single lump sum to assist with the Executive’s transition from employment.</w:t>
      </w:r>
    </w:p>
    <w:p>
      <w:pPr>
        <w:spacing w:after="0" w:line="256" w:lineRule="exact"/>
        <w:rPr>
          <w:sz w:val="20"/>
          <w:szCs w:val="20"/>
          <w:color w:val="auto"/>
        </w:rPr>
      </w:pPr>
    </w:p>
    <w:p>
      <w:pPr>
        <w:jc w:val="both"/>
        <w:ind w:left="644"/>
        <w:spacing w:after="0" w:line="296" w:lineRule="auto"/>
        <w:rPr>
          <w:sz w:val="20"/>
          <w:szCs w:val="20"/>
          <w:color w:val="auto"/>
        </w:rPr>
      </w:pPr>
      <w:r>
        <w:rPr>
          <w:rFonts w:ascii="Times New Roman" w:cs="Times New Roman" w:eastAsia="Times New Roman" w:hAnsi="Times New Roman"/>
          <w:sz w:val="20"/>
          <w:szCs w:val="20"/>
          <w:color w:val="auto"/>
        </w:rPr>
        <w:t>Payments under (2), (3) and (6) above shall be paid in full in a lump sum within 60 days following the Executive’s Separation from Service; provided, however, that the Executive is in full compliance with the covenants under paragraphs 2, 3, 4, and 6 of this Agreement.</w:t>
      </w:r>
    </w:p>
    <w:p>
      <w:pPr>
        <w:spacing w:after="0" w:line="175" w:lineRule="exact"/>
        <w:rPr>
          <w:sz w:val="20"/>
          <w:szCs w:val="20"/>
          <w:color w:val="auto"/>
        </w:rPr>
      </w:pPr>
    </w:p>
    <w:p>
      <w:pPr>
        <w:ind w:left="444" w:hanging="444"/>
        <w:spacing w:after="0"/>
        <w:tabs>
          <w:tab w:leader="none" w:pos="44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Excise Tax.</w:t>
      </w:r>
    </w:p>
    <w:p>
      <w:pPr>
        <w:spacing w:after="0" w:line="256" w:lineRule="exact"/>
        <w:rPr>
          <w:rFonts w:ascii="Times New Roman" w:cs="Times New Roman" w:eastAsia="Times New Roman" w:hAnsi="Times New Roman"/>
          <w:sz w:val="20"/>
          <w:szCs w:val="20"/>
          <w:color w:val="auto"/>
        </w:rPr>
      </w:pPr>
    </w:p>
    <w:p>
      <w:pPr>
        <w:jc w:val="both"/>
        <w:ind w:left="1304" w:hanging="655"/>
        <w:spacing w:after="0" w:line="285" w:lineRule="auto"/>
        <w:tabs>
          <w:tab w:leader="none" w:pos="130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w:t>
      </w:r>
      <w:r>
        <w:rPr>
          <w:rFonts w:ascii="Times New Roman" w:cs="Times New Roman" w:eastAsia="Times New Roman" w:hAnsi="Times New Roman"/>
          <w:sz w:val="20"/>
          <w:szCs w:val="20"/>
          <w:u w:val="single" w:color="auto"/>
          <w:color w:val="auto"/>
        </w:rPr>
        <w:t>Change in Control Payment</w:t>
      </w:r>
      <w:r>
        <w:rPr>
          <w:rFonts w:ascii="Times New Roman" w:cs="Times New Roman" w:eastAsia="Times New Roman" w:hAnsi="Times New Roman"/>
          <w:sz w:val="20"/>
          <w:szCs w:val="20"/>
          <w:color w:val="auto"/>
        </w:rPr>
        <w: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 required reduction in the Change in Control Payment pursuant to the foregoing shall be accomplished solely by reducing the amount of severance payment payable pursuant to paragraph 1(c)(i)(1) of this Agreement and then, to the extent necessary, paragraph 1(c)(i)(2) of this Agreement.</w:t>
      </w:r>
    </w:p>
    <w:p>
      <w:pPr>
        <w:spacing w:after="0" w:line="186" w:lineRule="exact"/>
        <w:rPr>
          <w:rFonts w:ascii="Times New Roman" w:cs="Times New Roman" w:eastAsia="Times New Roman" w:hAnsi="Times New Roman"/>
          <w:sz w:val="20"/>
          <w:szCs w:val="20"/>
          <w:color w:val="auto"/>
        </w:rPr>
      </w:pPr>
    </w:p>
    <w:p>
      <w:pPr>
        <w:jc w:val="both"/>
        <w:ind w:left="1304" w:hanging="655"/>
        <w:spacing w:after="0" w:line="287" w:lineRule="auto"/>
        <w:tabs>
          <w:tab w:leader="none" w:pos="130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determinations to be made under this paragraph 1(c)(ii) shall be made by an independent public accounting firm selected by the Company immediately prior to the Change in Control (the “</w:t>
      </w:r>
      <w:r>
        <w:rPr>
          <w:rFonts w:ascii="Times New Roman" w:cs="Times New Roman" w:eastAsia="Times New Roman" w:hAnsi="Times New Roman"/>
          <w:sz w:val="20"/>
          <w:szCs w:val="20"/>
          <w:u w:val="single" w:color="auto"/>
          <w:color w:val="auto"/>
        </w:rPr>
        <w:t>Accounting Firm</w:t>
      </w:r>
      <w:r>
        <w:rPr>
          <w:rFonts w:ascii="Times New Roman" w:cs="Times New Roman" w:eastAsia="Times New Roman" w:hAnsi="Times New Roman"/>
          <w:sz w:val="20"/>
          <w:szCs w:val="20"/>
          <w:color w:val="auto"/>
        </w:rPr>
        <w:t>”),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1(c)(iii) shall be borne solely by the Company.</w:t>
      </w:r>
    </w:p>
    <w:p>
      <w:pPr>
        <w:spacing w:after="0" w:line="187" w:lineRule="exact"/>
        <w:rPr>
          <w:sz w:val="20"/>
          <w:szCs w:val="20"/>
          <w:color w:val="auto"/>
        </w:rPr>
      </w:pPr>
    </w:p>
    <w:p>
      <w:pPr>
        <w:ind w:left="1304" w:hanging="1304"/>
        <w:spacing w:after="0" w:line="296" w:lineRule="auto"/>
        <w:tabs>
          <w:tab w:leader="none" w:pos="65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Continuation of Benefits.</w:t>
      </w:r>
      <w:r>
        <w:rPr>
          <w:rFonts w:ascii="Times New Roman" w:cs="Times New Roman" w:eastAsia="Times New Roman" w:hAnsi="Times New Roman"/>
          <w:sz w:val="20"/>
          <w:szCs w:val="20"/>
          <w:color w:val="auto"/>
        </w:rPr>
        <w:t xml:space="preserve">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175" w:lineRule="exact"/>
        <w:rPr>
          <w:rFonts w:ascii="Times New Roman" w:cs="Times New Roman" w:eastAsia="Times New Roman" w:hAnsi="Times New Roman"/>
          <w:sz w:val="20"/>
          <w:szCs w:val="20"/>
          <w:color w:val="auto"/>
        </w:rPr>
      </w:pPr>
    </w:p>
    <w:p>
      <w:pPr>
        <w:ind w:left="1304" w:hanging="1304"/>
        <w:spacing w:after="0" w:line="291" w:lineRule="auto"/>
        <w:tabs>
          <w:tab w:leader="none" w:pos="65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 on Company Liability.</w:t>
      </w:r>
      <w:r>
        <w:rPr>
          <w:rFonts w:ascii="Times New Roman" w:cs="Times New Roman" w:eastAsia="Times New Roman" w:hAnsi="Times New Roman"/>
          <w:sz w:val="20"/>
          <w:szCs w:val="20"/>
          <w:color w:val="auto"/>
        </w:rPr>
        <w:t xml:space="preserve"> Except as expressly set forth in this paragraph 1,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under this Agreement or make any further</w:t>
      </w:r>
    </w:p>
    <w:p>
      <w:pPr>
        <w:spacing w:after="0" w:line="181"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764"/>
          </w:cols>
          <w:pgMar w:left="896" w:top="121"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3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contribution for Executive’s benefit under this Agreement except as provided in this paragraph 1.</w:t>
      </w:r>
    </w:p>
    <w:p>
      <w:pPr>
        <w:spacing w:after="0" w:line="63" w:lineRule="exact"/>
        <w:rPr>
          <w:sz w:val="20"/>
          <w:szCs w:val="20"/>
          <w:color w:val="auto"/>
        </w:rPr>
      </w:pPr>
    </w:p>
    <w:p>
      <w:pPr>
        <w:jc w:val="both"/>
        <w:ind w:left="660" w:hanging="652"/>
        <w:spacing w:after="0" w:line="310" w:lineRule="auto"/>
        <w:tabs>
          <w:tab w:leader="none" w:pos="660" w:val="left"/>
        </w:tabs>
        <w:numPr>
          <w:ilvl w:val="0"/>
          <w:numId w:val="1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Disclosure of Confidential Information</w:t>
      </w:r>
      <w:r>
        <w:rPr>
          <w:rFonts w:ascii="Times New Roman" w:cs="Times New Roman" w:eastAsia="Times New Roman" w:hAnsi="Times New Roman"/>
          <w:sz w:val="20"/>
          <w:szCs w:val="20"/>
          <w:color w:val="auto"/>
        </w:rPr>
        <w:t>. The Company has developed confidential information, strategies and programs,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w:t>
      </w:r>
      <w:r>
        <w:rPr>
          <w:rFonts w:ascii="Times New Roman" w:cs="Times New Roman" w:eastAsia="Times New Roman" w:hAnsi="Times New Roman"/>
          <w:sz w:val="20"/>
          <w:szCs w:val="20"/>
          <w:u w:val="single" w:color="auto"/>
          <w:color w:val="auto"/>
        </w:rPr>
        <w:t>Confidential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provided that the term “Confidential Information” shall not include (i) any such information that, prior to its use or disclosure by Executive, can be shown to have been in the public domain or generally known or available to customers, suppliers or competitors of the Company through no breach of the provisions of this Agreement or other non-disclosure covenants; (ii) any such information that, prior to its disclosure by the Executive, was rightfully in the receiving third party’s possession, without violation of the provisions of this Agreement or other non-disclosure covenants; and (iii) any such information that, prior to its disclosure by the Executive, was independently developed by the receiving third party without violation of the provisions of this Agreement or other non-disclosure covenants.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 Company, its affiliates, and/or its subsidiaries unless specifically directed by the Company to do so in writing, provided that nothing herein shall prohibit the Executive from disclosing Confidential Information as required by law or pursuant to legal process. Executive agrees that whenever Executive’s employment with the Company ends for any reason, all documents containing or referring to Confidential Information of the Company, its affiliates, and/or its subsidiaries that may be in Executive’s possession or control will be delivered by Executive to the Company promptly upon the Company’s request.</w:t>
      </w:r>
    </w:p>
    <w:p>
      <w:pPr>
        <w:spacing w:after="0" w:line="241"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29" w:lineRule="auto"/>
        <w:tabs>
          <w:tab w:leader="none" w:pos="660" w:val="left"/>
        </w:tabs>
        <w:numPr>
          <w:ilvl w:val="0"/>
          <w:numId w:val="1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9"/>
          <w:szCs w:val="19"/>
          <w:b w:val="1"/>
          <w:bCs w:val="1"/>
          <w:i w:val="1"/>
          <w:iCs w:val="1"/>
          <w:color w:val="auto"/>
        </w:rPr>
        <w:t>Non-Interference with Personnel Relations</w:t>
      </w:r>
      <w:r>
        <w:rPr>
          <w:rFonts w:ascii="Times New Roman" w:cs="Times New Roman" w:eastAsia="Times New Roman" w:hAnsi="Times New Roman"/>
          <w:sz w:val="19"/>
          <w:szCs w:val="19"/>
          <w:color w:val="auto"/>
        </w:rPr>
        <w:t>. At any time while Executive is employed by the Company and at any time during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Restrictive Period after such employment ends for any reason, Executive acting either directly or indirectly, or through any other person, firm, or corporation, will not then, at such time, hire, contract with or employ any then employee of the Company, and/or any then employee of an affiliate or subsidiary of the Company with which Executive interacted or about which Executive gained Confidential Information during his employment with Company (“</w:t>
      </w:r>
      <w:r>
        <w:rPr>
          <w:rFonts w:ascii="Times New Roman" w:cs="Times New Roman" w:eastAsia="Times New Roman" w:hAnsi="Times New Roman"/>
          <w:sz w:val="19"/>
          <w:szCs w:val="19"/>
          <w:u w:val="single" w:color="auto"/>
          <w:color w:val="auto"/>
        </w:rPr>
        <w:t>Restricted Employees</w:t>
      </w:r>
      <w:r>
        <w:rPr>
          <w:rFonts w:ascii="Times New Roman" w:cs="Times New Roman" w:eastAsia="Times New Roman" w:hAnsi="Times New Roman"/>
          <w:sz w:val="19"/>
          <w:szCs w:val="19"/>
          <w:color w:val="auto"/>
        </w:rPr>
        <w:t>”). Further, Executive will not induce or attempt to induce or influence any of the Restricted Employees to terminate employment with the Company, affiliate, and/or subsidiary.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However, this provision shall not apply to Executive in the case of the solicitation of his immediate family members.</w:t>
      </w:r>
    </w:p>
    <w:p>
      <w:pPr>
        <w:spacing w:after="0" w:line="293" w:lineRule="exact"/>
        <w:rPr>
          <w:sz w:val="20"/>
          <w:szCs w:val="20"/>
          <w:color w:val="auto"/>
        </w:rPr>
      </w:pPr>
    </w:p>
    <w:p>
      <w:pPr>
        <w:jc w:val="both"/>
        <w:ind w:left="660" w:hanging="652"/>
        <w:spacing w:after="0" w:line="310" w:lineRule="auto"/>
        <w:tabs>
          <w:tab w:leader="none" w:pos="660" w:val="left"/>
        </w:tabs>
        <w:numPr>
          <w:ilvl w:val="0"/>
          <w:numId w:val="1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Non-Competition</w:t>
      </w:r>
      <w:r>
        <w:rPr>
          <w:rFonts w:ascii="Times New Roman" w:cs="Times New Roman" w:eastAsia="Times New Roman" w:hAnsi="Times New Roman"/>
          <w:sz w:val="20"/>
          <w:szCs w:val="20"/>
          <w:color w:val="auto"/>
        </w:rPr>
        <w:t>. While Executive is employed by the Company and for the Restrictive Period after such employment ends,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not, 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 Business, as defined below. A “</w:t>
      </w:r>
      <w:r>
        <w:rPr>
          <w:rFonts w:ascii="Times New Roman" w:cs="Times New Roman" w:eastAsia="Times New Roman" w:hAnsi="Times New Roman"/>
          <w:sz w:val="20"/>
          <w:szCs w:val="20"/>
          <w:u w:val="single" w:color="auto"/>
          <w:color w:val="auto"/>
        </w:rPr>
        <w:t>Competing Business</w:t>
      </w:r>
      <w:r>
        <w:rPr>
          <w:rFonts w:ascii="Times New Roman" w:cs="Times New Roman" w:eastAsia="Times New Roman" w:hAnsi="Times New Roman"/>
          <w:sz w:val="20"/>
          <w:szCs w:val="20"/>
          <w:color w:val="auto"/>
        </w:rPr>
        <w:t>”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41"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11" w:lineRule="auto"/>
        <w:tabs>
          <w:tab w:leader="none" w:pos="660" w:val="left"/>
        </w:tabs>
        <w:numPr>
          <w:ilvl w:val="0"/>
          <w:numId w:val="1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Notification to Subsequent Employers</w:t>
      </w:r>
      <w:r>
        <w:rPr>
          <w:rFonts w:ascii="Times New Roman" w:cs="Times New Roman" w:eastAsia="Times New Roman" w:hAnsi="Times New Roman"/>
          <w:sz w:val="20"/>
          <w:szCs w:val="20"/>
          <w:color w:val="auto"/>
        </w:rPr>
        <w:t>. Executive grants the Company the right to notify any future employer or prospective employer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Executive concerning the existence of and terms of this Agreement and grants the Company the right to provide a copy of this Agreement to any such subsequent employer or prospective employer.</w:t>
      </w:r>
    </w:p>
    <w:p>
      <w:pPr>
        <w:spacing w:after="0" w:line="197" w:lineRule="exact"/>
        <w:rPr>
          <w:rFonts w:ascii="Times New Roman" w:cs="Times New Roman" w:eastAsia="Times New Roman" w:hAnsi="Times New Roman"/>
          <w:sz w:val="22"/>
          <w:szCs w:val="22"/>
          <w:b w:val="1"/>
          <w:bCs w:val="1"/>
          <w:i w:val="1"/>
          <w:i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Company Proprietary Rights</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2"/>
          <w:szCs w:val="22"/>
          <w:b w:val="1"/>
          <w:bCs w:val="1"/>
          <w:i w:val="1"/>
          <w:iCs w:val="1"/>
          <w:color w:val="auto"/>
        </w:rPr>
      </w:pPr>
    </w:p>
    <w:p>
      <w:pPr>
        <w:jc w:val="both"/>
        <w:ind w:left="1300" w:hanging="644"/>
        <w:spacing w:after="0" w:line="287" w:lineRule="auto"/>
        <w:tabs>
          <w:tab w:leader="none" w:pos="13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to Retain Rights.</w:t>
      </w:r>
      <w:r>
        <w:rPr>
          <w:rFonts w:ascii="Times New Roman" w:cs="Times New Roman" w:eastAsia="Times New Roman" w:hAnsi="Times New Roman"/>
          <w:sz w:val="20"/>
          <w:szCs w:val="20"/>
          <w:color w:val="auto"/>
        </w:rPr>
        <w:t xml:space="preserve">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and/or any parent, subsidiary or affiliate of the Company (collectively, “</w:t>
      </w:r>
      <w:r>
        <w:rPr>
          <w:rFonts w:ascii="Times New Roman" w:cs="Times New Roman" w:eastAsia="Times New Roman" w:hAnsi="Times New Roman"/>
          <w:sz w:val="20"/>
          <w:szCs w:val="20"/>
          <w:u w:val="single" w:color="auto"/>
          <w:color w:val="auto"/>
        </w:rPr>
        <w:t>Company Intellectual Property</w:t>
      </w:r>
      <w:r>
        <w:rPr>
          <w:rFonts w:ascii="Times New Roman" w:cs="Times New Roman" w:eastAsia="Times New Roman" w:hAnsi="Times New Roman"/>
          <w:sz w:val="20"/>
          <w:szCs w:val="20"/>
          <w:color w:val="auto"/>
        </w:rPr>
        <w:t>”) shall become and remain the exclusive property of the Company and/or such parent, subsidiary or affiliate, and Executive shall have no interest therein.</w:t>
      </w:r>
    </w:p>
    <w:p>
      <w:pPr>
        <w:spacing w:after="0" w:line="200" w:lineRule="exact"/>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jc w:val="both"/>
        <w:ind w:left="1300" w:hanging="644"/>
        <w:spacing w:after="0" w:line="291" w:lineRule="auto"/>
        <w:tabs>
          <w:tab w:leader="none" w:pos="13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345" w:lineRule="exact"/>
        <w:rPr>
          <w:sz w:val="20"/>
          <w:szCs w:val="20"/>
          <w:color w:val="auto"/>
        </w:rPr>
      </w:pPr>
    </w:p>
    <w:p>
      <w:pPr>
        <w:jc w:val="both"/>
        <w:ind w:left="1300" w:hanging="644"/>
        <w:spacing w:after="0" w:line="291" w:lineRule="auto"/>
        <w:tabs>
          <w:tab w:leader="none" w:pos="130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Material.</w:t>
      </w:r>
      <w:r>
        <w:rPr>
          <w:rFonts w:ascii="Times New Roman" w:cs="Times New Roman" w:eastAsia="Times New Roman" w:hAnsi="Times New Roman"/>
          <w:sz w:val="20"/>
          <w:szCs w:val="20"/>
          <w:color w:val="auto"/>
        </w:rPr>
        <w:t xml:space="preserve"> Upon the termination of the Executive’s employment under this Agreement at the Company’s written request, the Executive will promptly return to the Company all copies of information protected by paragraph 6(a) hereof which are in his possession, custody or control, whether prepared by him or others, and the Executive agrees that he shall not retain any of same.</w:t>
      </w:r>
    </w:p>
    <w:p>
      <w:pPr>
        <w:spacing w:after="0" w:line="190" w:lineRule="exact"/>
        <w:rPr>
          <w:rFonts w:ascii="Times New Roman" w:cs="Times New Roman" w:eastAsia="Times New Roman" w:hAnsi="Times New Roman"/>
          <w:sz w:val="20"/>
          <w:szCs w:val="20"/>
          <w:color w:val="auto"/>
        </w:rPr>
      </w:pPr>
    </w:p>
    <w:p>
      <w:pPr>
        <w:jc w:val="both"/>
        <w:ind w:left="660" w:hanging="652"/>
        <w:spacing w:after="0" w:line="310" w:lineRule="auto"/>
        <w:tabs>
          <w:tab w:leader="none" w:pos="660" w:val="left"/>
        </w:tabs>
        <w:numPr>
          <w:ilvl w:val="0"/>
          <w:numId w:val="2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Withholding</w:t>
      </w:r>
      <w:r>
        <w:rPr>
          <w:rFonts w:ascii="Times New Roman" w:cs="Times New Roman" w:eastAsia="Times New Roman" w:hAnsi="Times New Roman"/>
          <w:sz w:val="20"/>
          <w:szCs w:val="20"/>
          <w:color w:val="auto"/>
        </w:rPr>
        <w:t>. Any provision of this Agreement to the contrary notwithstanding, all payments made by the Company hereunder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86"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10" w:lineRule="auto"/>
        <w:tabs>
          <w:tab w:leader="none" w:pos="660" w:val="left"/>
        </w:tabs>
        <w:numPr>
          <w:ilvl w:val="0"/>
          <w:numId w:val="2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Mitigation</w:t>
      </w:r>
      <w:r>
        <w:rPr>
          <w:rFonts w:ascii="Times New Roman" w:cs="Times New Roman" w:eastAsia="Times New Roman" w:hAnsi="Times New Roman"/>
          <w:sz w:val="20"/>
          <w:szCs w:val="20"/>
          <w:color w:val="auto"/>
        </w:rPr>
        <w:t>. The Company’s obligation to make the payments provided for in this Agreement and otherwise to perform its obligations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hereunder shall not be subject to set off for any reason and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6"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11" w:lineRule="auto"/>
        <w:tabs>
          <w:tab w:leader="none" w:pos="660" w:val="left"/>
        </w:tabs>
        <w:numPr>
          <w:ilvl w:val="0"/>
          <w:numId w:val="2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Notices</w:t>
      </w:r>
      <w:r>
        <w:rPr>
          <w:rFonts w:ascii="Times New Roman" w:cs="Times New Roman" w:eastAsia="Times New Roman" w:hAnsi="Times New Roman"/>
          <w:sz w:val="20"/>
          <w:szCs w:val="20"/>
          <w:color w:val="auto"/>
        </w:rPr>
        <w:t>. All notices, requests, demands and other communications provided for by this Agreement shall be in writing and shall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pacing w:after="0" w:line="174" w:lineRule="exact"/>
        <w:rPr>
          <w:rFonts w:ascii="Times New Roman" w:cs="Times New Roman" w:eastAsia="Times New Roman" w:hAnsi="Times New Roman"/>
          <w:sz w:val="22"/>
          <w:szCs w:val="22"/>
          <w:b w:val="1"/>
          <w:bCs w:val="1"/>
          <w:i w:val="1"/>
          <w:iCs w:val="1"/>
          <w:color w:val="auto"/>
        </w:rPr>
      </w:pPr>
    </w:p>
    <w:p>
      <w:pPr>
        <w:ind w:left="660"/>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color w:val="auto"/>
        </w:rPr>
        <w:t>To the Company:  NN, Inc.</w:t>
      </w:r>
    </w:p>
    <w:p>
      <w:pPr>
        <w:spacing w:after="0" w:line="4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4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207 Mockingbird Lane Johnson City, TN 37604</w:t>
      </w:r>
    </w:p>
    <w:p>
      <w:pPr>
        <w:spacing w:after="0" w:line="297"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auto"/>
        </w:rPr>
        <w:t>To the Executive:</w:t>
        <w:tab/>
        <w:t>D. Gail Nixon</w:t>
      </w:r>
    </w:p>
    <w:p>
      <w:pPr>
        <w:spacing w:after="0" w:line="2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806 Glen Oaks Court</w:t>
      </w:r>
    </w:p>
    <w:p>
      <w:pPr>
        <w:spacing w:after="0" w:line="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Johnson City, TN 37615</w:t>
      </w:r>
    </w:p>
    <w:p>
      <w:pPr>
        <w:spacing w:after="0" w:line="320" w:lineRule="exact"/>
        <w:rPr>
          <w:sz w:val="20"/>
          <w:szCs w:val="20"/>
          <w:color w:val="auto"/>
        </w:rPr>
      </w:pPr>
    </w:p>
    <w:p>
      <w:pPr>
        <w:jc w:val="both"/>
        <w:ind w:left="660" w:hanging="652"/>
        <w:spacing w:after="0" w:line="310" w:lineRule="auto"/>
        <w:tabs>
          <w:tab w:leader="none" w:pos="660" w:val="left"/>
        </w:tabs>
        <w:numPr>
          <w:ilvl w:val="0"/>
          <w:numId w:val="2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Successors: Binding Agreement</w:t>
      </w:r>
      <w:r>
        <w:rPr>
          <w:rFonts w:ascii="Times New Roman" w:cs="Times New Roman" w:eastAsia="Times New Roman" w:hAnsi="Times New Roman"/>
          <w:sz w:val="20"/>
          <w:szCs w:val="20"/>
          <w:color w:val="auto"/>
        </w:rPr>
        <w:t>. The Company shall require any successor (whether direct or indirect, by purchase, merger,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88" w:lineRule="exact"/>
        <w:rPr>
          <w:sz w:val="20"/>
          <w:szCs w:val="20"/>
          <w:color w:val="auto"/>
        </w:rPr>
      </w:pPr>
    </w:p>
    <w:p>
      <w:pPr>
        <w:jc w:val="both"/>
        <w:ind w:left="660"/>
        <w:spacing w:after="0" w:line="339" w:lineRule="auto"/>
        <w:rPr>
          <w:sz w:val="20"/>
          <w:szCs w:val="20"/>
          <w:color w:val="auto"/>
        </w:rPr>
      </w:pPr>
      <w:r>
        <w:rPr>
          <w:rFonts w:ascii="Times New Roman" w:cs="Times New Roman" w:eastAsia="Times New Roman" w:hAnsi="Times New Roman"/>
          <w:sz w:val="20"/>
          <w:szCs w:val="20"/>
          <w:color w:val="auto"/>
        </w:rPr>
        <w:t>to its business and/or assets as aforesaid which executes and delivers the agreement provided for in this paragraph or which otherwise becomes bound by all the terms and provisions of this Agreement by operation of law.</w:t>
      </w:r>
    </w:p>
    <w:p>
      <w:pPr>
        <w:spacing w:after="0" w:line="147"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0"/>
          <w:szCs w:val="20"/>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191" w:lineRule="exact"/>
        <w:rPr>
          <w:sz w:val="20"/>
          <w:szCs w:val="20"/>
          <w:color w:val="auto"/>
        </w:rPr>
      </w:pPr>
    </w:p>
    <w:p>
      <w:pPr>
        <w:jc w:val="both"/>
        <w:ind w:left="660" w:hanging="652"/>
        <w:spacing w:after="0" w:line="310" w:lineRule="auto"/>
        <w:tabs>
          <w:tab w:leader="none" w:pos="660" w:val="left"/>
        </w:tabs>
        <w:numPr>
          <w:ilvl w:val="0"/>
          <w:numId w:val="2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Modification, Waiver or Discharge</w:t>
      </w:r>
      <w:r>
        <w:rPr>
          <w:rFonts w:ascii="Times New Roman" w:cs="Times New Roman" w:eastAsia="Times New Roman" w:hAnsi="Times New Roman"/>
          <w:sz w:val="20"/>
          <w:szCs w:val="20"/>
          <w:color w:val="auto"/>
        </w:rPr>
        <w:t>. No provision of this Agreement may be modified or discharged unless such modification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186"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10" w:lineRule="auto"/>
        <w:tabs>
          <w:tab w:leader="none" w:pos="660" w:val="left"/>
        </w:tabs>
        <w:numPr>
          <w:ilvl w:val="0"/>
          <w:numId w:val="2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Entire Agreement</w:t>
      </w:r>
      <w:r>
        <w:rPr>
          <w:rFonts w:ascii="Times New Roman" w:cs="Times New Roman" w:eastAsia="Times New Roman" w:hAnsi="Times New Roman"/>
          <w:sz w:val="20"/>
          <w:szCs w:val="20"/>
          <w:color w:val="auto"/>
        </w:rPr>
        <w:t>. This Agreement constitutes the entire understanding of the parties hereto with respect to its subject matter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any indemnification agreement by and between the Company and Executive or any general indemnification policy in favor of Executive, which shall continue and remain in full force and effect.</w:t>
      </w:r>
    </w:p>
    <w:p>
      <w:pPr>
        <w:spacing w:after="0" w:line="200" w:lineRule="exact"/>
        <w:rPr>
          <w:rFonts w:ascii="Times New Roman" w:cs="Times New Roman" w:eastAsia="Times New Roman" w:hAnsi="Times New Roman"/>
          <w:sz w:val="22"/>
          <w:szCs w:val="22"/>
          <w:b w:val="1"/>
          <w:bCs w:val="1"/>
          <w:i w:val="1"/>
          <w:iCs w:val="1"/>
          <w:color w:val="auto"/>
        </w:rPr>
      </w:pPr>
    </w:p>
    <w:p>
      <w:pPr>
        <w:spacing w:after="0" w:line="202" w:lineRule="exact"/>
        <w:rPr>
          <w:rFonts w:ascii="Times New Roman" w:cs="Times New Roman" w:eastAsia="Times New Roman" w:hAnsi="Times New Roman"/>
          <w:sz w:val="22"/>
          <w:szCs w:val="22"/>
          <w:b w:val="1"/>
          <w:bCs w:val="1"/>
          <w:i w:val="1"/>
          <w:iCs w:val="1"/>
          <w:color w:val="auto"/>
        </w:rPr>
      </w:pPr>
    </w:p>
    <w:p>
      <w:pPr>
        <w:ind w:left="660" w:hanging="652"/>
        <w:spacing w:after="0" w:line="319" w:lineRule="auto"/>
        <w:tabs>
          <w:tab w:leader="none" w:pos="660" w:val="left"/>
        </w:tabs>
        <w:numPr>
          <w:ilvl w:val="0"/>
          <w:numId w:val="2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Governing Law</w:t>
      </w:r>
      <w:r>
        <w:rPr>
          <w:rFonts w:ascii="Times New Roman" w:cs="Times New Roman" w:eastAsia="Times New Roman" w:hAnsi="Times New Roman"/>
          <w:sz w:val="20"/>
          <w:szCs w:val="20"/>
          <w:color w:val="auto"/>
        </w:rPr>
        <w:t>. The validity, interpretation, construction and performance of this Agreement shall be governed by the laws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 of Tennessee, without regard to its conflict of laws principles, to the extent federal law does not apply.</w:t>
      </w:r>
    </w:p>
    <w:p>
      <w:pPr>
        <w:spacing w:after="0" w:line="168"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10" w:lineRule="auto"/>
        <w:tabs>
          <w:tab w:leader="none" w:pos="660" w:val="left"/>
        </w:tabs>
        <w:numPr>
          <w:ilvl w:val="0"/>
          <w:numId w:val="2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Resolution of Disputes</w:t>
      </w:r>
      <w:r>
        <w:rPr>
          <w:rFonts w:ascii="Times New Roman" w:cs="Times New Roman" w:eastAsia="Times New Roman" w:hAnsi="Times New Roman"/>
          <w:sz w:val="20"/>
          <w:szCs w:val="20"/>
          <w:color w:val="auto"/>
        </w:rPr>
        <w:t>. Any dispute or claim arising out of or relating to this Agreement shall be settled by final and binding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84" w:lineRule="exact"/>
        <w:rPr>
          <w:sz w:val="20"/>
          <w:szCs w:val="20"/>
          <w:color w:val="auto"/>
        </w:rPr>
      </w:pPr>
    </w:p>
    <w:p>
      <w:pPr>
        <w:ind w:left="660" w:hanging="652"/>
        <w:spacing w:after="0" w:line="319" w:lineRule="auto"/>
        <w:tabs>
          <w:tab w:leader="none" w:pos="660" w:val="left"/>
        </w:tabs>
        <w:numPr>
          <w:ilvl w:val="0"/>
          <w:numId w:val="2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Validity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the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provisions of this Agreement, which latter provisions shall remain in full force and effect.</w:t>
      </w:r>
    </w:p>
    <w:p>
      <w:pPr>
        <w:spacing w:after="0" w:line="181" w:lineRule="exact"/>
        <w:rPr>
          <w:rFonts w:ascii="Times New Roman" w:cs="Times New Roman" w:eastAsia="Times New Roman" w:hAnsi="Times New Roman"/>
          <w:sz w:val="22"/>
          <w:szCs w:val="22"/>
          <w:b w:val="1"/>
          <w:bCs w:val="1"/>
          <w:i w:val="1"/>
          <w:i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Compliance with Section 409A</w:t>
      </w:r>
      <w:r>
        <w:rPr>
          <w:rFonts w:ascii="Times New Roman" w:cs="Times New Roman" w:eastAsia="Times New Roman" w:hAnsi="Times New Roman"/>
          <w:sz w:val="20"/>
          <w:szCs w:val="20"/>
          <w:color w:val="auto"/>
        </w:rPr>
        <w:t>.</w:t>
      </w:r>
    </w:p>
    <w:p>
      <w:pPr>
        <w:spacing w:after="0" w:line="251" w:lineRule="exact"/>
        <w:rPr>
          <w:sz w:val="20"/>
          <w:szCs w:val="20"/>
          <w:color w:val="auto"/>
        </w:rPr>
      </w:pPr>
    </w:p>
    <w:p>
      <w:pPr>
        <w:jc w:val="both"/>
        <w:ind w:left="660" w:hanging="652"/>
        <w:spacing w:after="0" w:line="283"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It is intended that the Agreement will comply with Section 409A of the Code and the regulations and other guidance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This Agreement may be amended in any respect deemed necessary (including retroactively) by the Company in order to pursue compliance with Section 409A. The foregoing shall not be construed as a guarantee of any particular tax effect for benefits under this Agreement. The Executive or any beneficiary, as applicable, is solely responsible and liable for the satisfaction of all taxes, interest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interest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pacing w:after="0" w:line="199" w:lineRule="exact"/>
        <w:rPr>
          <w:rFonts w:ascii="Times New Roman" w:cs="Times New Roman" w:eastAsia="Times New Roman" w:hAnsi="Times New Roman"/>
          <w:sz w:val="20"/>
          <w:szCs w:val="20"/>
          <w:color w:val="auto"/>
        </w:rPr>
      </w:pPr>
    </w:p>
    <w:p>
      <w:pPr>
        <w:jc w:val="both"/>
        <w:ind w:left="660" w:hanging="652"/>
        <w:spacing w:after="0" w:line="289"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Six Month Delay for Specified Employees.</w:t>
      </w:r>
      <w:r>
        <w:rPr>
          <w:rFonts w:ascii="Times New Roman" w:cs="Times New Roman" w:eastAsia="Times New Roman" w:hAnsi="Times New Roman"/>
          <w:sz w:val="20"/>
          <w:szCs w:val="20"/>
          <w:color w:val="auto"/>
        </w:rPr>
        <w:t xml:space="preserve">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178" w:lineRule="exact"/>
        <w:rPr>
          <w:sz w:val="20"/>
          <w:szCs w:val="20"/>
          <w:color w:val="auto"/>
        </w:rPr>
      </w:pPr>
    </w:p>
    <w:p>
      <w:pPr>
        <w:jc w:val="both"/>
        <w:ind w:left="660" w:hanging="652"/>
        <w:spacing w:after="0" w:line="293" w:lineRule="auto"/>
        <w:tabs>
          <w:tab w:leader="none" w:pos="660" w:val="left"/>
        </w:tabs>
        <w:numPr>
          <w:ilvl w:val="0"/>
          <w:numId w:val="2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No Adequate Remedy At Law</w:t>
      </w:r>
      <w:r>
        <w:rPr>
          <w:rFonts w:ascii="Times New Roman" w:cs="Times New Roman" w:eastAsia="Times New Roman" w:hAnsi="Times New Roman"/>
          <w:sz w:val="20"/>
          <w:szCs w:val="20"/>
          <w:color w:val="auto"/>
        </w:rPr>
        <w:t>. The Company and the Executive recognize that each party may have no adequate remedy at law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breach by the other of any of the agreements contained herein, and particularly a breach of paragraphs 2, 3, 4, and 6, and, in the event of any such breach, the Company and the Executive hereby agree and consent that the other shall be entitled to injunctive relief or other appropriate remedy to enforce performance of such agreements.</w:t>
      </w:r>
    </w:p>
    <w:p>
      <w:pPr>
        <w:spacing w:after="0" w:line="186" w:lineRule="exact"/>
        <w:rPr>
          <w:rFonts w:ascii="Times New Roman" w:cs="Times New Roman" w:eastAsia="Times New Roman" w:hAnsi="Times New Roman"/>
          <w:sz w:val="20"/>
          <w:szCs w:val="20"/>
          <w:b w:val="1"/>
          <w:bCs w:val="1"/>
          <w:i w:val="1"/>
          <w:iCs w:val="1"/>
          <w:color w:val="auto"/>
        </w:rPr>
      </w:pPr>
    </w:p>
    <w:p>
      <w:pPr>
        <w:ind w:left="660" w:hanging="652"/>
        <w:spacing w:after="0" w:line="319" w:lineRule="auto"/>
        <w:tabs>
          <w:tab w:leader="none" w:pos="660" w:val="left"/>
        </w:tabs>
        <w:numPr>
          <w:ilvl w:val="0"/>
          <w:numId w:val="2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Non-Assignability</w:t>
      </w:r>
      <w:r>
        <w:rPr>
          <w:rFonts w:ascii="Times New Roman" w:cs="Times New Roman" w:eastAsia="Times New Roman" w:hAnsi="Times New Roman"/>
          <w:sz w:val="20"/>
          <w:szCs w:val="20"/>
          <w:color w:val="auto"/>
        </w:rPr>
        <w:t>. This Agreement, and the rights and obligations of the parties hereunder, are personal and neither this Agreement,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nor any right, benefit or obligation of either party hereto, shall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304" w:lineRule="exact"/>
        <w:rPr>
          <w:sz w:val="20"/>
          <w:szCs w:val="20"/>
          <w:color w:val="auto"/>
        </w:rPr>
      </w:pPr>
    </w:p>
    <w:p>
      <w:pPr>
        <w:jc w:val="both"/>
        <w:ind w:left="660"/>
        <w:spacing w:after="0" w:line="319" w:lineRule="auto"/>
        <w:rPr>
          <w:sz w:val="20"/>
          <w:szCs w:val="20"/>
          <w:color w:val="auto"/>
        </w:rPr>
      </w:pPr>
      <w:r>
        <w:rPr>
          <w:rFonts w:ascii="Times New Roman" w:cs="Times New Roman" w:eastAsia="Times New Roman" w:hAnsi="Times New Roman"/>
          <w:sz w:val="20"/>
          <w:szCs w:val="20"/>
          <w:color w:val="auto"/>
        </w:rPr>
        <w:t>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78" w:lineRule="exact"/>
        <w:rPr>
          <w:sz w:val="20"/>
          <w:szCs w:val="20"/>
          <w:color w:val="auto"/>
        </w:rPr>
      </w:pPr>
    </w:p>
    <w:p>
      <w:pPr>
        <w:jc w:val="both"/>
        <w:ind w:left="660" w:hanging="652"/>
        <w:spacing w:after="0" w:line="349" w:lineRule="auto"/>
        <w:tabs>
          <w:tab w:leader="none" w:pos="660" w:val="left"/>
        </w:tabs>
        <w:numPr>
          <w:ilvl w:val="0"/>
          <w:numId w:val="2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9"/>
          <w:szCs w:val="19"/>
          <w:b w:val="1"/>
          <w:bCs w:val="1"/>
          <w:i w:val="1"/>
          <w:iCs w:val="1"/>
          <w:color w:val="auto"/>
        </w:rPr>
        <w:t>Headings</w:t>
      </w:r>
      <w:r>
        <w:rPr>
          <w:rFonts w:ascii="Times New Roman" w:cs="Times New Roman" w:eastAsia="Times New Roman" w:hAnsi="Times New Roman"/>
          <w:sz w:val="19"/>
          <w:szCs w:val="19"/>
          <w:color w:val="auto"/>
        </w:rPr>
        <w:t>. The section headings contained in this Agreement are for convenience of reference only and will not be deemed to control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affect the meaning or construction of any provision of this Agreement. Reference to paragraphs are to paragraphs in this Agreement.</w:t>
      </w:r>
    </w:p>
    <w:p>
      <w:pPr>
        <w:spacing w:after="0" w:line="141" w:lineRule="exact"/>
        <w:rPr>
          <w:rFonts w:ascii="Times New Roman" w:cs="Times New Roman" w:eastAsia="Times New Roman" w:hAnsi="Times New Roman"/>
          <w:sz w:val="21"/>
          <w:szCs w:val="21"/>
          <w:b w:val="1"/>
          <w:bCs w:val="1"/>
          <w:i w:val="1"/>
          <w:iCs w:val="1"/>
          <w:color w:val="auto"/>
        </w:rPr>
      </w:pPr>
    </w:p>
    <w:p>
      <w:pPr>
        <w:ind w:left="660" w:hanging="652"/>
        <w:spacing w:after="0" w:line="319" w:lineRule="auto"/>
        <w:tabs>
          <w:tab w:leader="none" w:pos="660" w:val="left"/>
        </w:tabs>
        <w:numPr>
          <w:ilvl w:val="0"/>
          <w:numId w:val="2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Counterparts</w:t>
      </w:r>
      <w:r>
        <w:rPr>
          <w:rFonts w:ascii="Times New Roman" w:cs="Times New Roman" w:eastAsia="Times New Roman" w:hAnsi="Times New Roman"/>
          <w:sz w:val="20"/>
          <w:szCs w:val="20"/>
          <w:color w:val="auto"/>
        </w:rPr>
        <w:t>. This Agreement may be executed in one or more counterparts, each of which shall be deemed to be an original, but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together will constitute one and the same instrument.</w:t>
      </w:r>
    </w:p>
    <w:p>
      <w:pPr>
        <w:spacing w:after="0" w:line="154" w:lineRule="exact"/>
        <w:rPr>
          <w:rFonts w:ascii="Times New Roman" w:cs="Times New Roman" w:eastAsia="Times New Roman" w:hAnsi="Times New Roman"/>
          <w:sz w:val="22"/>
          <w:szCs w:val="22"/>
          <w:b w:val="1"/>
          <w:bCs w:val="1"/>
          <w:i w:val="1"/>
          <w:i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50" w:lineRule="exact"/>
        <w:rPr>
          <w:rFonts w:ascii="Times New Roman" w:cs="Times New Roman" w:eastAsia="Times New Roman" w:hAnsi="Times New Roman"/>
          <w:sz w:val="22"/>
          <w:szCs w:val="22"/>
          <w:b w:val="1"/>
          <w:bCs w:val="1"/>
          <w:i w:val="1"/>
          <w:iCs w:val="1"/>
          <w:color w:val="auto"/>
        </w:rPr>
      </w:pPr>
    </w:p>
    <w:p>
      <w:pPr>
        <w:ind w:left="1080" w:hanging="424"/>
        <w:spacing w:after="0"/>
        <w:tabs>
          <w:tab w:leader="none" w:pos="108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any of the following:</w:t>
      </w:r>
    </w:p>
    <w:p>
      <w:pPr>
        <w:spacing w:after="0" w:line="256" w:lineRule="exact"/>
        <w:rPr>
          <w:rFonts w:ascii="Times New Roman" w:cs="Times New Roman" w:eastAsia="Times New Roman" w:hAnsi="Times New Roman"/>
          <w:sz w:val="20"/>
          <w:szCs w:val="20"/>
          <w:color w:val="auto"/>
        </w:rPr>
      </w:pPr>
    </w:p>
    <w:p>
      <w:pPr>
        <w:jc w:val="both"/>
        <w:ind w:left="1960" w:hanging="655"/>
        <w:spacing w:after="0" w:line="291" w:lineRule="auto"/>
        <w:tabs>
          <w:tab w:leader="none" w:pos="1960"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Executive to perform the Executive’s duties under this Agreement (other than as a result of physical or mental illness or injury), which failure, if correctable, and provided it does not constitute willful misconduct or gross negligence, remains uncorrected for 10 days following written notice to Executive by the Chief Executive Officer or the Board of Directors of the Company of such breach;</w:t>
      </w:r>
    </w:p>
    <w:p>
      <w:pPr>
        <w:spacing w:after="0" w:line="181" w:lineRule="exact"/>
        <w:rPr>
          <w:rFonts w:ascii="Times New Roman" w:cs="Times New Roman" w:eastAsia="Times New Roman" w:hAnsi="Times New Roman"/>
          <w:sz w:val="20"/>
          <w:szCs w:val="20"/>
          <w:color w:val="auto"/>
        </w:rPr>
      </w:pPr>
    </w:p>
    <w:p>
      <w:pPr>
        <w:ind w:left="1960" w:hanging="655"/>
        <w:spacing w:after="0" w:line="311" w:lineRule="auto"/>
        <w:tabs>
          <w:tab w:leader="none" w:pos="1960"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misconduct or gross negligence by the Executive in either case that results in material damage to the business or reputation of the Company;</w:t>
      </w:r>
    </w:p>
    <w:p>
      <w:pPr>
        <w:spacing w:after="0" w:line="133" w:lineRule="exact"/>
        <w:rPr>
          <w:rFonts w:ascii="Times New Roman" w:cs="Times New Roman" w:eastAsia="Times New Roman" w:hAnsi="Times New Roman"/>
          <w:sz w:val="20"/>
          <w:szCs w:val="20"/>
          <w:color w:val="auto"/>
        </w:rPr>
      </w:pPr>
    </w:p>
    <w:p>
      <w:pPr>
        <w:jc w:val="both"/>
        <w:ind w:left="1960" w:hanging="655"/>
        <w:spacing w:after="0" w:line="340" w:lineRule="auto"/>
        <w:tabs>
          <w:tab w:leader="none" w:pos="1960" w:val="left"/>
        </w:tabs>
        <w:numPr>
          <w:ilvl w:val="2"/>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breach by Executive of this Agreement which, if correctable, remains uncorrected for 10 days following written notice to Executive by the Chief Executive Officer or the Board of Directors of the Company of such breach; or</w:t>
      </w:r>
    </w:p>
    <w:p>
      <w:pPr>
        <w:spacing w:after="0" w:line="137" w:lineRule="exact"/>
        <w:rPr>
          <w:rFonts w:ascii="Times New Roman" w:cs="Times New Roman" w:eastAsia="Times New Roman" w:hAnsi="Times New Roman"/>
          <w:sz w:val="19"/>
          <w:szCs w:val="19"/>
          <w:color w:val="auto"/>
        </w:rPr>
      </w:pPr>
    </w:p>
    <w:p>
      <w:pPr>
        <w:ind w:left="1960" w:hanging="655"/>
        <w:spacing w:after="0" w:line="311" w:lineRule="auto"/>
        <w:tabs>
          <w:tab w:leader="none" w:pos="1960"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is convicted of a felony or any other crime (other than traffic violations) involving moral turpitude (whether or not in connection with the performance by Executive of his duties under this Agreement).</w:t>
      </w:r>
    </w:p>
    <w:p>
      <w:pPr>
        <w:spacing w:after="0" w:line="200" w:lineRule="exact"/>
        <w:rPr>
          <w:rFonts w:ascii="Times New Roman" w:cs="Times New Roman" w:eastAsia="Times New Roman" w:hAnsi="Times New Roman"/>
          <w:sz w:val="20"/>
          <w:szCs w:val="20"/>
          <w:color w:val="auto"/>
        </w:rPr>
      </w:pPr>
    </w:p>
    <w:p>
      <w:pPr>
        <w:spacing w:after="0" w:line="243"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and shall occur on the date that any of the following occurs:</w:t>
      </w:r>
    </w:p>
    <w:p>
      <w:pPr>
        <w:spacing w:after="0" w:line="256" w:lineRule="exact"/>
        <w:rPr>
          <w:rFonts w:ascii="Times New Roman" w:cs="Times New Roman" w:eastAsia="Times New Roman" w:hAnsi="Times New Roman"/>
          <w:sz w:val="20"/>
          <w:szCs w:val="20"/>
          <w:color w:val="auto"/>
        </w:rPr>
      </w:pPr>
    </w:p>
    <w:p>
      <w:pPr>
        <w:jc w:val="both"/>
        <w:ind w:left="1960" w:hanging="655"/>
        <w:spacing w:after="0" w:line="289" w:lineRule="auto"/>
        <w:tabs>
          <w:tab w:leader="none" w:pos="1960"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corporation, entity or group (1) makes a tender or exchange offer for the issued and outstanding voting stock of NN, Inc., (“</w:t>
      </w:r>
      <w:r>
        <w:rPr>
          <w:rFonts w:ascii="Times New Roman" w:cs="Times New Roman" w:eastAsia="Times New Roman" w:hAnsi="Times New Roman"/>
          <w:sz w:val="20"/>
          <w:szCs w:val="20"/>
          <w:u w:val="single" w:color="auto"/>
          <w:color w:val="auto"/>
        </w:rPr>
        <w:t>NN</w:t>
      </w:r>
      <w:r>
        <w:rPr>
          <w:rFonts w:ascii="Times New Roman" w:cs="Times New Roman" w:eastAsia="Times New Roman" w:hAnsi="Times New Roman"/>
          <w:sz w:val="20"/>
          <w:szCs w:val="20"/>
          <w:color w:val="auto"/>
        </w:rPr>
        <w:t>”)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304" w:lineRule="exact"/>
        <w:rPr>
          <w:sz w:val="20"/>
          <w:szCs w:val="20"/>
          <w:color w:val="auto"/>
        </w:rPr>
      </w:pPr>
    </w:p>
    <w:p>
      <w:pPr>
        <w:jc w:val="both"/>
        <w:ind w:left="1960"/>
        <w:spacing w:after="0" w:line="319" w:lineRule="auto"/>
        <w:rPr>
          <w:sz w:val="20"/>
          <w:szCs w:val="20"/>
          <w:color w:val="auto"/>
        </w:rPr>
      </w:pPr>
      <w:r>
        <w:rPr>
          <w:rFonts w:ascii="Times New Roman" w:cs="Times New Roman" w:eastAsia="Times New Roman" w:hAnsi="Times New Roman"/>
          <w:sz w:val="20"/>
          <w:szCs w:val="20"/>
          <w:color w:val="auto"/>
        </w:rPr>
        <w:t>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168" w:lineRule="exact"/>
        <w:rPr>
          <w:sz w:val="20"/>
          <w:szCs w:val="20"/>
          <w:color w:val="auto"/>
        </w:rPr>
      </w:pPr>
    </w:p>
    <w:p>
      <w:pPr>
        <w:jc w:val="both"/>
        <w:ind w:left="1960" w:hanging="655"/>
        <w:spacing w:after="0" w:line="296" w:lineRule="auto"/>
        <w:tabs>
          <w:tab w:leader="none" w:pos="196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w:t>
      </w:r>
    </w:p>
    <w:p>
      <w:pPr>
        <w:spacing w:after="0" w:line="175" w:lineRule="exact"/>
        <w:rPr>
          <w:rFonts w:ascii="Times New Roman" w:cs="Times New Roman" w:eastAsia="Times New Roman" w:hAnsi="Times New Roman"/>
          <w:sz w:val="20"/>
          <w:szCs w:val="20"/>
          <w:color w:val="auto"/>
        </w:rPr>
      </w:pPr>
    </w:p>
    <w:p>
      <w:pPr>
        <w:ind w:left="1960" w:hanging="655"/>
        <w:spacing w:after="0" w:line="311" w:lineRule="auto"/>
        <w:tabs>
          <w:tab w:leader="none" w:pos="196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NN sells fifty percent (50%) or more of its assets to any other person or persons (other than an affiliate or affiliates of NN); or</w:t>
      </w:r>
    </w:p>
    <w:p>
      <w:pPr>
        <w:spacing w:after="0" w:line="160" w:lineRule="exact"/>
        <w:rPr>
          <w:rFonts w:ascii="Times New Roman" w:cs="Times New Roman" w:eastAsia="Times New Roman" w:hAnsi="Times New Roman"/>
          <w:sz w:val="20"/>
          <w:szCs w:val="20"/>
          <w:color w:val="auto"/>
        </w:rPr>
      </w:pPr>
    </w:p>
    <w:p>
      <w:pPr>
        <w:jc w:val="both"/>
        <w:ind w:left="1960" w:hanging="655"/>
        <w:spacing w:after="0" w:line="286" w:lineRule="auto"/>
        <w:tabs>
          <w:tab w:leader="none" w:pos="196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during any 12-month period, constitute the Board (the “</w:t>
      </w:r>
      <w:r>
        <w:rPr>
          <w:rFonts w:ascii="Times New Roman" w:cs="Times New Roman" w:eastAsia="Times New Roman" w:hAnsi="Times New Roman"/>
          <w:sz w:val="20"/>
          <w:szCs w:val="20"/>
          <w:u w:val="single" w:color="auto"/>
          <w:color w:val="auto"/>
        </w:rPr>
        <w:t>Incumbent Board</w:t>
      </w:r>
      <w:r>
        <w:rPr>
          <w:rFonts w:ascii="Times New Roman" w:cs="Times New Roman" w:eastAsia="Times New Roman" w:hAnsi="Times New Roman"/>
          <w:sz w:val="20"/>
          <w:szCs w:val="20"/>
          <w:color w:val="auto"/>
        </w:rPr>
        <w:t>”)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88" w:lineRule="exact"/>
        <w:rPr>
          <w:rFonts w:ascii="Times New Roman" w:cs="Times New Roman" w:eastAsia="Times New Roman" w:hAnsi="Times New Roman"/>
          <w:sz w:val="20"/>
          <w:szCs w:val="20"/>
          <w:color w:val="auto"/>
        </w:rPr>
      </w:pPr>
    </w:p>
    <w:p>
      <w:pPr>
        <w:ind w:left="1960" w:right="56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intended that a Change in Control, in and of itself, will serve as an event which entitles Executive to any payment hereunder.</w:t>
      </w:r>
    </w:p>
    <w:p>
      <w:pPr>
        <w:spacing w:after="0" w:line="16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256" w:lineRule="exact"/>
        <w:rPr>
          <w:rFonts w:ascii="Times New Roman" w:cs="Times New Roman" w:eastAsia="Times New Roman" w:hAnsi="Times New Roman"/>
          <w:sz w:val="20"/>
          <w:szCs w:val="20"/>
          <w:color w:val="auto"/>
        </w:rPr>
      </w:pPr>
    </w:p>
    <w:p>
      <w:pPr>
        <w:jc w:val="both"/>
        <w:ind w:left="660" w:hanging="652"/>
        <w:spacing w:after="0" w:line="285"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91" w:lineRule="exact"/>
        <w:rPr>
          <w:sz w:val="20"/>
          <w:szCs w:val="20"/>
          <w:color w:val="auto"/>
        </w:rPr>
      </w:pPr>
    </w:p>
    <w:p>
      <w:pPr>
        <w:jc w:val="both"/>
        <w:ind w:left="660" w:hanging="652"/>
        <w:spacing w:after="0" w:line="287" w:lineRule="auto"/>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any of the following events if not remedied by the Company within 30 days after receipt of notice thereof from the Executive: (i) assignment to the Executive of any duties inconsistent with Executive’s position duties, responsibilities, office, or any other action by the Company that results in a material diminution in the Executive’s position, authority, duties or responsibilities; (ii) any material failure by the Company to comply with this Agreement; (iii) any material adverse change in Executive’s annual compensation and other benefits; or (iv) a requirement to relocate Executive’s place of employment in excess of fifty (50) miles from the current principal office of the Company as of the date hereof.</w:t>
      </w:r>
    </w:p>
    <w:p>
      <w:pPr>
        <w:spacing w:after="0" w:line="186" w:lineRule="exact"/>
        <w:rPr>
          <w:rFonts w:ascii="Times New Roman" w:cs="Times New Roman" w:eastAsia="Times New Roman" w:hAnsi="Times New Roman"/>
          <w:sz w:val="20"/>
          <w:szCs w:val="20"/>
          <w:color w:val="auto"/>
        </w:rPr>
      </w:pPr>
    </w:p>
    <w:p>
      <w:pPr>
        <w:jc w:val="both"/>
        <w:ind w:left="660"/>
        <w:spacing w:after="0" w:line="28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definition to the contrary, an alleged act by the Company shall not constitute a “Good Reason” event for purposes of this Agreement unless Executive gives written notice of the same to the Company within 60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195" w:lineRule="exact"/>
        <w:rPr>
          <w:rFonts w:ascii="Times New Roman" w:cs="Times New Roman" w:eastAsia="Times New Roman" w:hAnsi="Times New Roman"/>
          <w:sz w:val="20"/>
          <w:szCs w:val="20"/>
          <w:color w:val="auto"/>
        </w:rPr>
      </w:pPr>
    </w:p>
    <w:p>
      <w:pPr>
        <w:jc w:val="both"/>
        <w:ind w:left="660" w:hanging="652"/>
        <w:spacing w:after="0" w:line="309" w:lineRule="auto"/>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means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1" w:lineRule="exact"/>
        <w:rPr>
          <w:rFonts w:ascii="Times New Roman" w:cs="Times New Roman" w:eastAsia="Times New Roman" w:hAnsi="Times New Roman"/>
          <w:sz w:val="22"/>
          <w:szCs w:val="22"/>
          <w:color w:val="auto"/>
        </w:rPr>
      </w:pPr>
    </w:p>
    <w:p>
      <w:pPr>
        <w:ind w:left="660" w:hanging="652"/>
        <w:spacing w:after="0" w:line="315" w:lineRule="auto"/>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means a Separation from Service by action of the Company that is not for Cause, or a Separation from Service by action of the Executive that is for Good Reason.</w:t>
      </w:r>
    </w:p>
    <w:p>
      <w:pPr>
        <w:spacing w:after="0" w:line="81" w:lineRule="exact"/>
        <w:rPr>
          <w:rFonts w:ascii="Times New Roman" w:cs="Times New Roman" w:eastAsia="Times New Roman" w:hAnsi="Times New Roman"/>
          <w:sz w:val="22"/>
          <w:szCs w:val="22"/>
          <w:color w:val="auto"/>
        </w:rPr>
      </w:pPr>
    </w:p>
    <w:p>
      <w:pPr>
        <w:jc w:val="both"/>
        <w:ind w:left="660" w:hanging="652"/>
        <w:spacing w:after="0" w:line="309" w:lineRule="auto"/>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Restrictive Period</w:t>
      </w:r>
      <w:r>
        <w:rPr>
          <w:rFonts w:ascii="Times New Roman" w:cs="Times New Roman" w:eastAsia="Times New Roman" w:hAnsi="Times New Roman"/>
          <w:sz w:val="20"/>
          <w:szCs w:val="20"/>
          <w:color w:val="auto"/>
        </w:rPr>
        <w:t>” means (i) a number of months following Executive’s termination of employment pursuant to paragraph 1(a) or 1(c) above which is equal to the number of months for which the Executive is entitled to receive his base salary under paragraph 1(a) or 1(c) above, or a period of 12 months following Executive’s termination of employment pursuant to paragraph 1(b) above.</w:t>
      </w:r>
    </w:p>
    <w:p>
      <w:pPr>
        <w:spacing w:after="0" w:line="28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means Executive’s “separation from service” as defined in Treasury Regulation Section 1.409A-1(h).</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Executive and the Company (by action of its duly authorized officers) have executed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date first above written.</w:t>
      </w:r>
    </w:p>
    <w:p>
      <w:pPr>
        <w:spacing w:after="0" w:line="13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200" w:lineRule="exact"/>
        <w:rPr>
          <w:sz w:val="20"/>
          <w:szCs w:val="20"/>
          <w:color w:val="auto"/>
        </w:rPr>
      </w:pPr>
    </w:p>
    <w:p>
      <w:pPr>
        <w:spacing w:after="0" w:line="30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Richard D. Holder</w:t>
      </w:r>
    </w:p>
    <w:p>
      <w:pPr>
        <w:spacing w:after="0" w:line="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Name: Richard D. Holder</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3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u w:val="single" w:color="auto"/>
          <w:color w:val="auto"/>
        </w:rPr>
        <w:t>/s/ D. Gail Nixon</w:t>
      </w:r>
    </w:p>
    <w:p>
      <w:pPr>
        <w:spacing w:after="0" w:line="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Name: D. Gail Nixon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Executive’s Severance Payment subsequent to a Change in Control as provided in paragraph 1(c)(i) shall be a lump sum payment equal to:</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 times Executive’s base salary (as of the date of Executive’s termination); plus</w:t>
      </w:r>
    </w:p>
    <w:p>
      <w:pPr>
        <w:spacing w:after="0" w:line="2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1.0 times Executive’s target bonus.</w:t>
      </w: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22543288.2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w:t>
      </w:r>
    </w:p>
    <w:p>
      <w:pPr>
        <w:spacing w:after="0" w:line="256"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20"/>
          <w:szCs w:val="20"/>
          <w:b w:val="1"/>
          <w:bCs w:val="1"/>
          <w:color w:val="auto"/>
        </w:rPr>
        <w:t xml:space="preserve">THIS SEPERATION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this 1st day of April, 2017,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NN, Inc., a Delaware Corporation with its principal place of business in Johnson City, Tennessee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J. Robbie Atkinson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WITNESSETH:</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will employ the Executive for the success of the Company and recognizes that the Executive will perform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key functions for the Company; and</w:t>
      </w:r>
    </w:p>
    <w:p>
      <w:pPr>
        <w:spacing w:after="0" w:line="171"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determined that it is in the best interests of the Company to institute a formalized separation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arrangement with the Executive in the event of a separation of employment; and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Executive desires to enter into this Agreement with the Company;</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of the promises, covenants and mutual agreements set forth below,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good and valuable consideration, the receipt and sufficiency of which are hereby acknowledged, the parties hereby agree as follows: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Compensation and Benefits in the Event of Separation from Service</w:t>
      </w:r>
      <w:r>
        <w:rPr>
          <w:rFonts w:ascii="Times New Roman" w:cs="Times New Roman" w:eastAsia="Times New Roman" w:hAnsi="Times New Roman"/>
          <w:sz w:val="20"/>
          <w:szCs w:val="20"/>
          <w:color w:val="auto"/>
        </w:rPr>
        <w:t>. In the event of the Executive’s Separation from Service,</w:t>
      </w:r>
    </w:p>
    <w:p>
      <w:pPr>
        <w:spacing w:after="0" w:line="4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compensation and benefits shall be paid as set forth below.</w:t>
      </w:r>
    </w:p>
    <w:p>
      <w:pPr>
        <w:spacing w:after="0" w:line="28" w:lineRule="exact"/>
        <w:rPr>
          <w:sz w:val="20"/>
          <w:szCs w:val="20"/>
          <w:color w:val="auto"/>
        </w:rPr>
      </w:pPr>
    </w:p>
    <w:p>
      <w:pPr>
        <w:ind w:left="660" w:hanging="652"/>
        <w:spacing w:after="0" w:line="253" w:lineRule="auto"/>
        <w:tabs>
          <w:tab w:leader="none" w:pos="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Qualifying Termination Prior To A Change In Control.</w:t>
      </w:r>
      <w:r>
        <w:rPr>
          <w:rFonts w:ascii="Times New Roman" w:cs="Times New Roman" w:eastAsia="Times New Roman" w:hAnsi="Times New Roman"/>
          <w:sz w:val="20"/>
          <w:szCs w:val="20"/>
          <w:color w:val="auto"/>
        </w:rPr>
        <w:t xml:space="preserve"> If the Executive has a Qualifying Termination after the Effective Date and prior to a Change in Control, then upon such Qualifying Termination the Executive shall be entitled to receive the following:</w:t>
      </w:r>
    </w:p>
    <w:p>
      <w:pPr>
        <w:spacing w:after="0" w:line="202" w:lineRule="exact"/>
        <w:rPr>
          <w:rFonts w:ascii="Times New Roman" w:cs="Times New Roman" w:eastAsia="Times New Roman" w:hAnsi="Times New Roman"/>
          <w:sz w:val="20"/>
          <w:szCs w:val="20"/>
          <w:color w:val="auto"/>
        </w:rPr>
      </w:pPr>
    </w:p>
    <w:p>
      <w:pPr>
        <w:ind w:left="1300" w:hanging="644"/>
        <w:spacing w:after="0" w:line="311" w:lineRule="auto"/>
        <w:tabs>
          <w:tab w:leader="none" w:pos="13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annual salary through the effective date of Separation from Service, at the annual rate in effect at the time the Notice of Termination is given (or death occurs), to the extent unpaid prior to such Separation from Service.</w:t>
      </w:r>
    </w:p>
    <w:p>
      <w:pPr>
        <w:spacing w:after="0" w:line="160" w:lineRule="exact"/>
        <w:rPr>
          <w:rFonts w:ascii="Times New Roman" w:cs="Times New Roman" w:eastAsia="Times New Roman" w:hAnsi="Times New Roman"/>
          <w:sz w:val="20"/>
          <w:szCs w:val="20"/>
          <w:color w:val="auto"/>
        </w:rPr>
      </w:pPr>
    </w:p>
    <w:p>
      <w:pPr>
        <w:jc w:val="both"/>
        <w:ind w:left="1300" w:hanging="644"/>
        <w:spacing w:after="0" w:line="296" w:lineRule="auto"/>
        <w:tabs>
          <w:tab w:leader="none" w:pos="13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Executive’s prior service to the Company an amount equal to 18 months of his annual base salary in effect on the date of his Separation from Service. These amounts shall be payable in accordance with the Company’s regular payroll procedures over the 18 month period following the Executive’s Separation from Service.</w:t>
      </w:r>
    </w:p>
    <w:p>
      <w:pPr>
        <w:spacing w:after="0" w:line="175" w:lineRule="exact"/>
        <w:rPr>
          <w:rFonts w:ascii="Times New Roman" w:cs="Times New Roman" w:eastAsia="Times New Roman" w:hAnsi="Times New Roman"/>
          <w:sz w:val="20"/>
          <w:szCs w:val="20"/>
          <w:color w:val="auto"/>
        </w:rPr>
      </w:pPr>
    </w:p>
    <w:p>
      <w:pPr>
        <w:jc w:val="both"/>
        <w:ind w:left="1300" w:hanging="644"/>
        <w:spacing w:after="0" w:line="291" w:lineRule="auto"/>
        <w:tabs>
          <w:tab w:leader="none" w:pos="13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vested rights of Executive in accordance with the Company’s plans, programs or policies. A payment equal to the target annual bonus to which the Executive would have been entitled but for the Qualifying Termination, prorated for the portion of the year during which the Executive was employed by the Company (which bonus will be determined in accordance with the Company’s corporate guidelines and distributed after completion of the Company’s fiscal year end audit).</w:t>
      </w:r>
    </w:p>
    <w:p>
      <w:pPr>
        <w:spacing w:after="0" w:line="181" w:lineRule="exact"/>
        <w:rPr>
          <w:rFonts w:ascii="Times New Roman" w:cs="Times New Roman" w:eastAsia="Times New Roman" w:hAnsi="Times New Roman"/>
          <w:sz w:val="20"/>
          <w:szCs w:val="20"/>
          <w:color w:val="auto"/>
        </w:rPr>
      </w:pPr>
    </w:p>
    <w:p>
      <w:pPr>
        <w:ind w:left="1300" w:right="20" w:hanging="644"/>
        <w:spacing w:after="0" w:line="311" w:lineRule="auto"/>
        <w:tabs>
          <w:tab w:leader="none" w:pos="13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reimbursement for any and all reimbursable business expenses (to the extent not already reimbursed) upon Executive’s properly accounting for the same.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91"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$12,000.00 payable in a single lump sum to assist with the Executive’s transition from employment.</w:t>
      </w:r>
    </w:p>
    <w:p>
      <w:pPr>
        <w:spacing w:after="0" w:line="256" w:lineRule="exact"/>
        <w:rPr>
          <w:sz w:val="20"/>
          <w:szCs w:val="20"/>
          <w:color w:val="auto"/>
        </w:rPr>
      </w:pPr>
    </w:p>
    <w:p>
      <w:pPr>
        <w:ind w:left="660"/>
        <w:spacing w:after="0" w:line="311" w:lineRule="auto"/>
        <w:rPr>
          <w:sz w:val="20"/>
          <w:szCs w:val="20"/>
          <w:color w:val="auto"/>
        </w:rPr>
      </w:pPr>
      <w:r>
        <w:rPr>
          <w:rFonts w:ascii="Times New Roman" w:cs="Times New Roman" w:eastAsia="Times New Roman" w:hAnsi="Times New Roman"/>
          <w:sz w:val="20"/>
          <w:szCs w:val="20"/>
          <w:color w:val="auto"/>
        </w:rPr>
        <w:t>Payments under (ii) and (v) above shall commence or shall be paid within 60 days following the Executive’s Separation from Service; provided, however, that the Executive is in full compliance with the covenants under paragraphs 2, 3, 4, and 6 of this Agreement.</w:t>
      </w:r>
    </w:p>
    <w:p>
      <w:pPr>
        <w:spacing w:after="0" w:line="160" w:lineRule="exact"/>
        <w:rPr>
          <w:sz w:val="20"/>
          <w:szCs w:val="20"/>
          <w:color w:val="auto"/>
        </w:rPr>
      </w:pPr>
    </w:p>
    <w:p>
      <w:pPr>
        <w:ind w:left="660" w:right="20" w:hanging="652"/>
        <w:spacing w:after="0" w:line="281" w:lineRule="auto"/>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Company For Cause Or By The Executive Without Good Reason</w:t>
      </w:r>
      <w:r>
        <w:rPr>
          <w:rFonts w:ascii="Times New Roman" w:cs="Times New Roman" w:eastAsia="Times New Roman" w:hAnsi="Times New Roman"/>
          <w:sz w:val="20"/>
          <w:szCs w:val="20"/>
          <w:color w:val="auto"/>
        </w:rPr>
        <w:t>. In the event Executive’s Separation from Service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3" w:lineRule="exact"/>
        <w:rPr>
          <w:rFonts w:ascii="Times New Roman" w:cs="Times New Roman" w:eastAsia="Times New Roman" w:hAnsi="Times New Roman"/>
          <w:sz w:val="20"/>
          <w:szCs w:val="20"/>
          <w:color w:val="auto"/>
        </w:rPr>
      </w:pPr>
    </w:p>
    <w:p>
      <w:pPr>
        <w:ind w:left="1300" w:hanging="644"/>
        <w:spacing w:after="0" w:line="311" w:lineRule="auto"/>
        <w:tabs>
          <w:tab w:leader="none" w:pos="13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annual salary provided through the effective date of Separation from Service, at the annual rate in effect at the time the Notice of Termination is given (or death occurs), to the extent unpaid prior to such Separation from Service.</w:t>
      </w:r>
    </w:p>
    <w:p>
      <w:pPr>
        <w:spacing w:after="0" w:line="22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vested rights of Executive in accordance with the Company’s plans, programs or policies.</w:t>
      </w:r>
    </w:p>
    <w:p>
      <w:pPr>
        <w:spacing w:after="0" w:line="256" w:lineRule="exact"/>
        <w:rPr>
          <w:rFonts w:ascii="Times New Roman" w:cs="Times New Roman" w:eastAsia="Times New Roman" w:hAnsi="Times New Roman"/>
          <w:sz w:val="20"/>
          <w:szCs w:val="20"/>
          <w:color w:val="auto"/>
        </w:rPr>
      </w:pPr>
    </w:p>
    <w:p>
      <w:pPr>
        <w:ind w:left="1300" w:right="20" w:hanging="644"/>
        <w:spacing w:after="0" w:line="311" w:lineRule="auto"/>
        <w:tabs>
          <w:tab w:leader="none" w:pos="13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reimbursement for any and all reimbursable business expenses (to the extent not already reimbursed) upon Executive’s properly accounting for the same.</w:t>
      </w:r>
    </w:p>
    <w:p>
      <w:pPr>
        <w:spacing w:after="0" w:line="160"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Qualifying Termination Following a Change in Control.</w:t>
      </w:r>
    </w:p>
    <w:p>
      <w:pPr>
        <w:spacing w:after="0" w:line="256" w:lineRule="exact"/>
        <w:rPr>
          <w:rFonts w:ascii="Times New Roman" w:cs="Times New Roman" w:eastAsia="Times New Roman" w:hAnsi="Times New Roman"/>
          <w:sz w:val="20"/>
          <w:szCs w:val="20"/>
          <w:color w:val="auto"/>
        </w:rPr>
      </w:pPr>
    </w:p>
    <w:p>
      <w:pPr>
        <w:ind w:left="660" w:hanging="4"/>
        <w:spacing w:after="0" w:line="311" w:lineRule="auto"/>
        <w:tabs>
          <w:tab w:leader="none" w:pos="105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Executive has a Qualifying Termination within 24 months following a Change in Control, Executive shall receive the following, subject to paragraph 1(c)(ii):</w:t>
      </w:r>
    </w:p>
    <w:p>
      <w:pPr>
        <w:spacing w:after="0" w:line="160"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salary due to the Executive through the date of his Separation from Service.</w:t>
      </w:r>
    </w:p>
    <w:p>
      <w:pPr>
        <w:spacing w:after="0" w:line="256" w:lineRule="exact"/>
        <w:rPr>
          <w:rFonts w:ascii="Times New Roman" w:cs="Times New Roman" w:eastAsia="Times New Roman" w:hAnsi="Times New Roman"/>
          <w:sz w:val="20"/>
          <w:szCs w:val="20"/>
          <w:color w:val="auto"/>
        </w:rPr>
      </w:pPr>
    </w:p>
    <w:p>
      <w:pPr>
        <w:jc w:val="both"/>
        <w:ind w:left="1960" w:hanging="655"/>
        <w:spacing w:after="0" w:line="296" w:lineRule="auto"/>
        <w:tabs>
          <w:tab w:leader="none" w:pos="1960"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lump sum payment equal to an amount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to this Agreement (the “</w:t>
      </w:r>
      <w:r>
        <w:rPr>
          <w:rFonts w:ascii="Times New Roman" w:cs="Times New Roman" w:eastAsia="Times New Roman" w:hAnsi="Times New Roman"/>
          <w:sz w:val="20"/>
          <w:szCs w:val="20"/>
          <w:u w:val="single" w:color="auto"/>
          <w:color w:val="auto"/>
        </w:rPr>
        <w:t>Severance Payment</w:t>
      </w:r>
      <w:r>
        <w:rPr>
          <w:rFonts w:ascii="Times New Roman" w:cs="Times New Roman" w:eastAsia="Times New Roman" w:hAnsi="Times New Roman"/>
          <w:sz w:val="20"/>
          <w:szCs w:val="20"/>
          <w:color w:val="auto"/>
        </w:rPr>
        <w:t>”). The Severance Payment shall be made by wire transfer or immediately available funds to an account designated by Executive following the date of the Separation from Service.</w:t>
      </w:r>
    </w:p>
    <w:p>
      <w:pPr>
        <w:spacing w:after="0" w:line="175" w:lineRule="exact"/>
        <w:rPr>
          <w:rFonts w:ascii="Times New Roman" w:cs="Times New Roman" w:eastAsia="Times New Roman" w:hAnsi="Times New Roman"/>
          <w:sz w:val="20"/>
          <w:szCs w:val="20"/>
          <w:color w:val="auto"/>
        </w:rPr>
      </w:pPr>
    </w:p>
    <w:p>
      <w:pPr>
        <w:jc w:val="both"/>
        <w:ind w:left="1960" w:hanging="655"/>
        <w:spacing w:after="0" w:line="296" w:lineRule="auto"/>
        <w:tabs>
          <w:tab w:leader="none" w:pos="1960"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equal to the target annual bonus to which Executive would have been entitled but for Executive’s Separation from Service, for the year of Executive’s termination; pro-rated for the portion of the year during which he was employed by the Company (“</w:t>
      </w:r>
      <w:r>
        <w:rPr>
          <w:rFonts w:ascii="Times New Roman" w:cs="Times New Roman" w:eastAsia="Times New Roman" w:hAnsi="Times New Roman"/>
          <w:sz w:val="20"/>
          <w:szCs w:val="20"/>
          <w:u w:val="single" w:color="auto"/>
          <w:color w:val="auto"/>
        </w:rPr>
        <w:t>Pro-rated Bonus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vested rights of Executive in accordance with the Company’s plans, programs or policies.</w:t>
      </w:r>
    </w:p>
    <w:p>
      <w:pPr>
        <w:spacing w:after="0" w:line="256" w:lineRule="exact"/>
        <w:rPr>
          <w:rFonts w:ascii="Times New Roman" w:cs="Times New Roman" w:eastAsia="Times New Roman" w:hAnsi="Times New Roman"/>
          <w:sz w:val="20"/>
          <w:szCs w:val="20"/>
          <w:color w:val="auto"/>
        </w:rPr>
      </w:pPr>
    </w:p>
    <w:p>
      <w:pPr>
        <w:ind w:left="1960" w:right="20" w:hanging="655"/>
        <w:spacing w:after="0" w:line="311" w:lineRule="auto"/>
        <w:tabs>
          <w:tab w:leader="none" w:pos="1960"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reimbursement for any and all reimbursable business expenses (to the extent not already reimbursed) upon Executive’s properly accounting for the same.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91" w:lineRule="exact"/>
        <w:rPr>
          <w:sz w:val="20"/>
          <w:szCs w:val="20"/>
          <w:color w:val="auto"/>
        </w:rPr>
      </w:pPr>
    </w:p>
    <w:p>
      <w:pPr>
        <w:ind w:left="1304" w:hanging="655"/>
        <w:spacing w:after="0"/>
        <w:tabs>
          <w:tab w:leader="none" w:pos="130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$12,000.00 payable in a single lump sum to assist with the Executive’s transition from employment.</w:t>
      </w:r>
    </w:p>
    <w:p>
      <w:pPr>
        <w:spacing w:after="0" w:line="256" w:lineRule="exact"/>
        <w:rPr>
          <w:sz w:val="20"/>
          <w:szCs w:val="20"/>
          <w:color w:val="auto"/>
        </w:rPr>
      </w:pPr>
    </w:p>
    <w:p>
      <w:pPr>
        <w:jc w:val="both"/>
        <w:ind w:left="644"/>
        <w:spacing w:after="0" w:line="296" w:lineRule="auto"/>
        <w:rPr>
          <w:sz w:val="20"/>
          <w:szCs w:val="20"/>
          <w:color w:val="auto"/>
        </w:rPr>
      </w:pPr>
      <w:r>
        <w:rPr>
          <w:rFonts w:ascii="Times New Roman" w:cs="Times New Roman" w:eastAsia="Times New Roman" w:hAnsi="Times New Roman"/>
          <w:sz w:val="20"/>
          <w:szCs w:val="20"/>
          <w:color w:val="auto"/>
        </w:rPr>
        <w:t>Payments under (2), (3) and (6) above shall be paid in full in a lump sum within 60 days following the Executive’s Separation from Service; provided, however, that the Executive is in full compliance with the covenants under paragraphs 2, 3, 4, and 6 of this Agreement.</w:t>
      </w:r>
    </w:p>
    <w:p>
      <w:pPr>
        <w:spacing w:after="0" w:line="175" w:lineRule="exact"/>
        <w:rPr>
          <w:sz w:val="20"/>
          <w:szCs w:val="20"/>
          <w:color w:val="auto"/>
        </w:rPr>
      </w:pPr>
    </w:p>
    <w:p>
      <w:pPr>
        <w:ind w:left="444" w:hanging="444"/>
        <w:spacing w:after="0"/>
        <w:tabs>
          <w:tab w:leader="none" w:pos="44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Excise Tax.</w:t>
      </w:r>
    </w:p>
    <w:p>
      <w:pPr>
        <w:spacing w:after="0" w:line="256" w:lineRule="exact"/>
        <w:rPr>
          <w:rFonts w:ascii="Times New Roman" w:cs="Times New Roman" w:eastAsia="Times New Roman" w:hAnsi="Times New Roman"/>
          <w:sz w:val="20"/>
          <w:szCs w:val="20"/>
          <w:color w:val="auto"/>
        </w:rPr>
      </w:pPr>
    </w:p>
    <w:p>
      <w:pPr>
        <w:jc w:val="both"/>
        <w:ind w:left="1304" w:hanging="655"/>
        <w:spacing w:after="0" w:line="285" w:lineRule="auto"/>
        <w:tabs>
          <w:tab w:leader="none" w:pos="130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w:t>
      </w:r>
      <w:r>
        <w:rPr>
          <w:rFonts w:ascii="Times New Roman" w:cs="Times New Roman" w:eastAsia="Times New Roman" w:hAnsi="Times New Roman"/>
          <w:sz w:val="20"/>
          <w:szCs w:val="20"/>
          <w:u w:val="single" w:color="auto"/>
          <w:color w:val="auto"/>
        </w:rPr>
        <w:t>Change in Control Payment</w:t>
      </w:r>
      <w:r>
        <w:rPr>
          <w:rFonts w:ascii="Times New Roman" w:cs="Times New Roman" w:eastAsia="Times New Roman" w:hAnsi="Times New Roman"/>
          <w:sz w:val="20"/>
          <w:szCs w:val="20"/>
          <w:color w:val="auto"/>
        </w:rPr>
        <w: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 required reduction in the Change in Control Payment pursuant to the foregoing shall be accomplished solely by reducing the amount of severance payment payable pursuant to paragraph 1(c)(i)(1) of this Agreement and then, to the extent necessary, paragraph 1(c)(i)(2) of this Agreement.</w:t>
      </w:r>
    </w:p>
    <w:p>
      <w:pPr>
        <w:spacing w:after="0" w:line="186" w:lineRule="exact"/>
        <w:rPr>
          <w:rFonts w:ascii="Times New Roman" w:cs="Times New Roman" w:eastAsia="Times New Roman" w:hAnsi="Times New Roman"/>
          <w:sz w:val="20"/>
          <w:szCs w:val="20"/>
          <w:color w:val="auto"/>
        </w:rPr>
      </w:pPr>
    </w:p>
    <w:p>
      <w:pPr>
        <w:jc w:val="both"/>
        <w:ind w:left="1304" w:hanging="655"/>
        <w:spacing w:after="0" w:line="287" w:lineRule="auto"/>
        <w:tabs>
          <w:tab w:leader="none" w:pos="130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determinations to be made under this paragraph 1(c)(ii) shall be made by an independent public accounting firm selected by the Company immediately prior to the Change in Control (the “</w:t>
      </w:r>
      <w:r>
        <w:rPr>
          <w:rFonts w:ascii="Times New Roman" w:cs="Times New Roman" w:eastAsia="Times New Roman" w:hAnsi="Times New Roman"/>
          <w:sz w:val="20"/>
          <w:szCs w:val="20"/>
          <w:u w:val="single" w:color="auto"/>
          <w:color w:val="auto"/>
        </w:rPr>
        <w:t>Accounting Firm</w:t>
      </w:r>
      <w:r>
        <w:rPr>
          <w:rFonts w:ascii="Times New Roman" w:cs="Times New Roman" w:eastAsia="Times New Roman" w:hAnsi="Times New Roman"/>
          <w:sz w:val="20"/>
          <w:szCs w:val="20"/>
          <w:color w:val="auto"/>
        </w:rPr>
        <w:t>”),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1(c)(iii) shall be borne solely by the Company.</w:t>
      </w:r>
    </w:p>
    <w:p>
      <w:pPr>
        <w:spacing w:after="0" w:line="187" w:lineRule="exact"/>
        <w:rPr>
          <w:sz w:val="20"/>
          <w:szCs w:val="20"/>
          <w:color w:val="auto"/>
        </w:rPr>
      </w:pPr>
    </w:p>
    <w:p>
      <w:pPr>
        <w:ind w:left="1304" w:hanging="1304"/>
        <w:spacing w:after="0" w:line="296" w:lineRule="auto"/>
        <w:tabs>
          <w:tab w:leader="none" w:pos="65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Continuation of Benefits.</w:t>
      </w:r>
      <w:r>
        <w:rPr>
          <w:rFonts w:ascii="Times New Roman" w:cs="Times New Roman" w:eastAsia="Times New Roman" w:hAnsi="Times New Roman"/>
          <w:sz w:val="20"/>
          <w:szCs w:val="20"/>
          <w:color w:val="auto"/>
        </w:rPr>
        <w:t xml:space="preserve">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175" w:lineRule="exact"/>
        <w:rPr>
          <w:rFonts w:ascii="Times New Roman" w:cs="Times New Roman" w:eastAsia="Times New Roman" w:hAnsi="Times New Roman"/>
          <w:sz w:val="20"/>
          <w:szCs w:val="20"/>
          <w:color w:val="auto"/>
        </w:rPr>
      </w:pPr>
    </w:p>
    <w:p>
      <w:pPr>
        <w:ind w:left="1304" w:hanging="1304"/>
        <w:spacing w:after="0" w:line="291" w:lineRule="auto"/>
        <w:tabs>
          <w:tab w:leader="none" w:pos="65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 on Company Liability.</w:t>
      </w:r>
      <w:r>
        <w:rPr>
          <w:rFonts w:ascii="Times New Roman" w:cs="Times New Roman" w:eastAsia="Times New Roman" w:hAnsi="Times New Roman"/>
          <w:sz w:val="20"/>
          <w:szCs w:val="20"/>
          <w:color w:val="auto"/>
        </w:rPr>
        <w:t xml:space="preserve"> Except as expressly set forth in this paragraph 1,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under this Agreement or make any further</w:t>
      </w:r>
    </w:p>
    <w:p>
      <w:pPr>
        <w:spacing w:after="0" w:line="181"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764"/>
          </w:cols>
          <w:pgMar w:left="896" w:top="121"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3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contribution for Executive’s benefit under this Agreement except as provided in this paragraph 1.</w:t>
      </w:r>
    </w:p>
    <w:p>
      <w:pPr>
        <w:spacing w:after="0" w:line="63" w:lineRule="exact"/>
        <w:rPr>
          <w:sz w:val="20"/>
          <w:szCs w:val="20"/>
          <w:color w:val="auto"/>
        </w:rPr>
      </w:pPr>
    </w:p>
    <w:p>
      <w:pPr>
        <w:jc w:val="both"/>
        <w:ind w:left="660" w:hanging="652"/>
        <w:spacing w:after="0" w:line="310" w:lineRule="auto"/>
        <w:tabs>
          <w:tab w:leader="none" w:pos="660" w:val="left"/>
        </w:tabs>
        <w:numPr>
          <w:ilvl w:val="0"/>
          <w:numId w:val="3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Disclosure of Confidential Information</w:t>
      </w:r>
      <w:r>
        <w:rPr>
          <w:rFonts w:ascii="Times New Roman" w:cs="Times New Roman" w:eastAsia="Times New Roman" w:hAnsi="Times New Roman"/>
          <w:sz w:val="20"/>
          <w:szCs w:val="20"/>
          <w:color w:val="auto"/>
        </w:rPr>
        <w:t>. The Company has developed confidential information, strategies and programs,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w:t>
      </w:r>
      <w:r>
        <w:rPr>
          <w:rFonts w:ascii="Times New Roman" w:cs="Times New Roman" w:eastAsia="Times New Roman" w:hAnsi="Times New Roman"/>
          <w:sz w:val="20"/>
          <w:szCs w:val="20"/>
          <w:u w:val="single" w:color="auto"/>
          <w:color w:val="auto"/>
        </w:rPr>
        <w:t>Confidential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provided that the term “Confidential Information” shall not include (i) any such information that, prior to its use or disclosure by Executive, can be shown to have been in the public domain or generally known or available to customers, suppliers or competitors of the Company through no breach of the provisions of this Agreement or other non-disclosure covenants; (ii) any such information that, prior to its disclosure by the Executive, was rightfully in the receiving third party’s possession, without violation of the provisions of this Agreement or other non-disclosure covenants; and (iii) any such information that, prior to its disclosure by the Executive, was independently developed by the receiving third party without violation of the provisions of this Agreement or other non-disclosure covenants.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 Company, its affiliates, and/or its subsidiaries unless specifically directed by the Company to do so in writing, provided that nothing herein shall prohibit the Executive from disclosing Confidential Information as required by law or pursuant to legal process. Executive agrees that whenever Executive’s employment with the Company ends for any reason, all documents containing or referring to Confidential Information of the Company, its affiliates, and/or its subsidiaries that may be in Executive’s possession or control will be delivered by Executive to the Company promptly upon the Company’s request.</w:t>
      </w:r>
    </w:p>
    <w:p>
      <w:pPr>
        <w:spacing w:after="0" w:line="241"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29" w:lineRule="auto"/>
        <w:tabs>
          <w:tab w:leader="none" w:pos="660" w:val="left"/>
        </w:tabs>
        <w:numPr>
          <w:ilvl w:val="0"/>
          <w:numId w:val="3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9"/>
          <w:szCs w:val="19"/>
          <w:b w:val="1"/>
          <w:bCs w:val="1"/>
          <w:i w:val="1"/>
          <w:iCs w:val="1"/>
          <w:color w:val="auto"/>
        </w:rPr>
        <w:t>Non-Interference with Personnel Relations</w:t>
      </w:r>
      <w:r>
        <w:rPr>
          <w:rFonts w:ascii="Times New Roman" w:cs="Times New Roman" w:eastAsia="Times New Roman" w:hAnsi="Times New Roman"/>
          <w:sz w:val="19"/>
          <w:szCs w:val="19"/>
          <w:color w:val="auto"/>
        </w:rPr>
        <w:t>. At any time while Executive is employed by the Company and at any time during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Restrictive Period after such employment ends for any reason, Executive acting either directly or indirectly, or through any other person, firm, or corporation, will not then, at such time, hire, contract with or employ any then employee of the Company, and/or any then employee of an affiliate or subsidiary of the Company with which Executive interacted or about which Executive gained Confidential Information during his employment with Company (“</w:t>
      </w:r>
      <w:r>
        <w:rPr>
          <w:rFonts w:ascii="Times New Roman" w:cs="Times New Roman" w:eastAsia="Times New Roman" w:hAnsi="Times New Roman"/>
          <w:sz w:val="19"/>
          <w:szCs w:val="19"/>
          <w:u w:val="single" w:color="auto"/>
          <w:color w:val="auto"/>
        </w:rPr>
        <w:t>Restricted Employees</w:t>
      </w:r>
      <w:r>
        <w:rPr>
          <w:rFonts w:ascii="Times New Roman" w:cs="Times New Roman" w:eastAsia="Times New Roman" w:hAnsi="Times New Roman"/>
          <w:sz w:val="19"/>
          <w:szCs w:val="19"/>
          <w:color w:val="auto"/>
        </w:rPr>
        <w:t>”). Further, Executive will not induce or attempt to induce or influence any of the Restricted Employees to terminate employment with the Company, affiliate, and/or subsidiary.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However, this provision shall not apply to Executive in the case of the solicitation of his immediate family members.</w:t>
      </w:r>
    </w:p>
    <w:p>
      <w:pPr>
        <w:spacing w:after="0" w:line="293" w:lineRule="exact"/>
        <w:rPr>
          <w:sz w:val="20"/>
          <w:szCs w:val="20"/>
          <w:color w:val="auto"/>
        </w:rPr>
      </w:pPr>
    </w:p>
    <w:p>
      <w:pPr>
        <w:jc w:val="both"/>
        <w:ind w:left="660" w:hanging="652"/>
        <w:spacing w:after="0" w:line="310" w:lineRule="auto"/>
        <w:tabs>
          <w:tab w:leader="none" w:pos="660" w:val="left"/>
        </w:tabs>
        <w:numPr>
          <w:ilvl w:val="0"/>
          <w:numId w:val="3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Non-Competition</w:t>
      </w:r>
      <w:r>
        <w:rPr>
          <w:rFonts w:ascii="Times New Roman" w:cs="Times New Roman" w:eastAsia="Times New Roman" w:hAnsi="Times New Roman"/>
          <w:sz w:val="20"/>
          <w:szCs w:val="20"/>
          <w:color w:val="auto"/>
        </w:rPr>
        <w:t>. While Executive is employed by the Company and for the Restrictive Period after such employment ends,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not, 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 Business, as defined below. A “</w:t>
      </w:r>
      <w:r>
        <w:rPr>
          <w:rFonts w:ascii="Times New Roman" w:cs="Times New Roman" w:eastAsia="Times New Roman" w:hAnsi="Times New Roman"/>
          <w:sz w:val="20"/>
          <w:szCs w:val="20"/>
          <w:u w:val="single" w:color="auto"/>
          <w:color w:val="auto"/>
        </w:rPr>
        <w:t>Competing Business</w:t>
      </w:r>
      <w:r>
        <w:rPr>
          <w:rFonts w:ascii="Times New Roman" w:cs="Times New Roman" w:eastAsia="Times New Roman" w:hAnsi="Times New Roman"/>
          <w:sz w:val="20"/>
          <w:szCs w:val="20"/>
          <w:color w:val="auto"/>
        </w:rPr>
        <w:t>”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41"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11" w:lineRule="auto"/>
        <w:tabs>
          <w:tab w:leader="none" w:pos="660" w:val="left"/>
        </w:tabs>
        <w:numPr>
          <w:ilvl w:val="0"/>
          <w:numId w:val="3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Notification to Subsequent Employers</w:t>
      </w:r>
      <w:r>
        <w:rPr>
          <w:rFonts w:ascii="Times New Roman" w:cs="Times New Roman" w:eastAsia="Times New Roman" w:hAnsi="Times New Roman"/>
          <w:sz w:val="20"/>
          <w:szCs w:val="20"/>
          <w:color w:val="auto"/>
        </w:rPr>
        <w:t>. Executive grants the Company the right to notify any future employer or prospective employer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Executive concerning the existence of and terms of this Agreement and grants the Company the right to provide a copy of this Agreement to any such subsequent employer or prospective employer.</w:t>
      </w:r>
    </w:p>
    <w:p>
      <w:pPr>
        <w:spacing w:after="0" w:line="197" w:lineRule="exact"/>
        <w:rPr>
          <w:rFonts w:ascii="Times New Roman" w:cs="Times New Roman" w:eastAsia="Times New Roman" w:hAnsi="Times New Roman"/>
          <w:sz w:val="22"/>
          <w:szCs w:val="22"/>
          <w:b w:val="1"/>
          <w:bCs w:val="1"/>
          <w:i w:val="1"/>
          <w:iCs w:val="1"/>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Company Proprietary Rights</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2"/>
          <w:szCs w:val="22"/>
          <w:b w:val="1"/>
          <w:bCs w:val="1"/>
          <w:i w:val="1"/>
          <w:iCs w:val="1"/>
          <w:color w:val="auto"/>
        </w:rPr>
      </w:pPr>
    </w:p>
    <w:p>
      <w:pPr>
        <w:jc w:val="both"/>
        <w:ind w:left="1300" w:hanging="644"/>
        <w:spacing w:after="0" w:line="287" w:lineRule="auto"/>
        <w:tabs>
          <w:tab w:leader="none" w:pos="13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to Retain Rights.</w:t>
      </w:r>
      <w:r>
        <w:rPr>
          <w:rFonts w:ascii="Times New Roman" w:cs="Times New Roman" w:eastAsia="Times New Roman" w:hAnsi="Times New Roman"/>
          <w:sz w:val="20"/>
          <w:szCs w:val="20"/>
          <w:color w:val="auto"/>
        </w:rPr>
        <w:t xml:space="preserve">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and/or any parent, subsidiary or affiliate of the Company (collectively, “</w:t>
      </w:r>
      <w:r>
        <w:rPr>
          <w:rFonts w:ascii="Times New Roman" w:cs="Times New Roman" w:eastAsia="Times New Roman" w:hAnsi="Times New Roman"/>
          <w:sz w:val="20"/>
          <w:szCs w:val="20"/>
          <w:u w:val="single" w:color="auto"/>
          <w:color w:val="auto"/>
        </w:rPr>
        <w:t>Company Intellectual Property</w:t>
      </w:r>
      <w:r>
        <w:rPr>
          <w:rFonts w:ascii="Times New Roman" w:cs="Times New Roman" w:eastAsia="Times New Roman" w:hAnsi="Times New Roman"/>
          <w:sz w:val="20"/>
          <w:szCs w:val="20"/>
          <w:color w:val="auto"/>
        </w:rPr>
        <w:t>”) shall become and remain the exclusive property of the Company and/or such parent, subsidiary or affiliate, and Executive shall have no interest therein.</w:t>
      </w:r>
    </w:p>
    <w:p>
      <w:pPr>
        <w:spacing w:after="0" w:line="200" w:lineRule="exact"/>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jc w:val="both"/>
        <w:ind w:left="1300" w:hanging="644"/>
        <w:spacing w:after="0" w:line="291" w:lineRule="auto"/>
        <w:tabs>
          <w:tab w:leader="none" w:pos="13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345" w:lineRule="exact"/>
        <w:rPr>
          <w:sz w:val="20"/>
          <w:szCs w:val="20"/>
          <w:color w:val="auto"/>
        </w:rPr>
      </w:pPr>
    </w:p>
    <w:p>
      <w:pPr>
        <w:jc w:val="both"/>
        <w:ind w:left="1300" w:hanging="644"/>
        <w:spacing w:after="0" w:line="291" w:lineRule="auto"/>
        <w:tabs>
          <w:tab w:leader="none" w:pos="130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Material.</w:t>
      </w:r>
      <w:r>
        <w:rPr>
          <w:rFonts w:ascii="Times New Roman" w:cs="Times New Roman" w:eastAsia="Times New Roman" w:hAnsi="Times New Roman"/>
          <w:sz w:val="20"/>
          <w:szCs w:val="20"/>
          <w:color w:val="auto"/>
        </w:rPr>
        <w:t xml:space="preserve"> Upon the termination of the Executive’s employment under this Agreement at the Company’s written request, the Executive will promptly return to the Company all copies of information protected by paragraph 6(a) hereof which are in his possession, custody or control, whether prepared by him or others, and the Executive agrees that he shall not retain any of same.</w:t>
      </w:r>
    </w:p>
    <w:p>
      <w:pPr>
        <w:spacing w:after="0" w:line="190" w:lineRule="exact"/>
        <w:rPr>
          <w:rFonts w:ascii="Times New Roman" w:cs="Times New Roman" w:eastAsia="Times New Roman" w:hAnsi="Times New Roman"/>
          <w:sz w:val="20"/>
          <w:szCs w:val="20"/>
          <w:color w:val="auto"/>
        </w:rPr>
      </w:pPr>
    </w:p>
    <w:p>
      <w:pPr>
        <w:jc w:val="both"/>
        <w:ind w:left="660" w:hanging="652"/>
        <w:spacing w:after="0" w:line="310" w:lineRule="auto"/>
        <w:tabs>
          <w:tab w:leader="none" w:pos="660" w:val="left"/>
        </w:tabs>
        <w:numPr>
          <w:ilvl w:val="0"/>
          <w:numId w:val="4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Withholding</w:t>
      </w:r>
      <w:r>
        <w:rPr>
          <w:rFonts w:ascii="Times New Roman" w:cs="Times New Roman" w:eastAsia="Times New Roman" w:hAnsi="Times New Roman"/>
          <w:sz w:val="20"/>
          <w:szCs w:val="20"/>
          <w:color w:val="auto"/>
        </w:rPr>
        <w:t>. Any provision of this Agreement to the contrary notwithstanding, all payments made by the Company hereunder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86"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10" w:lineRule="auto"/>
        <w:tabs>
          <w:tab w:leader="none" w:pos="660" w:val="left"/>
        </w:tabs>
        <w:numPr>
          <w:ilvl w:val="0"/>
          <w:numId w:val="4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Mitigation</w:t>
      </w:r>
      <w:r>
        <w:rPr>
          <w:rFonts w:ascii="Times New Roman" w:cs="Times New Roman" w:eastAsia="Times New Roman" w:hAnsi="Times New Roman"/>
          <w:sz w:val="20"/>
          <w:szCs w:val="20"/>
          <w:color w:val="auto"/>
        </w:rPr>
        <w:t>. The Company’s obligation to make the payments provided for in this Agreement and otherwise to perform its obligations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hereunder shall not be subject to set off for any reason and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6"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11" w:lineRule="auto"/>
        <w:tabs>
          <w:tab w:leader="none" w:pos="660" w:val="left"/>
        </w:tabs>
        <w:numPr>
          <w:ilvl w:val="0"/>
          <w:numId w:val="4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Notices</w:t>
      </w:r>
      <w:r>
        <w:rPr>
          <w:rFonts w:ascii="Times New Roman" w:cs="Times New Roman" w:eastAsia="Times New Roman" w:hAnsi="Times New Roman"/>
          <w:sz w:val="20"/>
          <w:szCs w:val="20"/>
          <w:color w:val="auto"/>
        </w:rPr>
        <w:t>. All notices, requests, demands and other communications provided for by this Agreement shall be in writing and shall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pacing w:after="0" w:line="174" w:lineRule="exact"/>
        <w:rPr>
          <w:rFonts w:ascii="Times New Roman" w:cs="Times New Roman" w:eastAsia="Times New Roman" w:hAnsi="Times New Roman"/>
          <w:sz w:val="22"/>
          <w:szCs w:val="22"/>
          <w:b w:val="1"/>
          <w:bCs w:val="1"/>
          <w:i w:val="1"/>
          <w:iCs w:val="1"/>
          <w:color w:val="auto"/>
        </w:rPr>
      </w:pPr>
    </w:p>
    <w:p>
      <w:pPr>
        <w:ind w:left="660"/>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color w:val="auto"/>
        </w:rPr>
        <w:t>To the Company:  NN, Inc.</w:t>
      </w:r>
    </w:p>
    <w:p>
      <w:pPr>
        <w:spacing w:after="0" w:line="4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4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207 Mockingbird Lane Johnson City, TN 37604</w:t>
      </w:r>
    </w:p>
    <w:p>
      <w:pPr>
        <w:spacing w:after="0" w:line="297"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auto"/>
        </w:rPr>
        <w:t>To the Executive:</w:t>
        <w:tab/>
        <w:t>J. Robbie Atkinson</w:t>
      </w:r>
    </w:p>
    <w:p>
      <w:pPr>
        <w:spacing w:after="0" w:line="2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225 Lake Ridge Drive</w:t>
      </w:r>
    </w:p>
    <w:p>
      <w:pPr>
        <w:spacing w:after="0" w:line="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Jonesborough, TN 37659</w:t>
      </w:r>
    </w:p>
    <w:p>
      <w:pPr>
        <w:spacing w:after="0" w:line="320" w:lineRule="exact"/>
        <w:rPr>
          <w:sz w:val="20"/>
          <w:szCs w:val="20"/>
          <w:color w:val="auto"/>
        </w:rPr>
      </w:pPr>
    </w:p>
    <w:p>
      <w:pPr>
        <w:jc w:val="both"/>
        <w:ind w:left="660" w:hanging="652"/>
        <w:spacing w:after="0" w:line="310" w:lineRule="auto"/>
        <w:tabs>
          <w:tab w:leader="none" w:pos="660" w:val="left"/>
        </w:tabs>
        <w:numPr>
          <w:ilvl w:val="0"/>
          <w:numId w:val="4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Successors: Binding Agreement</w:t>
      </w:r>
      <w:r>
        <w:rPr>
          <w:rFonts w:ascii="Times New Roman" w:cs="Times New Roman" w:eastAsia="Times New Roman" w:hAnsi="Times New Roman"/>
          <w:sz w:val="20"/>
          <w:szCs w:val="20"/>
          <w:color w:val="auto"/>
        </w:rPr>
        <w:t>. The Company shall require any successor (whether direct or indirect, by purchase, merger,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88" w:lineRule="exact"/>
        <w:rPr>
          <w:sz w:val="20"/>
          <w:szCs w:val="20"/>
          <w:color w:val="auto"/>
        </w:rPr>
      </w:pPr>
    </w:p>
    <w:p>
      <w:pPr>
        <w:jc w:val="both"/>
        <w:ind w:left="660"/>
        <w:spacing w:after="0" w:line="339" w:lineRule="auto"/>
        <w:rPr>
          <w:sz w:val="20"/>
          <w:szCs w:val="20"/>
          <w:color w:val="auto"/>
        </w:rPr>
      </w:pPr>
      <w:r>
        <w:rPr>
          <w:rFonts w:ascii="Times New Roman" w:cs="Times New Roman" w:eastAsia="Times New Roman" w:hAnsi="Times New Roman"/>
          <w:sz w:val="20"/>
          <w:szCs w:val="20"/>
          <w:color w:val="auto"/>
        </w:rPr>
        <w:t>to its business and/or assets as aforesaid which executes and delivers the agreement provided for in this paragraph or which otherwise becomes bound by all the terms and provisions of this Agreement by operation of law.</w:t>
      </w:r>
    </w:p>
    <w:p>
      <w:pPr>
        <w:spacing w:after="0" w:line="147"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0"/>
          <w:szCs w:val="20"/>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191" w:lineRule="exact"/>
        <w:rPr>
          <w:sz w:val="20"/>
          <w:szCs w:val="20"/>
          <w:color w:val="auto"/>
        </w:rPr>
      </w:pPr>
    </w:p>
    <w:p>
      <w:pPr>
        <w:jc w:val="both"/>
        <w:ind w:left="660" w:hanging="652"/>
        <w:spacing w:after="0" w:line="310" w:lineRule="auto"/>
        <w:tabs>
          <w:tab w:leader="none" w:pos="660" w:val="left"/>
        </w:tabs>
        <w:numPr>
          <w:ilvl w:val="0"/>
          <w:numId w:val="4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Modification, Waiver or Discharge</w:t>
      </w:r>
      <w:r>
        <w:rPr>
          <w:rFonts w:ascii="Times New Roman" w:cs="Times New Roman" w:eastAsia="Times New Roman" w:hAnsi="Times New Roman"/>
          <w:sz w:val="20"/>
          <w:szCs w:val="20"/>
          <w:color w:val="auto"/>
        </w:rPr>
        <w:t>. No provision of this Agreement may be modified or discharged unless such modification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186"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10" w:lineRule="auto"/>
        <w:tabs>
          <w:tab w:leader="none" w:pos="660" w:val="left"/>
        </w:tabs>
        <w:numPr>
          <w:ilvl w:val="0"/>
          <w:numId w:val="4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Entire Agreement</w:t>
      </w:r>
      <w:r>
        <w:rPr>
          <w:rFonts w:ascii="Times New Roman" w:cs="Times New Roman" w:eastAsia="Times New Roman" w:hAnsi="Times New Roman"/>
          <w:sz w:val="20"/>
          <w:szCs w:val="20"/>
          <w:color w:val="auto"/>
        </w:rPr>
        <w:t>. This Agreement constitutes the entire understanding of the parties hereto with respect to its subject matter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any indemnification agreement by and between the Company and Executive or any general indemnification policy in favor of Executive, which shall continue and remain in full force and effect.</w:t>
      </w:r>
    </w:p>
    <w:p>
      <w:pPr>
        <w:spacing w:after="0" w:line="200" w:lineRule="exact"/>
        <w:rPr>
          <w:rFonts w:ascii="Times New Roman" w:cs="Times New Roman" w:eastAsia="Times New Roman" w:hAnsi="Times New Roman"/>
          <w:sz w:val="22"/>
          <w:szCs w:val="22"/>
          <w:b w:val="1"/>
          <w:bCs w:val="1"/>
          <w:i w:val="1"/>
          <w:iCs w:val="1"/>
          <w:color w:val="auto"/>
        </w:rPr>
      </w:pPr>
    </w:p>
    <w:p>
      <w:pPr>
        <w:spacing w:after="0" w:line="202" w:lineRule="exact"/>
        <w:rPr>
          <w:rFonts w:ascii="Times New Roman" w:cs="Times New Roman" w:eastAsia="Times New Roman" w:hAnsi="Times New Roman"/>
          <w:sz w:val="22"/>
          <w:szCs w:val="22"/>
          <w:b w:val="1"/>
          <w:bCs w:val="1"/>
          <w:i w:val="1"/>
          <w:iCs w:val="1"/>
          <w:color w:val="auto"/>
        </w:rPr>
      </w:pPr>
    </w:p>
    <w:p>
      <w:pPr>
        <w:ind w:left="660" w:hanging="652"/>
        <w:spacing w:after="0" w:line="319" w:lineRule="auto"/>
        <w:tabs>
          <w:tab w:leader="none" w:pos="660" w:val="left"/>
        </w:tabs>
        <w:numPr>
          <w:ilvl w:val="0"/>
          <w:numId w:val="4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Governing Law</w:t>
      </w:r>
      <w:r>
        <w:rPr>
          <w:rFonts w:ascii="Times New Roman" w:cs="Times New Roman" w:eastAsia="Times New Roman" w:hAnsi="Times New Roman"/>
          <w:sz w:val="20"/>
          <w:szCs w:val="20"/>
          <w:color w:val="auto"/>
        </w:rPr>
        <w:t>. The validity, interpretation, construction and performance of this Agreement shall be governed by the laws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 of Tennessee, without regard to its conflict of laws principles, to the extent federal law does not apply.</w:t>
      </w:r>
    </w:p>
    <w:p>
      <w:pPr>
        <w:spacing w:after="0" w:line="168" w:lineRule="exact"/>
        <w:rPr>
          <w:rFonts w:ascii="Times New Roman" w:cs="Times New Roman" w:eastAsia="Times New Roman" w:hAnsi="Times New Roman"/>
          <w:sz w:val="22"/>
          <w:szCs w:val="22"/>
          <w:b w:val="1"/>
          <w:bCs w:val="1"/>
          <w:i w:val="1"/>
          <w:iCs w:val="1"/>
          <w:color w:val="auto"/>
        </w:rPr>
      </w:pPr>
    </w:p>
    <w:p>
      <w:pPr>
        <w:jc w:val="both"/>
        <w:ind w:left="660" w:hanging="652"/>
        <w:spacing w:after="0" w:line="310" w:lineRule="auto"/>
        <w:tabs>
          <w:tab w:leader="none" w:pos="660" w:val="left"/>
        </w:tabs>
        <w:numPr>
          <w:ilvl w:val="0"/>
          <w:numId w:val="4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Resolution of Disputes</w:t>
      </w:r>
      <w:r>
        <w:rPr>
          <w:rFonts w:ascii="Times New Roman" w:cs="Times New Roman" w:eastAsia="Times New Roman" w:hAnsi="Times New Roman"/>
          <w:sz w:val="20"/>
          <w:szCs w:val="20"/>
          <w:color w:val="auto"/>
        </w:rPr>
        <w:t>. Any dispute or claim arising out of or relating to this Agreement shall be settled by final and binding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84" w:lineRule="exact"/>
        <w:rPr>
          <w:sz w:val="20"/>
          <w:szCs w:val="20"/>
          <w:color w:val="auto"/>
        </w:rPr>
      </w:pPr>
    </w:p>
    <w:p>
      <w:pPr>
        <w:ind w:left="660" w:hanging="652"/>
        <w:spacing w:after="0" w:line="319" w:lineRule="auto"/>
        <w:tabs>
          <w:tab w:leader="none" w:pos="660" w:val="left"/>
        </w:tabs>
        <w:numPr>
          <w:ilvl w:val="0"/>
          <w:numId w:val="4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Validity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the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provisions of this Agreement, which latter provisions shall remain in full force and effect.</w:t>
      </w:r>
    </w:p>
    <w:p>
      <w:pPr>
        <w:spacing w:after="0" w:line="181" w:lineRule="exact"/>
        <w:rPr>
          <w:rFonts w:ascii="Times New Roman" w:cs="Times New Roman" w:eastAsia="Times New Roman" w:hAnsi="Times New Roman"/>
          <w:sz w:val="22"/>
          <w:szCs w:val="22"/>
          <w:b w:val="1"/>
          <w:bCs w:val="1"/>
          <w:i w:val="1"/>
          <w:iCs w:val="1"/>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Compliance with Section 409A</w:t>
      </w:r>
      <w:r>
        <w:rPr>
          <w:rFonts w:ascii="Times New Roman" w:cs="Times New Roman" w:eastAsia="Times New Roman" w:hAnsi="Times New Roman"/>
          <w:sz w:val="20"/>
          <w:szCs w:val="20"/>
          <w:color w:val="auto"/>
        </w:rPr>
        <w:t>.</w:t>
      </w:r>
    </w:p>
    <w:p>
      <w:pPr>
        <w:spacing w:after="0" w:line="251" w:lineRule="exact"/>
        <w:rPr>
          <w:sz w:val="20"/>
          <w:szCs w:val="20"/>
          <w:color w:val="auto"/>
        </w:rPr>
      </w:pPr>
    </w:p>
    <w:p>
      <w:pPr>
        <w:jc w:val="both"/>
        <w:ind w:left="660" w:hanging="652"/>
        <w:spacing w:after="0" w:line="283"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It is intended that the Agreement will comply with Section 409A of the Code and the regulations and other guidance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This Agreement may be amended in any respect deemed necessary (including retroactively) by the Company in order to pursue compliance with Section 409A. The foregoing shall not be construed as a guarantee of any particular tax effect for benefits under this Agreement. The Executive or any beneficiary, as applicable, is solely responsible and liable for the satisfaction of all taxes, interest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interest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pacing w:after="0" w:line="199" w:lineRule="exact"/>
        <w:rPr>
          <w:rFonts w:ascii="Times New Roman" w:cs="Times New Roman" w:eastAsia="Times New Roman" w:hAnsi="Times New Roman"/>
          <w:sz w:val="20"/>
          <w:szCs w:val="20"/>
          <w:color w:val="auto"/>
        </w:rPr>
      </w:pPr>
    </w:p>
    <w:p>
      <w:pPr>
        <w:jc w:val="both"/>
        <w:ind w:left="660" w:hanging="652"/>
        <w:spacing w:after="0" w:line="289"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Six Month Delay for Specified Employees.</w:t>
      </w:r>
      <w:r>
        <w:rPr>
          <w:rFonts w:ascii="Times New Roman" w:cs="Times New Roman" w:eastAsia="Times New Roman" w:hAnsi="Times New Roman"/>
          <w:sz w:val="20"/>
          <w:szCs w:val="20"/>
          <w:color w:val="auto"/>
        </w:rPr>
        <w:t xml:space="preserve">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178" w:lineRule="exact"/>
        <w:rPr>
          <w:sz w:val="20"/>
          <w:szCs w:val="20"/>
          <w:color w:val="auto"/>
        </w:rPr>
      </w:pPr>
    </w:p>
    <w:p>
      <w:pPr>
        <w:jc w:val="both"/>
        <w:ind w:left="660" w:hanging="652"/>
        <w:spacing w:after="0" w:line="293" w:lineRule="auto"/>
        <w:tabs>
          <w:tab w:leader="none" w:pos="660" w:val="left"/>
        </w:tabs>
        <w:numPr>
          <w:ilvl w:val="0"/>
          <w:numId w:val="4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No Adequate Remedy At Law</w:t>
      </w:r>
      <w:r>
        <w:rPr>
          <w:rFonts w:ascii="Times New Roman" w:cs="Times New Roman" w:eastAsia="Times New Roman" w:hAnsi="Times New Roman"/>
          <w:sz w:val="20"/>
          <w:szCs w:val="20"/>
          <w:color w:val="auto"/>
        </w:rPr>
        <w:t>. The Company and the Executive recognize that each party may have no adequate remedy at law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breach by the other of any of the agreements contained herein, and particularly a breach of paragraphs 2, 3, 4, and 6, and, in the event of any such breach, the Company and the Executive hereby agree and consent that the other shall be entitled to injunctive relief or other appropriate remedy to enforce performance of such agreements.</w:t>
      </w:r>
    </w:p>
    <w:p>
      <w:pPr>
        <w:spacing w:after="0" w:line="186" w:lineRule="exact"/>
        <w:rPr>
          <w:rFonts w:ascii="Times New Roman" w:cs="Times New Roman" w:eastAsia="Times New Roman" w:hAnsi="Times New Roman"/>
          <w:sz w:val="20"/>
          <w:szCs w:val="20"/>
          <w:b w:val="1"/>
          <w:bCs w:val="1"/>
          <w:i w:val="1"/>
          <w:iCs w:val="1"/>
          <w:color w:val="auto"/>
        </w:rPr>
      </w:pPr>
    </w:p>
    <w:p>
      <w:pPr>
        <w:ind w:left="660" w:hanging="652"/>
        <w:spacing w:after="0" w:line="319" w:lineRule="auto"/>
        <w:tabs>
          <w:tab w:leader="none" w:pos="660" w:val="left"/>
        </w:tabs>
        <w:numPr>
          <w:ilvl w:val="0"/>
          <w:numId w:val="4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Non-Assignability</w:t>
      </w:r>
      <w:r>
        <w:rPr>
          <w:rFonts w:ascii="Times New Roman" w:cs="Times New Roman" w:eastAsia="Times New Roman" w:hAnsi="Times New Roman"/>
          <w:sz w:val="20"/>
          <w:szCs w:val="20"/>
          <w:color w:val="auto"/>
        </w:rPr>
        <w:t>. This Agreement, and the rights and obligations of the parties hereunder, are personal and neither this Agreement,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nor any right, benefit or obligation of either party hereto, shall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304" w:lineRule="exact"/>
        <w:rPr>
          <w:sz w:val="20"/>
          <w:szCs w:val="20"/>
          <w:color w:val="auto"/>
        </w:rPr>
      </w:pPr>
    </w:p>
    <w:p>
      <w:pPr>
        <w:jc w:val="both"/>
        <w:ind w:left="660"/>
        <w:spacing w:after="0" w:line="319" w:lineRule="auto"/>
        <w:rPr>
          <w:sz w:val="20"/>
          <w:szCs w:val="20"/>
          <w:color w:val="auto"/>
        </w:rPr>
      </w:pPr>
      <w:r>
        <w:rPr>
          <w:rFonts w:ascii="Times New Roman" w:cs="Times New Roman" w:eastAsia="Times New Roman" w:hAnsi="Times New Roman"/>
          <w:sz w:val="20"/>
          <w:szCs w:val="20"/>
          <w:color w:val="auto"/>
        </w:rPr>
        <w:t>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78" w:lineRule="exact"/>
        <w:rPr>
          <w:sz w:val="20"/>
          <w:szCs w:val="20"/>
          <w:color w:val="auto"/>
        </w:rPr>
      </w:pPr>
    </w:p>
    <w:p>
      <w:pPr>
        <w:jc w:val="both"/>
        <w:ind w:left="660" w:hanging="652"/>
        <w:spacing w:after="0" w:line="349" w:lineRule="auto"/>
        <w:tabs>
          <w:tab w:leader="none" w:pos="660" w:val="left"/>
        </w:tabs>
        <w:numPr>
          <w:ilvl w:val="0"/>
          <w:numId w:val="4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9"/>
          <w:szCs w:val="19"/>
          <w:b w:val="1"/>
          <w:bCs w:val="1"/>
          <w:i w:val="1"/>
          <w:iCs w:val="1"/>
          <w:color w:val="auto"/>
        </w:rPr>
        <w:t>Headings</w:t>
      </w:r>
      <w:r>
        <w:rPr>
          <w:rFonts w:ascii="Times New Roman" w:cs="Times New Roman" w:eastAsia="Times New Roman" w:hAnsi="Times New Roman"/>
          <w:sz w:val="19"/>
          <w:szCs w:val="19"/>
          <w:color w:val="auto"/>
        </w:rPr>
        <w:t>. The section headings contained in this Agreement are for convenience of reference only and will not be deemed to control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affect the meaning or construction of any provision of this Agreement. Reference to paragraphs are to paragraphs in this Agreement.</w:t>
      </w:r>
    </w:p>
    <w:p>
      <w:pPr>
        <w:spacing w:after="0" w:line="141" w:lineRule="exact"/>
        <w:rPr>
          <w:rFonts w:ascii="Times New Roman" w:cs="Times New Roman" w:eastAsia="Times New Roman" w:hAnsi="Times New Roman"/>
          <w:sz w:val="21"/>
          <w:szCs w:val="21"/>
          <w:b w:val="1"/>
          <w:bCs w:val="1"/>
          <w:i w:val="1"/>
          <w:iCs w:val="1"/>
          <w:color w:val="auto"/>
        </w:rPr>
      </w:pPr>
    </w:p>
    <w:p>
      <w:pPr>
        <w:ind w:left="660" w:hanging="652"/>
        <w:spacing w:after="0" w:line="319" w:lineRule="auto"/>
        <w:tabs>
          <w:tab w:leader="none" w:pos="660" w:val="left"/>
        </w:tabs>
        <w:numPr>
          <w:ilvl w:val="0"/>
          <w:numId w:val="4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Counterparts</w:t>
      </w:r>
      <w:r>
        <w:rPr>
          <w:rFonts w:ascii="Times New Roman" w:cs="Times New Roman" w:eastAsia="Times New Roman" w:hAnsi="Times New Roman"/>
          <w:sz w:val="20"/>
          <w:szCs w:val="20"/>
          <w:color w:val="auto"/>
        </w:rPr>
        <w:t>. This Agreement may be executed in one or more counterparts, each of which shall be deemed to be an original, but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together will constitute one and the same instrument.</w:t>
      </w:r>
    </w:p>
    <w:p>
      <w:pPr>
        <w:spacing w:after="0" w:line="154" w:lineRule="exact"/>
        <w:rPr>
          <w:rFonts w:ascii="Times New Roman" w:cs="Times New Roman" w:eastAsia="Times New Roman" w:hAnsi="Times New Roman"/>
          <w:sz w:val="22"/>
          <w:szCs w:val="22"/>
          <w:b w:val="1"/>
          <w:bCs w:val="1"/>
          <w:i w:val="1"/>
          <w:iCs w:val="1"/>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50" w:lineRule="exact"/>
        <w:rPr>
          <w:rFonts w:ascii="Times New Roman" w:cs="Times New Roman" w:eastAsia="Times New Roman" w:hAnsi="Times New Roman"/>
          <w:sz w:val="22"/>
          <w:szCs w:val="22"/>
          <w:b w:val="1"/>
          <w:bCs w:val="1"/>
          <w:i w:val="1"/>
          <w:iCs w:val="1"/>
          <w:color w:val="auto"/>
        </w:rPr>
      </w:pPr>
    </w:p>
    <w:p>
      <w:pPr>
        <w:ind w:left="1080" w:hanging="424"/>
        <w:spacing w:after="0"/>
        <w:tabs>
          <w:tab w:leader="none" w:pos="10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any of the following:</w:t>
      </w:r>
    </w:p>
    <w:p>
      <w:pPr>
        <w:spacing w:after="0" w:line="256" w:lineRule="exact"/>
        <w:rPr>
          <w:rFonts w:ascii="Times New Roman" w:cs="Times New Roman" w:eastAsia="Times New Roman" w:hAnsi="Times New Roman"/>
          <w:sz w:val="20"/>
          <w:szCs w:val="20"/>
          <w:color w:val="auto"/>
        </w:rPr>
      </w:pPr>
    </w:p>
    <w:p>
      <w:pPr>
        <w:jc w:val="both"/>
        <w:ind w:left="1960" w:hanging="655"/>
        <w:spacing w:after="0" w:line="291" w:lineRule="auto"/>
        <w:tabs>
          <w:tab w:leader="none" w:pos="196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Executive to perform the Executive’s duties under this Agreement (other than as a result of physical or mental illness or injury), which failure, if correctable, and provided it does not constitute willful misconduct or gross negligence, remains uncorrected for 10 days following written notice to Executive by the Chief Executive Officer or the Board of Directors of the Company of such breach;</w:t>
      </w:r>
    </w:p>
    <w:p>
      <w:pPr>
        <w:spacing w:after="0" w:line="181" w:lineRule="exact"/>
        <w:rPr>
          <w:rFonts w:ascii="Times New Roman" w:cs="Times New Roman" w:eastAsia="Times New Roman" w:hAnsi="Times New Roman"/>
          <w:sz w:val="20"/>
          <w:szCs w:val="20"/>
          <w:color w:val="auto"/>
        </w:rPr>
      </w:pPr>
    </w:p>
    <w:p>
      <w:pPr>
        <w:ind w:left="1960" w:hanging="655"/>
        <w:spacing w:after="0" w:line="311" w:lineRule="auto"/>
        <w:tabs>
          <w:tab w:leader="none" w:pos="196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misconduct or gross negligence by the Executive in either case that results in material damage to the business or reputation of the Company;</w:t>
      </w:r>
    </w:p>
    <w:p>
      <w:pPr>
        <w:spacing w:after="0" w:line="133" w:lineRule="exact"/>
        <w:rPr>
          <w:rFonts w:ascii="Times New Roman" w:cs="Times New Roman" w:eastAsia="Times New Roman" w:hAnsi="Times New Roman"/>
          <w:sz w:val="20"/>
          <w:szCs w:val="20"/>
          <w:color w:val="auto"/>
        </w:rPr>
      </w:pPr>
    </w:p>
    <w:p>
      <w:pPr>
        <w:jc w:val="both"/>
        <w:ind w:left="1960" w:hanging="655"/>
        <w:spacing w:after="0" w:line="340" w:lineRule="auto"/>
        <w:tabs>
          <w:tab w:leader="none" w:pos="1960" w:val="left"/>
        </w:tabs>
        <w:numPr>
          <w:ilvl w:val="2"/>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breach by Executive of this Agreement which, if correctable, remains uncorrected for 10 days following written notice to Executive by the Chief Executive Officer or the Board of Directors of the Company of such breach; or</w:t>
      </w:r>
    </w:p>
    <w:p>
      <w:pPr>
        <w:spacing w:after="0" w:line="137" w:lineRule="exact"/>
        <w:rPr>
          <w:rFonts w:ascii="Times New Roman" w:cs="Times New Roman" w:eastAsia="Times New Roman" w:hAnsi="Times New Roman"/>
          <w:sz w:val="19"/>
          <w:szCs w:val="19"/>
          <w:color w:val="auto"/>
        </w:rPr>
      </w:pPr>
    </w:p>
    <w:p>
      <w:pPr>
        <w:ind w:left="1960" w:hanging="655"/>
        <w:spacing w:after="0" w:line="311" w:lineRule="auto"/>
        <w:tabs>
          <w:tab w:leader="none" w:pos="196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is convicted of a felony or any other crime (other than traffic violations) involving moral turpitude (whether or not in connection with the performance by Executive of his duties under this Agreement).</w:t>
      </w:r>
    </w:p>
    <w:p>
      <w:pPr>
        <w:spacing w:after="0" w:line="200" w:lineRule="exact"/>
        <w:rPr>
          <w:rFonts w:ascii="Times New Roman" w:cs="Times New Roman" w:eastAsia="Times New Roman" w:hAnsi="Times New Roman"/>
          <w:sz w:val="20"/>
          <w:szCs w:val="20"/>
          <w:color w:val="auto"/>
        </w:rPr>
      </w:pPr>
    </w:p>
    <w:p>
      <w:pPr>
        <w:spacing w:after="0" w:line="243"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and shall occur on the date that any of the following occurs:</w:t>
      </w:r>
    </w:p>
    <w:p>
      <w:pPr>
        <w:spacing w:after="0" w:line="256" w:lineRule="exact"/>
        <w:rPr>
          <w:rFonts w:ascii="Times New Roman" w:cs="Times New Roman" w:eastAsia="Times New Roman" w:hAnsi="Times New Roman"/>
          <w:sz w:val="20"/>
          <w:szCs w:val="20"/>
          <w:color w:val="auto"/>
        </w:rPr>
      </w:pPr>
    </w:p>
    <w:p>
      <w:pPr>
        <w:jc w:val="both"/>
        <w:ind w:left="1960" w:hanging="655"/>
        <w:spacing w:after="0" w:line="289" w:lineRule="auto"/>
        <w:tabs>
          <w:tab w:leader="none" w:pos="196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corporation, entity or group (1) makes a tender or exchange offer for the issued and outstanding voting stock of NN, Inc., (“</w:t>
      </w:r>
      <w:r>
        <w:rPr>
          <w:rFonts w:ascii="Times New Roman" w:cs="Times New Roman" w:eastAsia="Times New Roman" w:hAnsi="Times New Roman"/>
          <w:sz w:val="20"/>
          <w:szCs w:val="20"/>
          <w:u w:val="single" w:color="auto"/>
          <w:color w:val="auto"/>
        </w:rPr>
        <w:t>NN</w:t>
      </w:r>
      <w:r>
        <w:rPr>
          <w:rFonts w:ascii="Times New Roman" w:cs="Times New Roman" w:eastAsia="Times New Roman" w:hAnsi="Times New Roman"/>
          <w:sz w:val="20"/>
          <w:szCs w:val="20"/>
          <w:color w:val="auto"/>
        </w:rPr>
        <w:t>”)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304" w:lineRule="exact"/>
        <w:rPr>
          <w:sz w:val="20"/>
          <w:szCs w:val="20"/>
          <w:color w:val="auto"/>
        </w:rPr>
      </w:pPr>
    </w:p>
    <w:p>
      <w:pPr>
        <w:jc w:val="both"/>
        <w:ind w:left="1960"/>
        <w:spacing w:after="0" w:line="319" w:lineRule="auto"/>
        <w:rPr>
          <w:sz w:val="20"/>
          <w:szCs w:val="20"/>
          <w:color w:val="auto"/>
        </w:rPr>
      </w:pPr>
      <w:r>
        <w:rPr>
          <w:rFonts w:ascii="Times New Roman" w:cs="Times New Roman" w:eastAsia="Times New Roman" w:hAnsi="Times New Roman"/>
          <w:sz w:val="20"/>
          <w:szCs w:val="20"/>
          <w:color w:val="auto"/>
        </w:rPr>
        <w:t>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168" w:lineRule="exact"/>
        <w:rPr>
          <w:sz w:val="20"/>
          <w:szCs w:val="20"/>
          <w:color w:val="auto"/>
        </w:rPr>
      </w:pPr>
    </w:p>
    <w:p>
      <w:pPr>
        <w:jc w:val="both"/>
        <w:ind w:left="1960" w:hanging="655"/>
        <w:spacing w:after="0" w:line="296" w:lineRule="auto"/>
        <w:tabs>
          <w:tab w:leader="none" w:pos="19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w:t>
      </w:r>
    </w:p>
    <w:p>
      <w:pPr>
        <w:spacing w:after="0" w:line="175" w:lineRule="exact"/>
        <w:rPr>
          <w:rFonts w:ascii="Times New Roman" w:cs="Times New Roman" w:eastAsia="Times New Roman" w:hAnsi="Times New Roman"/>
          <w:sz w:val="20"/>
          <w:szCs w:val="20"/>
          <w:color w:val="auto"/>
        </w:rPr>
      </w:pPr>
    </w:p>
    <w:p>
      <w:pPr>
        <w:ind w:left="1960" w:hanging="655"/>
        <w:spacing w:after="0" w:line="311" w:lineRule="auto"/>
        <w:tabs>
          <w:tab w:leader="none" w:pos="19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NN sells fifty percent (50%) or more of its assets to any other person or persons (other than an affiliate or affiliates of NN); or</w:t>
      </w:r>
    </w:p>
    <w:p>
      <w:pPr>
        <w:spacing w:after="0" w:line="160" w:lineRule="exact"/>
        <w:rPr>
          <w:rFonts w:ascii="Times New Roman" w:cs="Times New Roman" w:eastAsia="Times New Roman" w:hAnsi="Times New Roman"/>
          <w:sz w:val="20"/>
          <w:szCs w:val="20"/>
          <w:color w:val="auto"/>
        </w:rPr>
      </w:pPr>
    </w:p>
    <w:p>
      <w:pPr>
        <w:jc w:val="both"/>
        <w:ind w:left="1960" w:hanging="655"/>
        <w:spacing w:after="0" w:line="286" w:lineRule="auto"/>
        <w:tabs>
          <w:tab w:leader="none" w:pos="19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during any 12-month period, constitute the Board (the “</w:t>
      </w:r>
      <w:r>
        <w:rPr>
          <w:rFonts w:ascii="Times New Roman" w:cs="Times New Roman" w:eastAsia="Times New Roman" w:hAnsi="Times New Roman"/>
          <w:sz w:val="20"/>
          <w:szCs w:val="20"/>
          <w:u w:val="single" w:color="auto"/>
          <w:color w:val="auto"/>
        </w:rPr>
        <w:t>Incumbent Board</w:t>
      </w:r>
      <w:r>
        <w:rPr>
          <w:rFonts w:ascii="Times New Roman" w:cs="Times New Roman" w:eastAsia="Times New Roman" w:hAnsi="Times New Roman"/>
          <w:sz w:val="20"/>
          <w:szCs w:val="20"/>
          <w:color w:val="auto"/>
        </w:rPr>
        <w:t>”)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88" w:lineRule="exact"/>
        <w:rPr>
          <w:rFonts w:ascii="Times New Roman" w:cs="Times New Roman" w:eastAsia="Times New Roman" w:hAnsi="Times New Roman"/>
          <w:sz w:val="20"/>
          <w:szCs w:val="20"/>
          <w:color w:val="auto"/>
        </w:rPr>
      </w:pPr>
    </w:p>
    <w:p>
      <w:pPr>
        <w:ind w:left="1960" w:right="56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intended that a Change in Control, in and of itself, will serve as an event which entitles Executive to any payment hereunder.</w:t>
      </w:r>
    </w:p>
    <w:p>
      <w:pPr>
        <w:spacing w:after="0" w:line="16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256" w:lineRule="exact"/>
        <w:rPr>
          <w:rFonts w:ascii="Times New Roman" w:cs="Times New Roman" w:eastAsia="Times New Roman" w:hAnsi="Times New Roman"/>
          <w:sz w:val="20"/>
          <w:szCs w:val="20"/>
          <w:color w:val="auto"/>
        </w:rPr>
      </w:pPr>
    </w:p>
    <w:p>
      <w:pPr>
        <w:jc w:val="both"/>
        <w:ind w:left="660" w:hanging="652"/>
        <w:spacing w:after="0" w:line="285" w:lineRule="auto"/>
        <w:tabs>
          <w:tab w:leader="none" w:pos="6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91" w:lineRule="exact"/>
        <w:rPr>
          <w:sz w:val="20"/>
          <w:szCs w:val="20"/>
          <w:color w:val="auto"/>
        </w:rPr>
      </w:pPr>
    </w:p>
    <w:p>
      <w:pPr>
        <w:jc w:val="both"/>
        <w:ind w:left="660" w:hanging="652"/>
        <w:spacing w:after="0" w:line="287" w:lineRule="auto"/>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any of the following events if not remedied by the Company within 30 days after receipt of notice thereof from the Executive: (i) assignment to the Executive of any duties inconsistent with Executive’s position duties, responsibilities, office, or any other action by the Company that results in a material diminution in the Executive’s position, authority, duties or responsibilities; (ii) any material failure by the Company to comply with this Agreement; (iii) any material adverse change in Executive’s annual compensation and other benefits; or (iv) a requirement to relocate Executive’s place of employment in excess of fifty (50) miles from the current principal office of the Company as of the date hereof.</w:t>
      </w:r>
    </w:p>
    <w:p>
      <w:pPr>
        <w:spacing w:after="0" w:line="186" w:lineRule="exact"/>
        <w:rPr>
          <w:rFonts w:ascii="Times New Roman" w:cs="Times New Roman" w:eastAsia="Times New Roman" w:hAnsi="Times New Roman"/>
          <w:sz w:val="20"/>
          <w:szCs w:val="20"/>
          <w:color w:val="auto"/>
        </w:rPr>
      </w:pPr>
    </w:p>
    <w:p>
      <w:pPr>
        <w:jc w:val="both"/>
        <w:ind w:left="660"/>
        <w:spacing w:after="0" w:line="28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definition to the contrary, an alleged act by the Company shall not constitute a “Good Reason” event for purposes of this Agreement unless Executive gives written notice of the same to the Company within 60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195" w:lineRule="exact"/>
        <w:rPr>
          <w:rFonts w:ascii="Times New Roman" w:cs="Times New Roman" w:eastAsia="Times New Roman" w:hAnsi="Times New Roman"/>
          <w:sz w:val="20"/>
          <w:szCs w:val="20"/>
          <w:color w:val="auto"/>
        </w:rPr>
      </w:pPr>
    </w:p>
    <w:p>
      <w:pPr>
        <w:jc w:val="both"/>
        <w:ind w:left="660" w:hanging="652"/>
        <w:spacing w:after="0" w:line="309"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means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1" w:lineRule="exact"/>
        <w:rPr>
          <w:rFonts w:ascii="Times New Roman" w:cs="Times New Roman" w:eastAsia="Times New Roman" w:hAnsi="Times New Roman"/>
          <w:sz w:val="22"/>
          <w:szCs w:val="22"/>
          <w:color w:val="auto"/>
        </w:rPr>
      </w:pPr>
    </w:p>
    <w:p>
      <w:pPr>
        <w:ind w:left="660" w:hanging="652"/>
        <w:spacing w:after="0" w:line="315"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means a Separation from Service by action of the Company that is not for Cause, or a Separation from Service by action of the Executive that is for Good Reason.</w:t>
      </w:r>
    </w:p>
    <w:p>
      <w:pPr>
        <w:spacing w:after="0" w:line="81" w:lineRule="exact"/>
        <w:rPr>
          <w:rFonts w:ascii="Times New Roman" w:cs="Times New Roman" w:eastAsia="Times New Roman" w:hAnsi="Times New Roman"/>
          <w:sz w:val="22"/>
          <w:szCs w:val="22"/>
          <w:color w:val="auto"/>
        </w:rPr>
      </w:pPr>
    </w:p>
    <w:p>
      <w:pPr>
        <w:jc w:val="both"/>
        <w:ind w:left="660" w:hanging="652"/>
        <w:spacing w:after="0" w:line="309"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Restrictive Period</w:t>
      </w:r>
      <w:r>
        <w:rPr>
          <w:rFonts w:ascii="Times New Roman" w:cs="Times New Roman" w:eastAsia="Times New Roman" w:hAnsi="Times New Roman"/>
          <w:sz w:val="20"/>
          <w:szCs w:val="20"/>
          <w:color w:val="auto"/>
        </w:rPr>
        <w:t>” means (i) a number of months following Executive’s termination of employment pursuant to paragraph 1(a) or 1(c) above which is equal to the number of months for which the Executive is entitled to receive his base salary under paragraph 1(a) or 1(c) above, or a period of 12 months following Executive’s termination of employment pursuant to paragraph 1(b) above.</w:t>
      </w:r>
    </w:p>
    <w:p>
      <w:pPr>
        <w:spacing w:after="0" w:line="28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means Executive’s “separation from service” as defined in Treasury Regulation Section 1.409A-1(h).</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Executive and the Company (by action of its duly authorized officers) have executed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date first above written.</w:t>
      </w:r>
    </w:p>
    <w:p>
      <w:pPr>
        <w:spacing w:after="0" w:line="13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200" w:lineRule="exact"/>
        <w:rPr>
          <w:sz w:val="20"/>
          <w:szCs w:val="20"/>
          <w:color w:val="auto"/>
        </w:rPr>
      </w:pPr>
    </w:p>
    <w:p>
      <w:pPr>
        <w:spacing w:after="0" w:line="30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Richard D. Holder</w:t>
      </w:r>
    </w:p>
    <w:p>
      <w:pPr>
        <w:spacing w:after="0" w:line="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Name: Richard D. Holder</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3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u w:val="single" w:color="auto"/>
          <w:color w:val="auto"/>
        </w:rPr>
        <w:t>/s/ J. Robbie Atkinson</w:t>
      </w:r>
    </w:p>
    <w:p>
      <w:pPr>
        <w:spacing w:after="0" w:line="24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Name:_J. Robbie Atkinson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Executive’s Severance Payment subsequent to a Change in Control as provided in paragraph 1(c)(i) shall be a lump sum payment equal to:</w:t>
      </w:r>
    </w:p>
    <w:p>
      <w:pPr>
        <w:spacing w:after="0" w:line="16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 times Executive’s base salary (as of the date of Executive’s termination); plus</w:t>
      </w:r>
    </w:p>
    <w:p>
      <w:pPr>
        <w:spacing w:after="0" w:line="2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1.0 times Executive’s target bonus.</w:t>
      </w: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22543288.2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D. Holder, certify that:</w:t>
      </w:r>
    </w:p>
    <w:p>
      <w:pPr>
        <w:spacing w:after="0" w:line="171"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900"/>
        <w:spacing w:after="0"/>
        <w:tabs>
          <w:tab w:leader="none" w:pos="6980" w:val="left"/>
        </w:tabs>
        <w:rPr>
          <w:sz w:val="20"/>
          <w:szCs w:val="20"/>
          <w:color w:val="auto"/>
        </w:rPr>
      </w:pPr>
      <w:r>
        <w:rPr>
          <w:rFonts w:ascii="Times New Roman" w:cs="Times New Roman" w:eastAsia="Times New Roman" w:hAnsi="Times New Roman"/>
          <w:sz w:val="18"/>
          <w:szCs w:val="18"/>
          <w:color w:val="auto"/>
        </w:rPr>
        <w:t>May 10, 2019</w:t>
      </w:r>
      <w:r>
        <w:rPr>
          <w:sz w:val="20"/>
          <w:szCs w:val="20"/>
          <w:color w:val="auto"/>
        </w:rPr>
        <w:tab/>
      </w:r>
      <w:r>
        <w:rPr>
          <w:rFonts w:ascii="Times New Roman" w:cs="Times New Roman" w:eastAsia="Times New Roman" w:hAnsi="Times New Roman"/>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Burwell, Jr., certify that:</w:t>
      </w:r>
    </w:p>
    <w:p>
      <w:pPr>
        <w:spacing w:after="0" w:line="171"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240"/>
        <w:spacing w:after="0"/>
        <w:tabs>
          <w:tab w:leader="none" w:pos="7000" w:val="left"/>
        </w:tabs>
        <w:rPr>
          <w:sz w:val="20"/>
          <w:szCs w:val="20"/>
          <w:color w:val="auto"/>
        </w:rPr>
      </w:pPr>
      <w:r>
        <w:rPr>
          <w:rFonts w:ascii="Times New Roman" w:cs="Times New Roman" w:eastAsia="Times New Roman" w:hAnsi="Times New Roman"/>
          <w:sz w:val="18"/>
          <w:szCs w:val="18"/>
          <w:color w:val="auto"/>
        </w:rPr>
        <w:t>May 10, 2019</w:t>
      </w:r>
      <w:r>
        <w:rPr>
          <w:sz w:val="20"/>
          <w:szCs w:val="20"/>
          <w:color w:val="auto"/>
        </w:rPr>
        <w:tab/>
      </w:r>
      <w:r>
        <w:rPr>
          <w:rFonts w:ascii="Times New Roman" w:cs="Times New Roman" w:eastAsia="Times New Roman" w:hAnsi="Times New Roman"/>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34290</wp:posOffset>
            </wp:positionV>
            <wp:extent cx="28130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6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6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2019,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40"/>
        <w:spacing w:after="0"/>
        <w:tabs>
          <w:tab w:leader="none" w:pos="7000" w:val="left"/>
        </w:tabs>
        <w:rPr>
          <w:sz w:val="20"/>
          <w:szCs w:val="20"/>
          <w:color w:val="auto"/>
        </w:rPr>
      </w:pPr>
      <w:r>
        <w:rPr>
          <w:rFonts w:ascii="Times New Roman" w:cs="Times New Roman" w:eastAsia="Times New Roman" w:hAnsi="Times New Roman"/>
          <w:sz w:val="18"/>
          <w:szCs w:val="18"/>
          <w:color w:val="auto"/>
        </w:rPr>
        <w:t>May 10, 2019</w:t>
      </w:r>
      <w:r>
        <w:rPr>
          <w:sz w:val="20"/>
          <w:szCs w:val="20"/>
          <w:color w:val="auto"/>
        </w:rPr>
        <w:tab/>
      </w:r>
      <w:r>
        <w:rPr>
          <w:rFonts w:ascii="Times New Roman" w:cs="Times New Roman" w:eastAsia="Times New Roman" w:hAnsi="Times New Roman"/>
          <w:sz w:val="17"/>
          <w:szCs w:val="17"/>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34290</wp:posOffset>
            </wp:positionV>
            <wp:extent cx="28130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6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2019,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20"/>
        <w:spacing w:after="0"/>
        <w:tabs>
          <w:tab w:leader="none" w:pos="6980" w:val="left"/>
        </w:tabs>
        <w:rPr>
          <w:sz w:val="20"/>
          <w:szCs w:val="20"/>
          <w:color w:val="auto"/>
        </w:rPr>
      </w:pPr>
      <w:r>
        <w:rPr>
          <w:rFonts w:ascii="Times New Roman" w:cs="Times New Roman" w:eastAsia="Times New Roman" w:hAnsi="Times New Roman"/>
          <w:sz w:val="18"/>
          <w:szCs w:val="18"/>
          <w:color w:val="auto"/>
        </w:rPr>
        <w:t>May 10, 2019</w:t>
      </w:r>
      <w:r>
        <w:rPr>
          <w:sz w:val="20"/>
          <w:szCs w:val="20"/>
          <w:color w:val="auto"/>
        </w:rPr>
        <w:tab/>
      </w:r>
      <w:r>
        <w:rPr>
          <w:rFonts w:ascii="Times New Roman" w:cs="Times New Roman" w:eastAsia="Times New Roman" w:hAnsi="Times New Roman"/>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lowerLetter"/>
      <w:start w:val="1"/>
    </w:lvl>
    <w:lvl w:ilvl="1">
      <w:lvlJc w:val="left"/>
      <w:lvlText w:val="(%2)"/>
      <w:numFmt w:val="lowerRoman"/>
      <w:start w:val="1"/>
    </w:lvl>
  </w:abstractNum>
  <w:abstractNum w:abstractNumId="11">
    <w:nsid w:val="22221A70"/>
    <w:multiLevelType w:val="hybridMultilevel"/>
    <w:lvl w:ilvl="0">
      <w:lvlJc w:val="left"/>
      <w:lvlText w:val="(%1)"/>
      <w:numFmt w:val="lowerRoman"/>
      <w:start w:val="5"/>
    </w:lvl>
  </w:abstractNum>
  <w:abstractNum w:abstractNumId="12">
    <w:nsid w:val="4516DDE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3">
    <w:nsid w:val="3006C83E"/>
    <w:multiLevelType w:val="hybridMultilevel"/>
    <w:lvl w:ilvl="0">
      <w:lvlJc w:val="left"/>
      <w:lvlText w:val="(%1)"/>
      <w:numFmt w:val="decimal"/>
      <w:start w:val="6"/>
    </w:lvl>
  </w:abstractNum>
  <w:abstractNum w:abstractNumId="14">
    <w:nsid w:val="614FD4A1"/>
    <w:multiLevelType w:val="hybridMultilevel"/>
    <w:lvl w:ilvl="0">
      <w:lvlJc w:val="left"/>
      <w:lvlText w:val="(%1)"/>
      <w:numFmt w:val="lowerRoman"/>
      <w:start w:val="2"/>
    </w:lvl>
    <w:lvl w:ilvl="1">
      <w:lvlJc w:val="left"/>
      <w:lvlText w:val="(%2)"/>
      <w:numFmt w:val="decimal"/>
      <w:start w:val="1"/>
    </w:lvl>
  </w:abstractNum>
  <w:abstractNum w:abstractNumId="15">
    <w:nsid w:val="419AC241"/>
    <w:multiLevelType w:val="hybridMultilevel"/>
    <w:lvl w:ilvl="0">
      <w:lvlJc w:val="left"/>
      <w:lvlText w:val="(%1)"/>
      <w:numFmt w:val="lowerLetter"/>
      <w:start w:val="4"/>
    </w:lvl>
  </w:abstractNum>
  <w:abstractNum w:abstractNumId="16">
    <w:nsid w:val="5577F8E1"/>
    <w:multiLevelType w:val="hybridMultilevel"/>
    <w:lvl w:ilvl="0">
      <w:lvlJc w:val="left"/>
      <w:lvlText w:val="%1."/>
      <w:numFmt w:val="decimal"/>
      <w:start w:val="2"/>
    </w:lvl>
  </w:abstractNum>
  <w:abstractNum w:abstractNumId="17">
    <w:nsid w:val="440BADFC"/>
    <w:multiLevelType w:val="hybridMultilevel"/>
    <w:lvl w:ilvl="0">
      <w:lvlJc w:val="left"/>
      <w:lvlText w:val="%1."/>
      <w:numFmt w:val="decimal"/>
      <w:start w:val="4"/>
    </w:lvl>
    <w:lvl w:ilvl="1">
      <w:lvlJc w:val="left"/>
      <w:lvlText w:val="(%2)"/>
      <w:numFmt w:val="lowerLetter"/>
      <w:start w:val="1"/>
    </w:lvl>
  </w:abstractNum>
  <w:abstractNum w:abstractNumId="18">
    <w:nsid w:val="5072367"/>
    <w:multiLevelType w:val="hybridMultilevel"/>
    <w:lvl w:ilvl="0">
      <w:lvlJc w:val="left"/>
      <w:lvlText w:val="%1"/>
      <w:numFmt w:val="decimal"/>
      <w:start w:val="1"/>
    </w:lvl>
    <w:lvl w:ilvl="1">
      <w:lvlJc w:val="left"/>
      <w:lvlText w:val="(%2)"/>
      <w:numFmt w:val="lowerLetter"/>
      <w:start w:val="3"/>
    </w:lvl>
  </w:abstractNum>
  <w:abstractNum w:abstractNumId="19">
    <w:nsid w:val="3804823E"/>
    <w:multiLevelType w:val="hybridMultilevel"/>
    <w:lvl w:ilvl="0">
      <w:lvlJc w:val="left"/>
      <w:lvlText w:val="%1."/>
      <w:numFmt w:val="decimal"/>
      <w:start w:val="7"/>
    </w:lvl>
    <w:lvl w:ilvl="1">
      <w:lvlJc w:val="left"/>
      <w:lvlText w:val="%2"/>
      <w:numFmt w:val="lowerLetter"/>
      <w:start w:val="1"/>
    </w:lvl>
  </w:abstractNum>
  <w:abstractNum w:abstractNumId="20">
    <w:nsid w:val="77465F01"/>
    <w:multiLevelType w:val="hybridMultilevel"/>
    <w:lvl w:ilvl="0">
      <w:lvlJc w:val="left"/>
      <w:lvlText w:val="%1."/>
      <w:numFmt w:val="decimal"/>
      <w:start w:val="10"/>
    </w:lvl>
  </w:abstractNum>
  <w:abstractNum w:abstractNumId="21">
    <w:nsid w:val="7724C67E"/>
    <w:multiLevelType w:val="hybridMultilevel"/>
    <w:lvl w:ilvl="0">
      <w:lvlJc w:val="left"/>
      <w:lvlText w:val="%1."/>
      <w:numFmt w:val="decimal"/>
      <w:start w:val="11"/>
    </w:lvl>
  </w:abstractNum>
  <w:abstractNum w:abstractNumId="22">
    <w:nsid w:val="5C482A97"/>
    <w:multiLevelType w:val="hybridMultilevel"/>
    <w:lvl w:ilvl="0">
      <w:lvlJc w:val="left"/>
      <w:lvlText w:val="%1."/>
      <w:numFmt w:val="decimal"/>
      <w:start w:val="15"/>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decimal"/>
      <w:start w:val="17"/>
    </w:lvl>
  </w:abstractNum>
  <w:abstractNum w:abstractNumId="25">
    <w:nsid w:val="51EAD36B"/>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26">
    <w:nsid w:val="2D517796"/>
    <w:multiLevelType w:val="hybridMultilevel"/>
    <w:lvl w:ilvl="0">
      <w:lvlJc w:val="left"/>
      <w:lvlText w:val="%1"/>
      <w:numFmt w:val="lowerLetter"/>
      <w:start w:val="1"/>
    </w:lvl>
    <w:lvl w:ilvl="1">
      <w:lvlJc w:val="left"/>
      <w:lvlText w:val="(%2)"/>
      <w:numFmt w:val="lowerRoman"/>
      <w:start w:val="2"/>
    </w:lvl>
  </w:abstractNum>
  <w:abstractNum w:abstractNumId="27">
    <w:nsid w:val="580BD78F"/>
    <w:multiLevelType w:val="hybridMultilevel"/>
    <w:lvl w:ilvl="0">
      <w:lvlJc w:val="left"/>
      <w:lvlText w:val="(%1)"/>
      <w:numFmt w:val="lowerLetter"/>
      <w:start w:val="3"/>
    </w:lvl>
    <w:lvl w:ilvl="1">
      <w:lvlJc w:val="left"/>
      <w:lvlText w:val="%2"/>
      <w:numFmt w:val="lowerRoman"/>
      <w:start w:val="1"/>
    </w:lvl>
  </w:abstractNum>
  <w:abstractNum w:abstractNumId="28">
    <w:nsid w:val="153EA438"/>
    <w:multiLevelType w:val="hybridMultilevel"/>
    <w:lvl w:ilvl="0">
      <w:lvlJc w:val="left"/>
      <w:lvlText w:val="(%1)"/>
      <w:numFmt w:val="lowerLetter"/>
      <w:start w:val="5"/>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lowerLetter"/>
      <w:start w:val="1"/>
    </w:lvl>
    <w:lvl w:ilvl="1">
      <w:lvlJc w:val="left"/>
      <w:lvlText w:val="(%2)"/>
      <w:numFmt w:val="lowerRoman"/>
      <w:start w:val="1"/>
    </w:lvl>
  </w:abstractNum>
  <w:abstractNum w:abstractNumId="32">
    <w:nsid w:val="2A487CB0"/>
    <w:multiLevelType w:val="hybridMultilevel"/>
    <w:lvl w:ilvl="0">
      <w:lvlJc w:val="left"/>
      <w:lvlText w:val="(%1)"/>
      <w:numFmt w:val="lowerRoman"/>
      <w:start w:val="5"/>
    </w:lvl>
  </w:abstractNum>
  <w:abstractNum w:abstractNumId="33">
    <w:nsid w:val="1D4ED43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4">
    <w:nsid w:val="725A06FB"/>
    <w:multiLevelType w:val="hybridMultilevel"/>
    <w:lvl w:ilvl="0">
      <w:lvlJc w:val="left"/>
      <w:lvlText w:val="(%1)"/>
      <w:numFmt w:val="decimal"/>
      <w:start w:val="6"/>
    </w:lvl>
  </w:abstractNum>
  <w:abstractNum w:abstractNumId="35">
    <w:nsid w:val="2CD89A32"/>
    <w:multiLevelType w:val="hybridMultilevel"/>
    <w:lvl w:ilvl="0">
      <w:lvlJc w:val="left"/>
      <w:lvlText w:val="(%1)"/>
      <w:numFmt w:val="lowerRoman"/>
      <w:start w:val="2"/>
    </w:lvl>
    <w:lvl w:ilvl="1">
      <w:lvlJc w:val="left"/>
      <w:lvlText w:val="(%2)"/>
      <w:numFmt w:val="decimal"/>
      <w:start w:val="1"/>
    </w:lvl>
  </w:abstractNum>
  <w:abstractNum w:abstractNumId="36">
    <w:nsid w:val="57E4CCAF"/>
    <w:multiLevelType w:val="hybridMultilevel"/>
    <w:lvl w:ilvl="0">
      <w:lvlJc w:val="left"/>
      <w:lvlText w:val="(%1)"/>
      <w:numFmt w:val="lowerLetter"/>
      <w:start w:val="4"/>
    </w:lvl>
  </w:abstractNum>
  <w:abstractNum w:abstractNumId="37">
    <w:nsid w:val="7A6D8D3C"/>
    <w:multiLevelType w:val="hybridMultilevel"/>
    <w:lvl w:ilvl="0">
      <w:lvlJc w:val="left"/>
      <w:lvlText w:val="%1."/>
      <w:numFmt w:val="decimal"/>
      <w:start w:val="2"/>
    </w:lvl>
  </w:abstractNum>
  <w:abstractNum w:abstractNumId="38">
    <w:nsid w:val="4B588F54"/>
    <w:multiLevelType w:val="hybridMultilevel"/>
    <w:lvl w:ilvl="0">
      <w:lvlJc w:val="left"/>
      <w:lvlText w:val="%1."/>
      <w:numFmt w:val="decimal"/>
      <w:start w:val="4"/>
    </w:lvl>
    <w:lvl w:ilvl="1">
      <w:lvlJc w:val="left"/>
      <w:lvlText w:val="(%2)"/>
      <w:numFmt w:val="lowerLetter"/>
      <w:start w:val="1"/>
    </w:lvl>
  </w:abstractNum>
  <w:abstractNum w:abstractNumId="39">
    <w:nsid w:val="542289EC"/>
    <w:multiLevelType w:val="hybridMultilevel"/>
    <w:lvl w:ilvl="0">
      <w:lvlJc w:val="left"/>
      <w:lvlText w:val="%1"/>
      <w:numFmt w:val="decimal"/>
      <w:start w:val="1"/>
    </w:lvl>
    <w:lvl w:ilvl="1">
      <w:lvlJc w:val="left"/>
      <w:lvlText w:val="(%2)"/>
      <w:numFmt w:val="lowerLetter"/>
      <w:start w:val="3"/>
    </w:lvl>
  </w:abstractNum>
  <w:abstractNum w:abstractNumId="40">
    <w:nsid w:val="6DE91B18"/>
    <w:multiLevelType w:val="hybridMultilevel"/>
    <w:lvl w:ilvl="0">
      <w:lvlJc w:val="left"/>
      <w:lvlText w:val="%1."/>
      <w:numFmt w:val="decimal"/>
      <w:start w:val="7"/>
    </w:lvl>
    <w:lvl w:ilvl="1">
      <w:lvlJc w:val="left"/>
      <w:lvlText w:val="%2"/>
      <w:numFmt w:val="lowerLetter"/>
      <w:start w:val="1"/>
    </w:lvl>
  </w:abstractNum>
  <w:abstractNum w:abstractNumId="41">
    <w:nsid w:val="38437FDB"/>
    <w:multiLevelType w:val="hybridMultilevel"/>
    <w:lvl w:ilvl="0">
      <w:lvlJc w:val="left"/>
      <w:lvlText w:val="%1."/>
      <w:numFmt w:val="decimal"/>
      <w:start w:val="10"/>
    </w:lvl>
  </w:abstractNum>
  <w:abstractNum w:abstractNumId="42">
    <w:nsid w:val="7644A45C"/>
    <w:multiLevelType w:val="hybridMultilevel"/>
    <w:lvl w:ilvl="0">
      <w:lvlJc w:val="left"/>
      <w:lvlText w:val="%1."/>
      <w:numFmt w:val="decimal"/>
      <w:start w:val="11"/>
    </w:lvl>
  </w:abstractNum>
  <w:abstractNum w:abstractNumId="43">
    <w:nsid w:val="32FFF902"/>
    <w:multiLevelType w:val="hybridMultilevel"/>
    <w:lvl w:ilvl="0">
      <w:lvlJc w:val="left"/>
      <w:lvlText w:val="%1."/>
      <w:numFmt w:val="decimal"/>
      <w:start w:val="15"/>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decimal"/>
      <w:start w:val="17"/>
    </w:lvl>
  </w:abstractNum>
  <w:abstractNum w:abstractNumId="46">
    <w:nsid w:val="749ABB43"/>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47">
    <w:nsid w:val="3DC240FB"/>
    <w:multiLevelType w:val="hybridMultilevel"/>
    <w:lvl w:ilvl="0">
      <w:lvlJc w:val="left"/>
      <w:lvlText w:val="%1"/>
      <w:numFmt w:val="lowerLetter"/>
      <w:start w:val="1"/>
    </w:lvl>
    <w:lvl w:ilvl="1">
      <w:lvlJc w:val="left"/>
      <w:lvlText w:val="(%2)"/>
      <w:numFmt w:val="lowerRoman"/>
      <w:start w:val="2"/>
    </w:lvl>
  </w:abstractNum>
  <w:abstractNum w:abstractNumId="48">
    <w:nsid w:val="1BA026FA"/>
    <w:multiLevelType w:val="hybridMultilevel"/>
    <w:lvl w:ilvl="0">
      <w:lvlJc w:val="left"/>
      <w:lvlText w:val="(%1)"/>
      <w:numFmt w:val="lowerLetter"/>
      <w:start w:val="3"/>
    </w:lvl>
    <w:lvl w:ilvl="1">
      <w:lvlJc w:val="left"/>
      <w:lvlText w:val="%2"/>
      <w:numFmt w:val="lowerRoman"/>
      <w:start w:val="1"/>
    </w:lvl>
  </w:abstractNum>
  <w:abstractNum w:abstractNumId="49">
    <w:nsid w:val="79A1DEAA"/>
    <w:multiLevelType w:val="hybridMultilevel"/>
    <w:lvl w:ilvl="0">
      <w:lvlJc w:val="left"/>
      <w:lvlText w:val="(%1)"/>
      <w:numFmt w:val="lowerLetter"/>
      <w:start w:val="5"/>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2019-12-28T12:14:12Z</dcterms:created>
  <dcterms:modified xsi:type="dcterms:W3CDTF">2019-12-28T12:14:12Z</dcterms:modified>
</cp:coreProperties>
</file>