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75" w:lineRule="exact"/>
        <w:rPr>
          <w:sz w:val="24"/>
          <w:szCs w:val="24"/>
          <w:color w:val="auto"/>
        </w:rPr>
      </w:pPr>
    </w:p>
    <w:p>
      <w:pPr>
        <w:ind w:left="160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81" w:lineRule="exact"/>
        <w:rPr>
          <w:sz w:val="24"/>
          <w:szCs w:val="24"/>
          <w:color w:val="auto"/>
        </w:rPr>
      </w:pPr>
    </w:p>
    <w:p>
      <w:pPr>
        <w:spacing w:after="0"/>
        <w:rPr>
          <w:sz w:val="20"/>
          <w:szCs w:val="20"/>
          <w:color w:val="auto"/>
        </w:rPr>
      </w:pPr>
      <w:r>
        <w:rPr>
          <w:rFonts w:ascii="Arial" w:cs="Arial" w:eastAsia="Arial" w:hAnsi="Arial"/>
          <w:sz w:val="21"/>
          <w:szCs w:val="21"/>
          <w:color w:val="auto"/>
        </w:rPr>
        <w:t>Date of Report (Date of earliest event reported): May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179705</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ind w:left="1480"/>
              <w:spacing w:after="0"/>
              <w:rPr>
                <w:sz w:val="20"/>
                <w:szCs w:val="20"/>
                <w:color w:val="auto"/>
              </w:rPr>
            </w:pPr>
            <w:r>
              <w:rPr>
                <w:rFonts w:ascii="Arial" w:cs="Arial" w:eastAsia="Arial" w:hAnsi="Arial"/>
                <w:sz w:val="21"/>
                <w:szCs w:val="21"/>
                <w:b w:val="1"/>
                <w:bCs w:val="1"/>
                <w:color w:val="auto"/>
              </w:rPr>
              <w:t>Delaware</w:t>
            </w:r>
          </w:p>
        </w:tc>
        <w:tc>
          <w:tcPr>
            <w:tcW w:w="2040" w:type="dxa"/>
            <w:vAlign w:val="bottom"/>
          </w:tcPr>
          <w:p>
            <w:pPr>
              <w:jc w:val="center"/>
              <w:spacing w:after="0"/>
              <w:rPr>
                <w:sz w:val="20"/>
                <w:szCs w:val="20"/>
                <w:color w:val="auto"/>
              </w:rPr>
            </w:pPr>
            <w:r>
              <w:rPr>
                <w:rFonts w:ascii="Arial" w:cs="Arial" w:eastAsia="Arial" w:hAnsi="Arial"/>
                <w:sz w:val="21"/>
                <w:szCs w:val="21"/>
                <w:b w:val="1"/>
                <w:bCs w:val="1"/>
                <w:color w:val="auto"/>
                <w:w w:val="90"/>
              </w:rPr>
              <w:t>0-23486</w:t>
            </w:r>
          </w:p>
        </w:tc>
        <w:tc>
          <w:tcPr>
            <w:tcW w:w="1460" w:type="dxa"/>
            <w:vAlign w:val="bottom"/>
          </w:tcPr>
          <w:p>
            <w:pPr>
              <w:jc w:val="right"/>
              <w:ind w:right="148"/>
              <w:spacing w:after="0"/>
              <w:rPr>
                <w:sz w:val="20"/>
                <w:szCs w:val="20"/>
                <w:color w:val="auto"/>
              </w:rPr>
            </w:pPr>
            <w:r>
              <w:rPr>
                <w:rFonts w:ascii="Arial" w:cs="Arial" w:eastAsia="Arial" w:hAnsi="Arial"/>
                <w:sz w:val="21"/>
                <w:szCs w:val="21"/>
                <w:b w:val="1"/>
                <w:bCs w:val="1"/>
                <w:color w:val="auto"/>
              </w:rPr>
              <w:t>62-1096725</w:t>
            </w:r>
          </w:p>
        </w:tc>
        <w:tc>
          <w:tcPr>
            <w:tcW w:w="0" w:type="dxa"/>
            <w:vAlign w:val="bottom"/>
          </w:tcPr>
          <w:p>
            <w:pPr>
              <w:spacing w:after="0"/>
              <w:rPr>
                <w:sz w:val="1"/>
                <w:szCs w:val="1"/>
                <w:color w:val="auto"/>
              </w:rPr>
            </w:pPr>
          </w:p>
        </w:tc>
      </w:tr>
      <w:tr>
        <w:trPr>
          <w:trHeight w:val="206"/>
        </w:trPr>
        <w:tc>
          <w:tcPr>
            <w:tcW w:w="6220" w:type="dxa"/>
            <w:vAlign w:val="bottom"/>
          </w:tcPr>
          <w:p>
            <w:pPr>
              <w:ind w:left="1480"/>
              <w:spacing w:after="0"/>
              <w:rPr>
                <w:sz w:val="20"/>
                <w:szCs w:val="20"/>
                <w:color w:val="auto"/>
              </w:rPr>
            </w:pPr>
            <w:r>
              <w:rPr>
                <w:rFonts w:ascii="Arial" w:cs="Arial" w:eastAsia="Arial" w:hAnsi="Arial"/>
                <w:sz w:val="17"/>
                <w:szCs w:val="17"/>
                <w:color w:val="auto"/>
              </w:rPr>
              <w:t>(State or other jurisdiction</w:t>
            </w:r>
          </w:p>
        </w:tc>
        <w:tc>
          <w:tcPr>
            <w:tcW w:w="2040" w:type="dxa"/>
            <w:vAlign w:val="bottom"/>
          </w:tcPr>
          <w:p>
            <w:pPr>
              <w:ind w:left="640"/>
              <w:spacing w:after="0"/>
              <w:rPr>
                <w:sz w:val="20"/>
                <w:szCs w:val="20"/>
                <w:color w:val="auto"/>
              </w:rPr>
            </w:pPr>
            <w:r>
              <w:rPr>
                <w:rFonts w:ascii="Arial" w:cs="Arial" w:eastAsia="Arial" w:hAnsi="Arial"/>
                <w:sz w:val="17"/>
                <w:szCs w:val="17"/>
                <w:color w:val="auto"/>
              </w:rPr>
              <w:t>(Commission File</w:t>
            </w:r>
          </w:p>
        </w:tc>
        <w:tc>
          <w:tcPr>
            <w:tcW w:w="1460" w:type="dxa"/>
            <w:vAlign w:val="bottom"/>
          </w:tcPr>
          <w:p>
            <w:pPr>
              <w:ind w:left="180"/>
              <w:spacing w:after="0"/>
              <w:rPr>
                <w:sz w:val="20"/>
                <w:szCs w:val="20"/>
                <w:color w:val="auto"/>
              </w:rPr>
            </w:pPr>
            <w:r>
              <w:rPr>
                <w:rFonts w:ascii="Arial" w:cs="Arial" w:eastAsia="Arial" w:hAnsi="Arial"/>
                <w:sz w:val="17"/>
                <w:szCs w:val="17"/>
                <w:color w:val="auto"/>
              </w:rPr>
              <w:t>(IRS Employer</w:t>
            </w:r>
          </w:p>
        </w:tc>
        <w:tc>
          <w:tcPr>
            <w:tcW w:w="0" w:type="dxa"/>
            <w:vAlign w:val="bottom"/>
          </w:tcPr>
          <w:p>
            <w:pPr>
              <w:spacing w:after="0"/>
              <w:rPr>
                <w:sz w:val="1"/>
                <w:szCs w:val="1"/>
                <w:color w:val="auto"/>
              </w:rPr>
            </w:pPr>
          </w:p>
        </w:tc>
      </w:tr>
      <w:tr>
        <w:trPr>
          <w:trHeight w:val="217"/>
        </w:trPr>
        <w:tc>
          <w:tcPr>
            <w:tcW w:w="6220" w:type="dxa"/>
            <w:vAlign w:val="bottom"/>
          </w:tcPr>
          <w:p>
            <w:pPr>
              <w:ind w:left="1520"/>
              <w:spacing w:after="0"/>
              <w:rPr>
                <w:sz w:val="20"/>
                <w:szCs w:val="20"/>
                <w:color w:val="auto"/>
              </w:rPr>
            </w:pPr>
            <w:r>
              <w:rPr>
                <w:rFonts w:ascii="Arial" w:cs="Arial" w:eastAsia="Arial" w:hAnsi="Arial"/>
                <w:sz w:val="17"/>
                <w:szCs w:val="17"/>
                <w:color w:val="auto"/>
              </w:rPr>
              <w:t>of incorporation</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Number)</w:t>
            </w:r>
          </w:p>
        </w:tc>
        <w:tc>
          <w:tcPr>
            <w:tcW w:w="1460" w:type="dxa"/>
            <w:vAlign w:val="bottom"/>
          </w:tcPr>
          <w:p>
            <w:pPr>
              <w:ind w:left="180"/>
              <w:spacing w:after="0"/>
              <w:rPr>
                <w:sz w:val="20"/>
                <w:szCs w:val="20"/>
                <w:color w:val="auto"/>
              </w:rPr>
            </w:pPr>
            <w:r>
              <w:rPr>
                <w:rFonts w:ascii="Arial" w:cs="Arial" w:eastAsia="Arial" w:hAnsi="Arial"/>
                <w:sz w:val="17"/>
                <w:szCs w:val="17"/>
                <w:color w:val="auto"/>
                <w:w w:val="95"/>
              </w:rPr>
              <w:t>Identification No.)</w:t>
            </w:r>
          </w:p>
        </w:tc>
        <w:tc>
          <w:tcPr>
            <w:tcW w:w="0" w:type="dxa"/>
            <w:vAlign w:val="bottom"/>
          </w:tcPr>
          <w:p>
            <w:pPr>
              <w:spacing w:after="0"/>
              <w:rPr>
                <w:sz w:val="1"/>
                <w:szCs w:val="1"/>
                <w:color w:val="auto"/>
              </w:rPr>
            </w:pPr>
          </w:p>
        </w:tc>
      </w:tr>
      <w:tr>
        <w:trPr>
          <w:trHeight w:val="929"/>
        </w:trPr>
        <w:tc>
          <w:tcPr>
            <w:tcW w:w="6220" w:type="dxa"/>
            <w:vAlign w:val="bottom"/>
          </w:tcPr>
          <w:p>
            <w:pPr>
              <w:ind w:left="2920"/>
              <w:spacing w:after="0"/>
              <w:rPr>
                <w:sz w:val="20"/>
                <w:szCs w:val="20"/>
                <w:color w:val="auto"/>
              </w:rPr>
            </w:pPr>
            <w:r>
              <w:rPr>
                <w:rFonts w:ascii="Arial" w:cs="Arial" w:eastAsia="Arial" w:hAnsi="Arial"/>
                <w:sz w:val="21"/>
                <w:szCs w:val="21"/>
                <w:b w:val="1"/>
                <w:bCs w:val="1"/>
                <w:color w:val="auto"/>
              </w:rPr>
              <w:t>2000 Waters Edge Drive</w:t>
            </w:r>
          </w:p>
        </w:tc>
        <w:tc>
          <w:tcPr>
            <w:tcW w:w="2040" w:type="dxa"/>
            <w:vAlign w:val="bottom"/>
            <w:vMerge w:val="restart"/>
          </w:tcPr>
          <w:p>
            <w:pPr>
              <w:jc w:val="center"/>
              <w:ind w:right="7"/>
              <w:spacing w:after="0"/>
              <w:rPr>
                <w:sz w:val="20"/>
                <w:szCs w:val="20"/>
                <w:color w:val="auto"/>
              </w:rPr>
            </w:pPr>
            <w:r>
              <w:rPr>
                <w:rFonts w:ascii="Arial" w:cs="Arial" w:eastAsia="Arial" w:hAnsi="Arial"/>
                <w:sz w:val="21"/>
                <w:szCs w:val="21"/>
                <w:b w:val="1"/>
                <w:bCs w:val="1"/>
                <w:color w:val="auto"/>
                <w:w w:val="85"/>
              </w:rPr>
              <w:t>37604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220" w:type="dxa"/>
            <w:vAlign w:val="bottom"/>
            <w:vMerge w:val="restart"/>
          </w:tcPr>
          <w:p>
            <w:pPr>
              <w:ind w:left="2860"/>
              <w:spacing w:after="0"/>
              <w:rPr>
                <w:sz w:val="20"/>
                <w:szCs w:val="20"/>
                <w:color w:val="auto"/>
              </w:rPr>
            </w:pPr>
            <w:r>
              <w:rPr>
                <w:rFonts w:ascii="Arial" w:cs="Arial" w:eastAsia="Arial" w:hAnsi="Arial"/>
                <w:sz w:val="21"/>
                <w:szCs w:val="21"/>
                <w:b w:val="1"/>
                <w:bCs w:val="1"/>
                <w:color w:val="auto"/>
              </w:rPr>
              <w:t>Johnson City, Tennessee</w:t>
            </w:r>
          </w:p>
        </w:tc>
        <w:tc>
          <w:tcPr>
            <w:tcW w:w="204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622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6220" w:type="dxa"/>
            <w:vAlign w:val="bottom"/>
          </w:tcPr>
          <w:p>
            <w:pPr>
              <w:ind w:left="2900"/>
              <w:spacing w:after="0"/>
              <w:rPr>
                <w:sz w:val="20"/>
                <w:szCs w:val="20"/>
                <w:color w:val="auto"/>
              </w:rPr>
            </w:pPr>
            <w:r>
              <w:rPr>
                <w:rFonts w:ascii="Arial" w:cs="Arial" w:eastAsia="Arial" w:hAnsi="Arial"/>
                <w:sz w:val="17"/>
                <w:szCs w:val="17"/>
                <w:color w:val="auto"/>
              </w:rPr>
              <w:t>(Address of principal executive offices)</w:t>
            </w:r>
          </w:p>
        </w:tc>
        <w:tc>
          <w:tcPr>
            <w:tcW w:w="2040" w:type="dxa"/>
            <w:vAlign w:val="bottom"/>
          </w:tcPr>
          <w:p>
            <w:pPr>
              <w:ind w:left="580"/>
              <w:spacing w:after="0"/>
              <w:rPr>
                <w:sz w:val="20"/>
                <w:szCs w:val="20"/>
                <w:color w:val="auto"/>
              </w:rPr>
            </w:pPr>
            <w:r>
              <w:rPr>
                <w:rFonts w:ascii="Arial" w:cs="Arial" w:eastAsia="Arial" w:hAnsi="Arial"/>
                <w:sz w:val="17"/>
                <w:szCs w:val="17"/>
                <w:color w:val="auto"/>
              </w:rPr>
              <w:t>(Zip Code)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3"/>
        </w:trPr>
        <w:tc>
          <w:tcPr>
            <w:tcW w:w="6220" w:type="dxa"/>
            <w:vAlign w:val="bottom"/>
          </w:tcPr>
          <w:p>
            <w:pPr>
              <w:spacing w:after="0"/>
              <w:rPr>
                <w:sz w:val="20"/>
                <w:szCs w:val="20"/>
                <w:color w:val="auto"/>
              </w:rPr>
            </w:pPr>
            <w:r>
              <w:rPr>
                <w:rFonts w:ascii="Arial" w:cs="Arial" w:eastAsia="Arial" w:hAnsi="Arial"/>
                <w:sz w:val="21"/>
                <w:szCs w:val="21"/>
                <w:color w:val="auto"/>
                <w:w w:val="98"/>
              </w:rPr>
              <w:t xml:space="preserve">Registrant's telephone number, including area code: </w:t>
            </w:r>
            <w:r>
              <w:rPr>
                <w:rFonts w:ascii="Arial" w:cs="Arial" w:eastAsia="Arial" w:hAnsi="Arial"/>
                <w:sz w:val="21"/>
                <w:szCs w:val="21"/>
                <w:b w:val="1"/>
                <w:bCs w:val="1"/>
                <w:color w:val="auto"/>
                <w:w w:val="98"/>
              </w:rPr>
              <w:t>(423)743-9151</w:t>
            </w:r>
          </w:p>
        </w:tc>
        <w:tc>
          <w:tcPr>
            <w:tcW w:w="2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line="278"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215" w:lineRule="exact"/>
        <w:rPr>
          <w:sz w:val="24"/>
          <w:szCs w:val="24"/>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Written communications pursuant to Rule 425 under the Securities Act (17 CFR 230.425)</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Soliciting material pursuant to Rule 14a-12 under the Exchange Act (17 CFR 240.14a-12)</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14d-2(b) under the Exchange Act (17 CFR 240.14d-2(b))</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759460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 99.1 is a copy of the earnings release of NN, Inc. reporting results for the quarter ended March 31, 2007, which was issued on May 8, 2007.</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following exhibit is furnished pursuant to Item 2.02, is not considered "filed" under the Securities Exchange Act of 1934, as amended, and shall not be incorporated by reference into any of hte previous of future filings of NN, Inc. under the Securities Act of 1933, as amended, or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80" w:type="dxa"/>
            <w:vAlign w:val="bottom"/>
            <w:gridSpan w:val="2"/>
          </w:tcPr>
          <w:p>
            <w:pPr>
              <w:spacing w:after="0"/>
              <w:rPr>
                <w:sz w:val="20"/>
                <w:szCs w:val="20"/>
                <w:color w:val="auto"/>
              </w:rPr>
            </w:pPr>
            <w:r>
              <w:rPr>
                <w:rFonts w:ascii="Arial" w:cs="Arial" w:eastAsia="Arial" w:hAnsi="Arial"/>
                <w:sz w:val="17"/>
                <w:szCs w:val="17"/>
                <w:color w:val="auto"/>
              </w:rPr>
              <w:t>Exhibits: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8"/>
        </w:trPr>
        <w:tc>
          <w:tcPr>
            <w:tcW w:w="1280" w:type="dxa"/>
            <w:vAlign w:val="bottom"/>
            <w:gridSpan w:val="2"/>
          </w:tcPr>
          <w:p>
            <w:pPr>
              <w:spacing w:after="0"/>
              <w:rPr>
                <w:sz w:val="20"/>
                <w:szCs w:val="20"/>
                <w:color w:val="auto"/>
              </w:rPr>
            </w:pPr>
            <w:r>
              <w:rPr>
                <w:rFonts w:ascii="Arial" w:cs="Arial" w:eastAsia="Arial" w:hAnsi="Arial"/>
                <w:sz w:val="17"/>
                <w:szCs w:val="17"/>
                <w:color w:val="auto"/>
              </w:rPr>
              <w:t>Exhibit Number</w:t>
            </w:r>
          </w:p>
        </w:tc>
        <w:tc>
          <w:tcPr>
            <w:tcW w:w="3420" w:type="dxa"/>
            <w:vAlign w:val="bottom"/>
            <w:gridSpan w:val="3"/>
          </w:tcPr>
          <w:p>
            <w:pPr>
              <w:ind w:left="180"/>
              <w:spacing w:after="0"/>
              <w:rPr>
                <w:sz w:val="20"/>
                <w:szCs w:val="20"/>
                <w:color w:val="auto"/>
              </w:rPr>
            </w:pPr>
            <w:r>
              <w:rPr>
                <w:rFonts w:ascii="Arial" w:cs="Arial" w:eastAsia="Arial" w:hAnsi="Arial"/>
                <w:sz w:val="17"/>
                <w:szCs w:val="17"/>
                <w:color w:val="auto"/>
              </w:rPr>
              <w:t>Description of Exhibit</w:t>
            </w:r>
          </w:p>
        </w:tc>
      </w:t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95"/>
        </w:trPr>
        <w:tc>
          <w:tcPr>
            <w:tcW w:w="1080" w:type="dxa"/>
            <w:vAlign w:val="bottom"/>
          </w:tcPr>
          <w:p>
            <w:pPr>
              <w:jc w:val="right"/>
              <w:ind w:right="655"/>
              <w:spacing w:after="0"/>
              <w:rPr>
                <w:sz w:val="20"/>
                <w:szCs w:val="20"/>
                <w:color w:val="auto"/>
              </w:rPr>
            </w:pPr>
            <w:r>
              <w:rPr>
                <w:rFonts w:ascii="Arial" w:cs="Arial" w:eastAsia="Arial" w:hAnsi="Arial"/>
                <w:sz w:val="17"/>
                <w:szCs w:val="17"/>
                <w:color w:val="auto"/>
                <w:w w:val="96"/>
              </w:rPr>
              <w:t>99.1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2"/>
          </w:tcPr>
          <w:p>
            <w:pPr>
              <w:ind w:left="100"/>
              <w:spacing w:after="0"/>
              <w:rPr>
                <w:sz w:val="20"/>
                <w:szCs w:val="20"/>
                <w:color w:val="auto"/>
              </w:rPr>
            </w:pPr>
            <w:r>
              <w:rPr>
                <w:rFonts w:ascii="Arial" w:cs="Arial" w:eastAsia="Arial" w:hAnsi="Arial"/>
                <w:sz w:val="17"/>
                <w:szCs w:val="17"/>
                <w:color w:val="auto"/>
                <w:w w:val="90"/>
              </w:rPr>
              <w:t>Press Release of NN, Inc. dated May 8,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75"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56"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Date: May 8, 2007</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78105</wp:posOffset>
            </wp:positionV>
            <wp:extent cx="2815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5590" cy="20955"/>
                    </a:xfrm>
                    <a:prstGeom prst="rect">
                      <a:avLst/>
                    </a:prstGeom>
                    <a:noFill/>
                  </pic:spPr>
                </pic:pic>
              </a:graphicData>
            </a:graphic>
          </wp:anchor>
        </w:drawing>
      </w:r>
    </w:p>
    <w:p>
      <w:pPr>
        <w:spacing w:after="0" w:line="22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420"/>
          </w:cols>
          <w:pgMar w:left="240" w:top="6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37" w:right="239" w:bottom="1440"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8"/>
          <w:szCs w:val="28"/>
          <w:color w:val="auto"/>
        </w:rPr>
        <w:t>FINANCIAL</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160;</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7"/>
          <w:szCs w:val="17"/>
          <w:b w:val="1"/>
          <w:bCs w:val="1"/>
          <w:u w:val="single" w:color="auto"/>
          <w:color w:val="auto"/>
        </w:rPr>
        <w:t>AT THE</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7"/>
          <w:szCs w:val="17"/>
          <w:b w:val="1"/>
          <w:bCs w:val="1"/>
          <w:u w:val="single" w:color="auto"/>
          <w:color w:val="auto"/>
        </w:rPr>
        <w:t>COMPANY</w:t>
      </w:r>
    </w:p>
    <w:p>
      <w:pPr>
        <w:spacing w:after="0" w:line="4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Will Kelly</w:t>
      </w:r>
    </w:p>
    <w:p>
      <w:pPr>
        <w:spacing w:after="0" w:line="3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Vice President and Chief Administrative</w:t>
      </w:r>
    </w:p>
    <w:p>
      <w:pPr>
        <w:spacing w:after="0" w:line="6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Officer</w:t>
      </w:r>
    </w:p>
    <w:p>
      <w:pPr>
        <w:spacing w:after="0" w:line="37" w:lineRule="exact"/>
        <w:rPr>
          <w:sz w:val="20"/>
          <w:szCs w:val="20"/>
          <w:color w:val="auto"/>
        </w:rPr>
      </w:pPr>
    </w:p>
    <w:p>
      <w:pPr>
        <w:ind w:left="1600" w:hanging="403"/>
        <w:spacing w:after="0"/>
        <w:tabs>
          <w:tab w:leader="none" w:pos="1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743-</w:t>
      </w:r>
    </w:p>
    <w:p>
      <w:pPr>
        <w:spacing w:after="0" w:line="36"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7"/>
          <w:szCs w:val="17"/>
          <w:color w:val="auto"/>
        </w:rPr>
        <w:t>9151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May 8, 2007</w:t>
      </w:r>
    </w:p>
    <w:p>
      <w:pPr>
        <w:spacing w:after="0" w:line="20" w:lineRule="exact"/>
        <w:rPr>
          <w:sz w:val="20"/>
          <w:szCs w:val="20"/>
          <w:color w:val="auto"/>
        </w:rPr>
      </w:pPr>
      <w:r>
        <w:rPr>
          <w:sz w:val="20"/>
          <w:szCs w:val="20"/>
          <w:color w:val="auto"/>
        </w:rPr>
        <w:br w:type="column"/>
      </w:r>
    </w:p>
    <w:p>
      <w:pPr>
        <w:ind w:left="2640"/>
        <w:spacing w:after="0"/>
        <w:rPr>
          <w:sz w:val="20"/>
          <w:szCs w:val="20"/>
          <w:color w:val="auto"/>
        </w:rPr>
      </w:pPr>
      <w:r>
        <w:rPr>
          <w:rFonts w:ascii="Arial" w:cs="Arial" w:eastAsia="Arial" w:hAnsi="Arial"/>
          <w:sz w:val="41"/>
          <w:szCs w:val="41"/>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RE: NN, Inc.</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2000 Waters Edge Drive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&amp;#</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spacing w:after="0"/>
        <w:rPr>
          <w:sz w:val="20"/>
          <w:szCs w:val="20"/>
          <w:color w:val="auto"/>
        </w:rPr>
      </w:pPr>
      <w:r>
        <w:rPr>
          <w:rFonts w:ascii="Arial" w:cs="Arial" w:eastAsia="Arial" w:hAnsi="Arial"/>
          <w:sz w:val="17"/>
          <w:szCs w:val="17"/>
          <w:b w:val="1"/>
          <w:bCs w:val="1"/>
          <w:u w:val="single" w:color="auto"/>
          <w:color w:val="auto"/>
        </w:rPr>
        <w:t>AT FINANCIAL RELATIONS BOARD</w:t>
      </w:r>
    </w:p>
    <w:p>
      <w:pPr>
        <w:spacing w:after="0" w:line="157"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17"/>
          <w:szCs w:val="17"/>
          <w:color w:val="auto"/>
        </w:rPr>
        <w:t>Marilynn Meek</w:t>
      </w:r>
      <w:r>
        <w:rPr>
          <w:sz w:val="20"/>
          <w:szCs w:val="20"/>
          <w:color w:val="auto"/>
        </w:rPr>
        <w:tab/>
      </w:r>
      <w:r>
        <w:rPr>
          <w:rFonts w:ascii="Arial" w:cs="Arial" w:eastAsia="Arial" w:hAnsi="Arial"/>
          <w:sz w:val="14"/>
          <w:szCs w:val="14"/>
          <w:color w:val="auto"/>
        </w:rPr>
        <w:t>Susan Garland</w:t>
      </w:r>
    </w:p>
    <w:p>
      <w:pPr>
        <w:spacing w:after="0" w:line="149" w:lineRule="exact"/>
        <w:rPr>
          <w:sz w:val="20"/>
          <w:szCs w:val="20"/>
          <w:color w:val="auto"/>
        </w:rPr>
      </w:pPr>
    </w:p>
    <w:p>
      <w:pPr>
        <w:ind w:left="1040"/>
        <w:spacing w:after="0"/>
        <w:tabs>
          <w:tab w:leader="none" w:pos="3320" w:val="left"/>
        </w:tabs>
        <w:rPr>
          <w:sz w:val="20"/>
          <w:szCs w:val="20"/>
          <w:color w:val="auto"/>
        </w:rPr>
      </w:pPr>
      <w:r>
        <w:rPr>
          <w:rFonts w:ascii="Arial" w:cs="Arial" w:eastAsia="Arial" w:hAnsi="Arial"/>
          <w:sz w:val="17"/>
          <w:szCs w:val="17"/>
          <w:color w:val="auto"/>
        </w:rPr>
        <w:t>(General info)</w:t>
      </w:r>
      <w:r>
        <w:rPr>
          <w:sz w:val="20"/>
          <w:szCs w:val="20"/>
          <w:color w:val="auto"/>
        </w:rPr>
        <w:tab/>
      </w:r>
      <w:r>
        <w:rPr>
          <w:rFonts w:ascii="Arial" w:cs="Arial" w:eastAsia="Arial" w:hAnsi="Arial"/>
          <w:sz w:val="16"/>
          <w:szCs w:val="16"/>
          <w:color w:val="auto"/>
        </w:rPr>
        <w:t>(Analyst info)</w:t>
      </w:r>
    </w:p>
    <w:p>
      <w:pPr>
        <w:spacing w:after="0" w:line="273" w:lineRule="exact"/>
        <w:rPr>
          <w:sz w:val="20"/>
          <w:szCs w:val="20"/>
          <w:color w:val="auto"/>
        </w:rPr>
      </w:pPr>
    </w:p>
    <w:p>
      <w:pPr>
        <w:ind w:left="1040"/>
        <w:spacing w:after="0"/>
        <w:tabs>
          <w:tab w:leader="none" w:pos="3300" w:val="left"/>
        </w:tabs>
        <w:rPr>
          <w:sz w:val="20"/>
          <w:szCs w:val="20"/>
          <w:color w:val="auto"/>
        </w:rPr>
      </w:pPr>
      <w:r>
        <w:rPr>
          <w:rFonts w:ascii="Arial" w:cs="Arial" w:eastAsia="Arial" w:hAnsi="Arial"/>
          <w:sz w:val="17"/>
          <w:szCs w:val="17"/>
          <w:color w:val="auto"/>
        </w:rPr>
        <w:t>212-827-3773</w:t>
      </w:r>
      <w:r>
        <w:rPr>
          <w:sz w:val="20"/>
          <w:szCs w:val="20"/>
          <w:color w:val="auto"/>
        </w:rPr>
        <w:tab/>
      </w:r>
      <w:r>
        <w:rPr>
          <w:rFonts w:ascii="Arial" w:cs="Arial" w:eastAsia="Arial" w:hAnsi="Arial"/>
          <w:sz w:val="15"/>
          <w:szCs w:val="15"/>
          <w:color w:val="auto"/>
        </w:rPr>
        <w:t>212-827-3775</w:t>
      </w:r>
    </w:p>
    <w:p>
      <w:pPr>
        <w:spacing w:after="0" w:line="1768" w:lineRule="exact"/>
        <w:rPr>
          <w:sz w:val="20"/>
          <w:szCs w:val="20"/>
          <w:color w:val="auto"/>
        </w:rPr>
      </w:pPr>
    </w:p>
    <w:p>
      <w:pPr>
        <w:sectPr>
          <w:pgSz w:w="11900" w:h="16838" w:orient="portrait"/>
          <w:cols w:equalWidth="0" w:num="2">
            <w:col w:w="4700" w:space="720"/>
            <w:col w:w="6000"/>
          </w:cols>
          <w:pgMar w:left="240" w:top="110" w:right="23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INC. REPORTS FIRST QUARTER 2007 RESULTS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Revenues of $107.9 Million and Corresponding Earnings per Share of $0.22 per Diluted Share on Target for 2007</w:t>
      </w:r>
    </w:p>
    <w:p>
      <w:pPr>
        <w:spacing w:after="0" w:line="269"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b w:val="1"/>
          <w:bCs w:val="1"/>
          <w:color w:val="auto"/>
        </w:rPr>
        <w:t xml:space="preserve">Johnson City, Tenn, May 8, 2006 </w:t>
      </w:r>
      <w:r>
        <w:rPr>
          <w:rFonts w:ascii="Arial" w:cs="Arial" w:eastAsia="Arial" w:hAnsi="Arial"/>
          <w:sz w:val="16"/>
          <w:szCs w:val="16"/>
          <w:color w:val="auto"/>
        </w:rPr>
        <w:t>- NN, Inc. (Nasdaq: NNBR) today reported its financial results for the first quarter ended March 31, 2007. Net sales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2007 were $107.9 million, an increase of $21.9 million or 25.5% from $86.0 million for the same period of 2006. The acquisition of Whirlaway, which occurred on December 1, 2006, contributed $18.0 million of this increase. Net income for the first quarter of 2007 totaled $3.8 million or $0.22 per diluted share as compared to $5.3 million or $0.30 per diluted share for the same period in 2006. First quarter net income for 2006 included an after-tax gain from the sale of excess land of $1.5 million or $0.08 per diluted share and an after-tax write-off of certain unused equipment of $0.7 million or $0.04 per diluted share.</w:t>
      </w:r>
    </w:p>
    <w:p>
      <w:pPr>
        <w:spacing w:after="0" w:line="216"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James H. Dorton, Vice President and Chief Financial Officer commented, “Revenues of $107.9 million for the first quarter of 2007 were up $21.9 million, an increase of 25.5% million over the $86.0 million recorded in the first quarter of 2006. Included in this increase was $18.0 million of revenue from the Whirlaway acquisition. Additionally, the positive effect of currency translation of approximately $5.4 million more than offset product mix/price reductions of $1.5 million.</w:t>
      </w:r>
    </w:p>
    <w:p>
      <w:pPr>
        <w:spacing w:after="0" w:line="19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a percentage of net sales, 2007 first quarter cost of goods sold was 78.8% as compared to the 2006 first quarter cost of goods sold of 76.7%. Approximately 50% of the increase of cost of goods sold as a percentage of net sales was associated with the addition of our Whirlaway operation. The remaining factors for the increased costs were efficiency issues related to volume reductions in domestic operations and price/mix issues in European operations. As a percentage of net sales, selling, general and administrative expenses for the first quarter of 2007 was 8.7% as compared to 8.9% for the same period in 2006.”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type w:val="continuous"/>
        </w:sectPr>
      </w:pPr>
    </w:p>
    <w:bookmarkStart w:id="5" w:name="page6"/>
    <w:bookmarkEnd w:id="5"/>
    <w:p>
      <w:pPr>
        <w:ind w:right="280"/>
        <w:spacing w:after="0" w:line="260" w:lineRule="auto"/>
        <w:rPr>
          <w:sz w:val="20"/>
          <w:szCs w:val="20"/>
          <w:color w:val="auto"/>
        </w:rPr>
      </w:pPr>
      <w:r>
        <w:rPr>
          <w:rFonts w:ascii="Arial" w:cs="Arial" w:eastAsia="Arial" w:hAnsi="Arial"/>
          <w:sz w:val="17"/>
          <w:szCs w:val="17"/>
          <w:color w:val="auto"/>
        </w:rPr>
        <w:t>Mr. Dorton continued, “Our reported net income of $3.8 million or $0.22 per diluted share compares to 2006 first quarter net income of $5.3 million or $0.30 per diluted share. Of note, the 2006 first quarter income includes a net gain of approximately</w:t>
      </w:r>
    </w:p>
    <w:p>
      <w:pPr>
        <w:jc w:val="both"/>
        <w:ind w:right="180"/>
        <w:spacing w:after="0" w:line="298" w:lineRule="auto"/>
        <w:rPr>
          <w:sz w:val="20"/>
          <w:szCs w:val="20"/>
          <w:color w:val="auto"/>
        </w:rPr>
      </w:pPr>
      <w:r>
        <w:rPr>
          <w:rFonts w:ascii="Arial" w:cs="Arial" w:eastAsia="Arial" w:hAnsi="Arial"/>
          <w:sz w:val="16"/>
          <w:szCs w:val="16"/>
          <w:color w:val="auto"/>
        </w:rPr>
        <w:t>$0.8 million or $0.04 per diluted share comprised of an after-tax gain from the sale of excess land located at our Pinerolo, Italy facility of $1.5 million or $0.08 per diluted share and offsetting this gain, the write-off of certain unused and obsolete equipment of $0.7 million or $0.04 per diluted share, after-tax.”</w:t>
      </w:r>
    </w:p>
    <w:p>
      <w:pPr>
        <w:spacing w:after="0" w:line="203"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Mr. Dorton added, “During the first quarter our net debt, which is total debt minus cash increased by $1.9 million. This increase was due to our traditionally higher working capital needs during the first quarter of the year and the timing of inter-company cash flows to pay down debt balances during the quarter. We continue to anticipate meeting our business plan goal of $12.0 million in total debt reduction for the year.”</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Roderick R. Baty, Chairman and Chief Executive Officer commented, “During the first quarter we continued to make excellent progress regarding the integration of Whirlaway and the development of our new precision metal component platform. We also are continuing to experience improvements from our Level 3 program. These improvements should more than offset the volume reductions associated with planned market share loss in Europe and general cost inflation in our business. Although our Slovakian and Chinese facilities continued to negatively impact earnings for the quarter, we are expecting improved operating results in both of these facilities for the remainder of the year.”</w:t>
      </w:r>
    </w:p>
    <w:p>
      <w:pPr>
        <w:spacing w:after="0" w:line="23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Mr. Baty concluded, “We look forward to the challenges and the opportunities for the remainder of 2007. As previously stated, we are continuing to forecast relatively flat economic conditions for our businesses. We are forecasting continued weakness in certain North American markets, notably, automotive and housing, offset by continuing strength in European automotive markets and industrial markets. We therefore remain committed to our previously stated guidance for estimated total year revenues of approximately $400 million and full year earnings to be in the range of $0.98 to $1.04 per diluted share.”</w:t>
      </w:r>
    </w:p>
    <w:p>
      <w:pPr>
        <w:spacing w:after="0" w:line="21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22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 w:name="page7"/>
    <w:bookmarkEnd w:id="6"/>
    <w:p>
      <w:pPr>
        <w:spacing w:after="0" w:line="274" w:lineRule="auto"/>
        <w:rPr>
          <w:sz w:val="20"/>
          <w:szCs w:val="20"/>
          <w:color w:val="auto"/>
        </w:rPr>
      </w:pPr>
      <w:r>
        <w:rPr>
          <w:rFonts w:ascii="Arial" w:cs="Arial" w:eastAsia="Arial" w:hAnsi="Arial"/>
          <w:sz w:val="16"/>
          <w:szCs w:val="16"/>
          <w:i w:val="1"/>
          <w:iCs w:val="1"/>
          <w:color w:val="auto"/>
        </w:rPr>
        <w:t>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Tables Follow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1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7"/>
              </w:rPr>
              <w:t>NN, Inc.</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0" w:type="dxa"/>
            <w:vAlign w:val="bottom"/>
            <w:gridSpan w:val="3"/>
          </w:tcPr>
          <w:p>
            <w:pPr>
              <w:jc w:val="center"/>
              <w:ind w:right="880"/>
              <w:spacing w:after="0"/>
              <w:rPr>
                <w:sz w:val="20"/>
                <w:szCs w:val="20"/>
                <w:color w:val="auto"/>
              </w:rPr>
            </w:pPr>
            <w:r>
              <w:rPr>
                <w:rFonts w:ascii="Arial" w:cs="Arial" w:eastAsia="Arial" w:hAnsi="Arial"/>
                <w:sz w:val="17"/>
                <w:szCs w:val="17"/>
                <w:b w:val="1"/>
                <w:bCs w:val="1"/>
                <w:color w:val="auto"/>
                <w:w w:val="89"/>
              </w:rPr>
              <w:t>Consolidated Statements of Income</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89"/>
              </w:rPr>
              <w:t>(In thousands, except per share amounts)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00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5"/>
              </w:rPr>
              <w:t>(Unaudited)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ind w:right="474"/>
              <w:spacing w:after="0"/>
              <w:rPr>
                <w:sz w:val="20"/>
                <w:szCs w:val="20"/>
                <w:color w:val="auto"/>
              </w:rPr>
            </w:pPr>
            <w:r>
              <w:rPr>
                <w:rFonts w:ascii="Arial" w:cs="Arial" w:eastAsia="Arial" w:hAnsi="Arial"/>
                <w:sz w:val="17"/>
                <w:szCs w:val="17"/>
                <w:color w:val="auto"/>
              </w:rPr>
              <w:t>&amp; #160;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40" w:type="dxa"/>
            <w:vAlign w:val="bottom"/>
            <w:vMerge w:val="restart"/>
          </w:tcPr>
          <w:p>
            <w:pPr>
              <w:spacing w:after="0"/>
              <w:rPr>
                <w:sz w:val="20"/>
                <w:szCs w:val="20"/>
                <w:color w:val="auto"/>
              </w:rPr>
            </w:pPr>
            <w:r>
              <w:rPr>
                <w:rFonts w:ascii="Arial" w:cs="Arial" w:eastAsia="Arial" w:hAnsi="Arial"/>
                <w:sz w:val="17"/>
                <w:szCs w:val="17"/>
                <w:b w:val="1"/>
                <w:bCs w:val="1"/>
                <w:color w:val="auto"/>
              </w:rPr>
              <w:t>Months Ended</w:t>
            </w:r>
          </w:p>
        </w:tc>
        <w:tc>
          <w:tcPr>
            <w:tcW w:w="2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restart"/>
          </w:tcPr>
          <w:p>
            <w:pPr>
              <w:jc w:val="right"/>
              <w:ind w:right="934"/>
              <w:spacing w:after="0"/>
              <w:rPr>
                <w:sz w:val="20"/>
                <w:szCs w:val="20"/>
                <w:color w:val="auto"/>
              </w:rPr>
            </w:pPr>
            <w:r>
              <w:rPr>
                <w:rFonts w:ascii="Arial" w:cs="Arial" w:eastAsia="Arial" w:hAnsi="Arial"/>
                <w:sz w:val="17"/>
                <w:szCs w:val="17"/>
                <w:b w:val="1"/>
                <w:bCs w:val="1"/>
                <w:color w:val="auto"/>
              </w:rPr>
              <w:t>&amp;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vMerge w:val="restart"/>
          </w:tcPr>
          <w:p>
            <w:pPr>
              <w:spacing w:after="0"/>
              <w:rPr>
                <w:sz w:val="20"/>
                <w:szCs w:val="20"/>
                <w:color w:val="auto"/>
              </w:rPr>
            </w:pPr>
            <w:r>
              <w:rPr>
                <w:rFonts w:ascii="Arial" w:cs="Arial" w:eastAsia="Arial" w:hAnsi="Arial"/>
                <w:sz w:val="17"/>
                <w:szCs w:val="17"/>
                <w:b w:val="1"/>
                <w:bCs w:val="1"/>
                <w:color w:val="auto"/>
              </w:rPr>
              <w:t>#160;</w:t>
            </w:r>
          </w:p>
        </w:tc>
        <w:tc>
          <w:tcPr>
            <w:tcW w:w="212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March 31,</w:t>
            </w: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1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107,944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86,017</w:t>
            </w:r>
          </w:p>
        </w:tc>
        <w:tc>
          <w:tcPr>
            <w:tcW w:w="0" w:type="dxa"/>
            <w:vAlign w:val="bottom"/>
          </w:tcPr>
          <w:p>
            <w:pPr>
              <w:spacing w:after="0"/>
              <w:rPr>
                <w:sz w:val="1"/>
                <w:szCs w:val="1"/>
                <w:color w:val="auto"/>
              </w:rPr>
            </w:pPr>
          </w:p>
        </w:tc>
      </w:tr>
      <w:tr>
        <w:trPr>
          <w:trHeight w:val="194"/>
        </w:trPr>
        <w:tc>
          <w:tcPr>
            <w:tcW w:w="3660" w:type="dxa"/>
            <w:vAlign w:val="bottom"/>
            <w:gridSpan w:val="2"/>
          </w:tcPr>
          <w:p>
            <w:pPr>
              <w:spacing w:after="0" w:line="194" w:lineRule="exact"/>
              <w:rPr>
                <w:sz w:val="20"/>
                <w:szCs w:val="20"/>
                <w:color w:val="auto"/>
              </w:rPr>
            </w:pPr>
            <w:r>
              <w:rPr>
                <w:rFonts w:ascii="Arial" w:cs="Arial" w:eastAsia="Arial" w:hAnsi="Arial"/>
                <w:sz w:val="17"/>
                <w:szCs w:val="17"/>
                <w:color w:val="auto"/>
              </w:rPr>
              <w:t>Cost of goods sold (exclusive of depreciation</w:t>
            </w: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ind w:left="180"/>
              <w:spacing w:after="0"/>
              <w:rPr>
                <w:sz w:val="20"/>
                <w:szCs w:val="20"/>
                <w:color w:val="auto"/>
              </w:rPr>
            </w:pPr>
            <w:r>
              <w:rPr>
                <w:rFonts w:ascii="Arial" w:cs="Arial" w:eastAsia="Arial" w:hAnsi="Arial"/>
                <w:sz w:val="17"/>
                <w:szCs w:val="17"/>
                <w:color w:val="auto"/>
              </w:rPr>
              <w:t>shown separately below)</w:t>
            </w: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85,082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65,999</w:t>
            </w:r>
          </w:p>
        </w:tc>
        <w:tc>
          <w:tcPr>
            <w:tcW w:w="0" w:type="dxa"/>
            <w:vAlign w:val="bottom"/>
          </w:tcPr>
          <w:p>
            <w:pPr>
              <w:spacing w:after="0"/>
              <w:rPr>
                <w:sz w:val="1"/>
                <w:szCs w:val="1"/>
                <w:color w:val="auto"/>
              </w:rPr>
            </w:pPr>
          </w:p>
        </w:tc>
      </w:tr>
      <w:tr>
        <w:trPr>
          <w:trHeight w:val="233"/>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4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7,681</w:t>
            </w:r>
          </w:p>
        </w:tc>
        <w:tc>
          <w:tcPr>
            <w:tcW w:w="0" w:type="dxa"/>
            <w:vAlign w:val="bottom"/>
          </w:tcPr>
          <w:p>
            <w:pPr>
              <w:spacing w:after="0"/>
              <w:rPr>
                <w:sz w:val="1"/>
                <w:szCs w:val="1"/>
                <w:color w:val="auto"/>
              </w:rPr>
            </w:pPr>
          </w:p>
        </w:tc>
      </w:tr>
      <w:tr>
        <w:trPr>
          <w:trHeight w:val="231"/>
        </w:trPr>
        <w:tc>
          <w:tcPr>
            <w:tcW w:w="36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5,523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4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25"/>
        </w:trPr>
        <w:tc>
          <w:tcPr>
            <w:tcW w:w="1540" w:type="dxa"/>
            <w:vAlign w:val="bottom"/>
            <w:tcBorders>
              <w:top w:val="single" w:sz="8" w:color="CCEEFF"/>
            </w:tcBorders>
          </w:tcPr>
          <w:p>
            <w:pPr>
              <w:spacing w:after="0"/>
              <w:rPr>
                <w:sz w:val="19"/>
                <w:szCs w:val="19"/>
                <w:color w:val="auto"/>
              </w:rPr>
            </w:pPr>
          </w:p>
        </w:tc>
        <w:tc>
          <w:tcPr>
            <w:tcW w:w="2120" w:type="dxa"/>
            <w:vAlign w:val="bottom"/>
            <w:tcBorders>
              <w:top w:val="single" w:sz="8" w:color="CCEEFF"/>
            </w:tcBorders>
          </w:tcPr>
          <w:p>
            <w:pPr>
              <w:spacing w:after="0"/>
              <w:rPr>
                <w:sz w:val="19"/>
                <w:szCs w:val="19"/>
                <w:color w:val="auto"/>
              </w:rPr>
            </w:pPr>
          </w:p>
        </w:tc>
        <w:tc>
          <w:tcPr>
            <w:tcW w:w="4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4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8,905</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w w:val="95"/>
              </w:rPr>
              <w:t>Interest expense, net</w:t>
            </w:r>
          </w:p>
        </w:tc>
        <w:tc>
          <w:tcPr>
            <w:tcW w:w="2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986</w:t>
            </w: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7"/>
                <w:szCs w:val="17"/>
                <w:color w:val="auto"/>
              </w:rPr>
              <w:t>Other income</w:t>
            </w:r>
          </w:p>
        </w:tc>
        <w:tc>
          <w:tcPr>
            <w:tcW w:w="21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6"/>
        </w:trPr>
        <w:tc>
          <w:tcPr>
            <w:tcW w:w="3660" w:type="dxa"/>
            <w:vAlign w:val="bottom"/>
            <w:gridSpan w:val="2"/>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660" w:type="dxa"/>
            <w:vAlign w:val="bottom"/>
            <w:gridSpan w:val="2"/>
          </w:tcPr>
          <w:p>
            <w:pPr>
              <w:spacing w:after="0"/>
              <w:rPr>
                <w:sz w:val="20"/>
                <w:szCs w:val="20"/>
                <w:color w:val="auto"/>
              </w:rPr>
            </w:pPr>
            <w:r>
              <w:rPr>
                <w:rFonts w:ascii="Arial" w:cs="Arial" w:eastAsia="Arial" w:hAnsi="Arial"/>
                <w:sz w:val="17"/>
                <w:szCs w:val="17"/>
                <w:color w:val="auto"/>
              </w:rPr>
              <w:t>Income before provision for income taxes</w:t>
            </w: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6,200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8,128</w:t>
            </w:r>
          </w:p>
        </w:tc>
        <w:tc>
          <w:tcPr>
            <w:tcW w:w="0" w:type="dxa"/>
            <w:vAlign w:val="bottom"/>
          </w:tcPr>
          <w:p>
            <w:pPr>
              <w:spacing w:after="0"/>
              <w:rPr>
                <w:sz w:val="1"/>
                <w:szCs w:val="1"/>
                <w:color w:val="auto"/>
              </w:rPr>
            </w:pPr>
          </w:p>
        </w:tc>
      </w:tr>
      <w:tr>
        <w:trPr>
          <w:trHeight w:val="233"/>
        </w:trPr>
        <w:tc>
          <w:tcPr>
            <w:tcW w:w="3660" w:type="dxa"/>
            <w:vAlign w:val="bottom"/>
            <w:gridSpan w:val="2"/>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2,445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2,866</w:t>
            </w:r>
          </w:p>
        </w:tc>
        <w:tc>
          <w:tcPr>
            <w:tcW w:w="0" w:type="dxa"/>
            <w:vAlign w:val="bottom"/>
          </w:tcPr>
          <w:p>
            <w:pPr>
              <w:spacing w:after="0"/>
              <w:rPr>
                <w:sz w:val="1"/>
                <w:szCs w:val="1"/>
                <w:color w:val="auto"/>
              </w:rPr>
            </w:pPr>
          </w:p>
        </w:tc>
      </w:tr>
      <w:tr>
        <w:trPr>
          <w:trHeight w:val="226"/>
        </w:trPr>
        <w:tc>
          <w:tcPr>
            <w:tcW w:w="15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7"/>
                <w:szCs w:val="17"/>
                <w:color w:val="auto"/>
              </w:rPr>
              <w:t>Net income</w:t>
            </w:r>
          </w:p>
        </w:tc>
        <w:tc>
          <w:tcPr>
            <w:tcW w:w="2120" w:type="dxa"/>
            <w:vAlign w:val="bottom"/>
          </w:tcPr>
          <w:p>
            <w:pPr>
              <w:spacing w:after="0"/>
              <w:rPr>
                <w:sz w:val="20"/>
                <w:szCs w:val="20"/>
                <w:color w:val="auto"/>
              </w:rPr>
            </w:pPr>
          </w:p>
        </w:tc>
        <w:tc>
          <w:tcPr>
            <w:tcW w:w="50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3,755</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5,262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gridSpan w:val="2"/>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gridSpan w:val="2"/>
          </w:tcPr>
          <w:p>
            <w:pPr>
              <w:spacing w:after="0"/>
              <w:rPr>
                <w:sz w:val="20"/>
                <w:szCs w:val="20"/>
                <w:color w:val="auto"/>
              </w:rPr>
            </w:pPr>
            <w:r>
              <w:rPr>
                <w:rFonts w:ascii="Arial" w:cs="Arial" w:eastAsia="Arial" w:hAnsi="Arial"/>
                <w:sz w:val="17"/>
                <w:szCs w:val="17"/>
                <w:color w:val="auto"/>
              </w:rPr>
              <w:t>Diluted income per common share</w:t>
            </w:r>
          </w:p>
        </w:tc>
        <w:tc>
          <w:tcPr>
            <w:tcW w:w="50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0.22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gridSpan w:val="2"/>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gridSpan w:val="2"/>
          </w:tcPr>
          <w:p>
            <w:pPr>
              <w:spacing w:after="0"/>
              <w:rPr>
                <w:sz w:val="20"/>
                <w:szCs w:val="20"/>
                <w:color w:val="auto"/>
              </w:rPr>
            </w:pPr>
            <w:r>
              <w:rPr>
                <w:rFonts w:ascii="Arial" w:cs="Arial" w:eastAsia="Arial" w:hAnsi="Arial"/>
                <w:sz w:val="17"/>
                <w:szCs w:val="17"/>
                <w:color w:val="auto"/>
              </w:rPr>
              <w:t>Weighted average diluted shares</w:t>
            </w: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17,033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17,376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60" w:type="dxa"/>
            <w:vAlign w:val="bottom"/>
            <w:vMerge w:val="restart"/>
          </w:tcPr>
          <w:p>
            <w:pPr>
              <w:jc w:val="center"/>
              <w:ind w:right="276"/>
              <w:spacing w:after="0"/>
              <w:rPr>
                <w:sz w:val="20"/>
                <w:szCs w:val="20"/>
                <w:color w:val="auto"/>
              </w:rPr>
            </w:pPr>
            <w:r>
              <w:rPr>
                <w:rFonts w:ascii="Arial" w:cs="Arial" w:eastAsia="Arial" w:hAnsi="Arial"/>
                <w:sz w:val="14"/>
                <w:szCs w:val="14"/>
                <w:color w:val="auto"/>
                <w:w w:val="76"/>
              </w:rPr>
              <w:t>4</w:t>
            </w: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54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7"/>
                <w:szCs w:val="17"/>
                <w:b w:val="1"/>
                <w:bCs w:val="1"/>
                <w:color w:val="auto"/>
              </w:rPr>
              <w:t>March 31,</w:t>
            </w:r>
          </w:p>
        </w:tc>
        <w:tc>
          <w:tcPr>
            <w:tcW w:w="3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Current Assets:</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390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17,566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72,971</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63,442</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44,600</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7"/>
                <w:szCs w:val="17"/>
                <w:color w:val="auto"/>
              </w:rPr>
              <w:t>Other current assets</w:t>
            </w:r>
          </w:p>
        </w:tc>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7,326</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142,463</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156,309</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Goodwill, net</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46,419</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46,147</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3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14,343</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14,243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assets</w:t>
            </w:r>
          </w:p>
        </w:tc>
        <w:tc>
          <w:tcPr>
            <w:tcW w:w="3440" w:type="dxa"/>
            <w:vAlign w:val="bottom"/>
            <w:tcBorders>
              <w:top w:val="single" w:sz="8" w:color="CCEEFF"/>
            </w:tcBorders>
            <w:gridSpan w:val="2"/>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359,534</w:t>
            </w:r>
          </w:p>
        </w:tc>
        <w:tc>
          <w:tcPr>
            <w:tcW w:w="26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342,701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Accounts payable</w:t>
            </w:r>
          </w:p>
        </w:tc>
        <w:tc>
          <w:tcPr>
            <w:tcW w:w="3900" w:type="dxa"/>
            <w:vAlign w:val="bottom"/>
            <w:gridSpan w:val="3"/>
          </w:tcPr>
          <w:p>
            <w:pPr>
              <w:jc w:val="right"/>
              <w:ind w:right="30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51,012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52,576</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Dividends payable</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1,348</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Accrued salaries and wages</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14,784</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13,519</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10,125</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7"/>
                <w:szCs w:val="17"/>
                <w:color w:val="auto"/>
              </w:rPr>
              <w:t>Other liabilities</w:t>
            </w:r>
          </w:p>
        </w:tc>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10,800</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88,069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16,741</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Long-term notes payable and related party debt</w:t>
            </w: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100,490</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102,016</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16,333</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16,313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3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221,633</w:t>
            </w:r>
          </w:p>
        </w:tc>
        <w:tc>
          <w:tcPr>
            <w:tcW w:w="2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137,901</w:t>
            </w:r>
          </w:p>
        </w:tc>
        <w:tc>
          <w:tcPr>
            <w:tcW w:w="3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133,169</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3900" w:type="dxa"/>
            <w:vAlign w:val="bottom"/>
            <w:gridSpan w:val="3"/>
          </w:tcPr>
          <w:p>
            <w:pPr>
              <w:jc w:val="right"/>
              <w:ind w:right="30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359,534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342,701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180" w:type="dxa"/>
            <w:vAlign w:val="bottom"/>
            <w:vMerge w:val="restart"/>
          </w:tcPr>
          <w:p>
            <w:pPr>
              <w:jc w:val="right"/>
              <w:ind w:right="16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4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53"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2019-12-14T02:35:25Z</dcterms:created>
  <dcterms:modified xsi:type="dcterms:W3CDTF">2019-12-14T02:35:25Z</dcterms:modified>
</cp:coreProperties>
</file>