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May 4, 2023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color w:val="000000"/>
        </w:rPr>
        <w:t> </w:t>
      </w:r>
      <w:r>
        <w:rPr/>
        <w:drawing>
          <wp:inline distT="0" distB="63500" distL="0" distR="0">
            <wp:extent cx="4381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 cy="4381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698" w:type="dxa"/>
        <w:jc w:val="center"/>
        <w:tblInd w:w="0" w:type="dxa"/>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8"/>
              </w:rPr>
              <w:t>001-39268</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spacing w:before="0" w:after="0"/>
        <w:jc w:val="center"/>
        <w:rPr/>
      </w:pPr>
      <w:r>
        <w:rPr/>
      </w:r>
    </w:p>
    <w:tbl>
      <w:tblPr>
        <w:tblW w:w="4120" w:type="dxa"/>
        <w:jc w:val="center"/>
        <w:tblInd w:w="0" w:type="dxa"/>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xml:space="preserve">☐ </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7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spacing w:before="0" w:after="0"/>
        <w:jc w:val="center"/>
        <w:rPr/>
      </w:pPr>
      <w:r>
        <w:rPr/>
      </w:r>
    </w:p>
    <w:tbl>
      <w:tblPr>
        <w:tblW w:w="8507" w:type="dxa"/>
        <w:jc w:val="center"/>
        <w:tblInd w:w="0" w:type="dxa"/>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r>
      <w:tr>
        <w:trPr/>
        <w:tc>
          <w:tcPr>
            <w:tcW w:w="8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spacing w:before="20" w:after="283"/>
        <w:jc w:val="center"/>
        <w:rPr/>
      </w:pPr>
      <w:r>
        <w:rPr/>
      </w:r>
    </w:p>
    <w:tbl>
      <w:tblPr>
        <w:tblW w:w="10205" w:type="dxa"/>
        <w:jc w:val="center"/>
        <w:tblInd w:w="0" w:type="dxa"/>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wps:spPr>
                      <wps:txb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00" w:after="283"/>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May 4, 2023, NN, Inc. (the “Company”) issued a press release announcing the Company’s financial results for the quarter ended March 31, 2023. The full text of the press release is furnished as Exhibit 99.1 to this Current Report on Form 8-K (the "Current Report").</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spacing w:before="0" w:after="60"/>
        <w:ind w:left="0" w:right="0" w:hanging="1170"/>
        <w:rPr/>
      </w:pPr>
      <w:r>
        <w:rPr/>
      </w:r>
    </w:p>
    <w:p>
      <w:pPr>
        <w:pStyle w:val="TextBody"/>
        <w:spacing w:lineRule="auto" w:line="288" w:before="0" w:after="60"/>
        <w:ind w:left="0" w:right="0" w:hanging="117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0"/>
        <w:rPr>
          <w:color w:val="000000"/>
        </w:rPr>
      </w:pPr>
      <w:r>
        <w:rPr>
          <w:color w:val="000000"/>
        </w:rPr>
        <w:t> </w:t>
      </w:r>
      <w:r>
        <w:rPr>
          <w:rFonts w:ascii="Times New Roman;sans-serif" w:hAnsi="Times New Roman;sans-serif"/>
          <w:b w:val="false"/>
          <w:i/>
          <w:color w:val="000000"/>
          <w:sz w:val="20"/>
        </w:rPr>
        <w:t>(d)    Exhibits.</w:t>
      </w:r>
    </w:p>
    <w:tbl>
      <w:tblPr>
        <w:tblW w:w="7573" w:type="dxa"/>
        <w:jc w:val="left"/>
        <w:tblInd w:w="0" w:type="dxa"/>
        <w:tblCellMar>
          <w:top w:w="28" w:type="dxa"/>
          <w:left w:w="28" w:type="dxa"/>
          <w:bottom w:w="28" w:type="dxa"/>
          <w:right w:w="28" w:type="dxa"/>
        </w:tblCellMar>
      </w:tblPr>
      <w:tblGrid>
        <w:gridCol w:w="234"/>
        <w:gridCol w:w="205"/>
        <w:gridCol w:w="207"/>
        <w:gridCol w:w="109"/>
        <w:gridCol w:w="109"/>
        <w:gridCol w:w="109"/>
        <w:gridCol w:w="1927"/>
        <w:gridCol w:w="1927"/>
        <w:gridCol w:w="2746"/>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ressrelease2023-q1.htm">
              <w:r>
                <w:rPr>
                  <w:rStyle w:val="InternetLink"/>
                  <w:rFonts w:ascii="Times New Roman;sans-serif" w:hAnsi="Times New Roman;sans-serif"/>
                  <w:b w:val="false"/>
                  <w:color w:val="0000FF"/>
                  <w:sz w:val="20"/>
                  <w:u w:val="single"/>
                </w:rPr>
                <w:t>Press Release issued by NN, Inc., dated May 4, 2023</w:t>
              </w:r>
            </w:hyperlink>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bl>
    <w:p>
      <w:pPr>
        <w:pStyle w:val="TextBody"/>
        <w:spacing w:before="0" w:after="0"/>
        <w:ind w:left="0" w:right="0" w:firstLine="495"/>
        <w:rPr/>
      </w:pPr>
      <w:r>
        <w:rPr/>
      </w:r>
    </w:p>
    <w:tbl>
      <w:tblPr>
        <w:tblW w:w="4872" w:type="dxa"/>
        <w:jc w:val="center"/>
        <w:tblInd w:w="0" w:type="dxa"/>
        <w:tblCellMar>
          <w:top w:w="28" w:type="dxa"/>
          <w:left w:w="28" w:type="dxa"/>
          <w:bottom w:w="28" w:type="dxa"/>
          <w:right w:w="28" w:type="dxa"/>
        </w:tblCellMar>
      </w:tblPr>
      <w:tblGrid>
        <w:gridCol w:w="124"/>
        <w:gridCol w:w="109"/>
        <w:gridCol w:w="109"/>
        <w:gridCol w:w="233"/>
        <w:gridCol w:w="197"/>
        <w:gridCol w:w="200"/>
        <w:gridCol w:w="1143"/>
        <w:gridCol w:w="1143"/>
        <w:gridCol w:w="16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630" w:type="dxa"/>
            <w:gridSpan w:val="3"/>
            <w:tcBorders/>
            <w:shd w:fill="auto" w:val="clear"/>
            <w:vAlign w:val="center"/>
          </w:tcPr>
          <w:p>
            <w:pPr>
              <w:pStyle w:val="TableContents"/>
              <w:spacing w:before="0" w:after="283"/>
              <w:rPr>
                <w:sz w:val="4"/>
                <w:szCs w:val="4"/>
              </w:rPr>
            </w:pPr>
            <w:r>
              <w:rPr>
                <w:sz w:val="4"/>
                <w:szCs w:val="4"/>
              </w:rPr>
            </w:r>
          </w:p>
        </w:tc>
        <w:tc>
          <w:tcPr>
            <w:tcW w:w="390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20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tbl>
      <w:tblPr>
        <w:tblW w:w="5857" w:type="dxa"/>
        <w:jc w:val="left"/>
        <w:tblInd w:w="0" w:type="dxa"/>
        <w:tblCellMar>
          <w:top w:w="28" w:type="dxa"/>
          <w:left w:w="28" w:type="dxa"/>
          <w:bottom w:w="28" w:type="dxa"/>
          <w:right w:w="28" w:type="dxa"/>
        </w:tblCellMar>
      </w:tblPr>
      <w:tblGrid>
        <w:gridCol w:w="852"/>
        <w:gridCol w:w="749"/>
        <w:gridCol w:w="750"/>
        <w:gridCol w:w="1027"/>
        <w:gridCol w:w="1027"/>
        <w:gridCol w:w="1452"/>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0" cy="1400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28750" cy="1400175"/>
                          </a:xfrm>
                          <a:prstGeom prst="rect">
                            <a:avLst/>
                          </a:prstGeom>
                        </pic:spPr>
                      </pic:pic>
                    </a:graphicData>
                  </a:graphic>
                </wp:inline>
              </w:drawing>
            </w:r>
          </w:p>
        </w:tc>
        <w:tc>
          <w:tcPr>
            <w:tcW w:w="3506" w:type="dxa"/>
            <w:gridSpan w:val="3"/>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2143125" cy="685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143125" cy="685800"/>
                          </a:xfrm>
                          <a:prstGeom prst="rect">
                            <a:avLst/>
                          </a:prstGeom>
                        </pic:spPr>
                      </pic:pic>
                    </a:graphicData>
                  </a:graphic>
                </wp:inline>
              </w:drawing>
            </w:r>
          </w:p>
        </w:tc>
      </w:tr>
    </w:tbl>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NN, Inc.</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6210 Ardrey Kell Road, Suite 600</w:t>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Charlotte, NC 28277</w:t>
      </w:r>
    </w:p>
    <w:p>
      <w:pPr>
        <w:pStyle w:val="TextBody"/>
        <w:spacing w:before="0" w:after="0"/>
        <w:rPr/>
      </w:pPr>
      <w:r>
        <w:rPr/>
      </w:r>
    </w:p>
    <w:p>
      <w:pPr>
        <w:pStyle w:val="TextBody"/>
        <w:spacing w:lineRule="auto" w:line="288" w:before="0" w:after="0"/>
        <w:rPr>
          <w:rFonts w:ascii="Calibri;sans-serif" w:hAnsi="Calibri;sans-serif"/>
          <w:b/>
          <w:color w:val="000000"/>
          <w:sz w:val="22"/>
        </w:rPr>
      </w:pPr>
      <w:r>
        <w:rPr>
          <w:rFonts w:ascii="Calibri;sans-serif" w:hAnsi="Calibri;sans-serif"/>
          <w:b/>
          <w:color w:val="000000"/>
          <w:sz w:val="22"/>
        </w:rPr>
        <w:t>FOR IMMEDIATE RELEASE</w:t>
      </w:r>
    </w:p>
    <w:p>
      <w:pPr>
        <w:pStyle w:val="TextBody"/>
        <w:spacing w:before="0" w:after="0"/>
        <w:rPr/>
      </w:pPr>
      <w:r>
        <w:rPr/>
      </w:r>
    </w:p>
    <w:p>
      <w:pPr>
        <w:pStyle w:val="TextBody"/>
        <w:spacing w:lineRule="auto" w:line="288" w:before="0" w:after="0"/>
        <w:jc w:val="center"/>
        <w:rPr>
          <w:rFonts w:ascii="Calibri;sans-serif" w:hAnsi="Calibri;sans-serif"/>
          <w:b/>
          <w:color w:val="000000"/>
          <w:sz w:val="22"/>
        </w:rPr>
      </w:pPr>
      <w:r>
        <w:rPr>
          <w:rFonts w:ascii="Calibri;sans-serif" w:hAnsi="Calibri;sans-serif"/>
          <w:b/>
          <w:color w:val="000000"/>
          <w:sz w:val="22"/>
        </w:rPr>
        <w:t>NN, INC. REPORTS FINANCIAL RESULTS FOR FIRST QUARTER 2023</w:t>
      </w:r>
    </w:p>
    <w:p>
      <w:pPr>
        <w:pStyle w:val="TextBody"/>
        <w:spacing w:before="0" w:after="0"/>
        <w:jc w:val="center"/>
        <w:rPr/>
      </w:pPr>
      <w:r>
        <w:rPr/>
      </w:r>
    </w:p>
    <w:p>
      <w:pPr>
        <w:pStyle w:val="TextBody"/>
        <w:spacing w:lineRule="auto" w:line="276" w:before="0" w:after="0"/>
        <w:jc w:val="center"/>
        <w:rPr>
          <w:rFonts w:ascii="Calibri;sans-serif" w:hAnsi="Calibri;sans-serif"/>
          <w:b w:val="false"/>
          <w:i/>
          <w:color w:val="000000"/>
          <w:sz w:val="22"/>
        </w:rPr>
      </w:pPr>
      <w:r>
        <w:rPr>
          <w:rFonts w:ascii="Calibri;sans-serif" w:hAnsi="Calibri;sans-serif"/>
          <w:b w:val="false"/>
          <w:i/>
          <w:color w:val="000000"/>
          <w:sz w:val="22"/>
        </w:rPr>
        <w:t>Results impacted by continued macro challenges and new program launch inefficiencies</w:t>
      </w:r>
    </w:p>
    <w:p>
      <w:pPr>
        <w:pStyle w:val="TextBody"/>
        <w:spacing w:before="0" w:after="0"/>
        <w:jc w:val="center"/>
        <w:rPr/>
      </w:pPr>
      <w:r>
        <w:rPr/>
      </w:r>
    </w:p>
    <w:p>
      <w:pPr>
        <w:pStyle w:val="TextBody"/>
        <w:spacing w:lineRule="auto" w:line="300" w:before="0" w:after="200"/>
        <w:rPr/>
      </w:pPr>
      <w:r>
        <w:rPr>
          <w:rFonts w:ascii="Calibri;sans-serif" w:hAnsi="Calibri;sans-serif"/>
          <w:b/>
          <w:color w:val="000000"/>
          <w:sz w:val="22"/>
        </w:rPr>
        <w:t>CHARLOTTE, N.C., May 4, 2023</w:t>
      </w:r>
      <w:r>
        <w:rPr>
          <w:color w:val="000000"/>
        </w:rPr>
        <w:t xml:space="preserve"> – </w:t>
      </w:r>
      <w:r>
        <w:rPr>
          <w:rFonts w:ascii="Calibri;sans-serif" w:hAnsi="Calibri;sans-serif"/>
          <w:b w:val="false"/>
          <w:color w:val="000000"/>
          <w:sz w:val="22"/>
        </w:rPr>
        <w:t>NN, Inc. (NASDAQ: NNBR), a global diversified industrial company that manufactures high-precision components and assemblies, today reported its financial results for the first quarter ended March 31, 2023.</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Warren Veltman, President and Chief Executive Officer, said, “Our first quarter results were adversely impacted by reduced production volumes resulting from decreases in residential and commercial construction and the end of COVID-19 restrictions in China. Customers have also reduced inventory levels to buffer against future volume uncertainty further impacting volumes. From an operational perspective, we continued to experience product launch inefficiencies within our Mobile Solutions group. While we are disappointed with our financial results at the start of the year, we significantly improved free cash flow performance in comparison to a year ago, and our liquidity position remains solid. We remain on plan with cost improvements associated with our facility closures and have taken action to further improve our cost structure through a 10% global reduction of indirect labor that will begin to benefit our results in the second quarter.”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rPr/>
      </w:pPr>
      <w:r>
        <w:rPr/>
      </w:r>
    </w:p>
    <w:p>
      <w:pPr>
        <w:pStyle w:val="TextBody"/>
        <w:spacing w:lineRule="auto" w:line="300" w:before="0" w:after="60"/>
        <w:rPr>
          <w:rFonts w:ascii="Calibri;sans-serif" w:hAnsi="Calibri;sans-serif"/>
          <w:b/>
          <w:color w:val="000000"/>
          <w:sz w:val="22"/>
          <w:u w:val="single"/>
        </w:rPr>
      </w:pPr>
      <w:r>
        <w:rPr>
          <w:rFonts w:ascii="Calibri;sans-serif" w:hAnsi="Calibri;sans-serif"/>
          <w:b/>
          <w:color w:val="000000"/>
          <w:sz w:val="22"/>
          <w:u w:val="single"/>
        </w:rPr>
        <w:t>First Quarter GAAP Results</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Net sales were $127.1 million, a decrease of 0.8% from the first quarter of 2022, primarily due to reduced volume and unfavorable foreign exchange impacts, partially offset by ongoing pricing actions.</w:t>
      </w:r>
    </w:p>
    <w:p>
      <w:pPr>
        <w:pStyle w:val="TextBody"/>
        <w:spacing w:before="0" w:after="0"/>
        <w:rPr/>
      </w:pPr>
      <w:r>
        <w:rPr/>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Loss from operations was $7.1 million compared to a loss from operations of $3.4 million in the first quarter of 2022. The increase in loss from operations was primarily driven by lower volume and operating inefficiencies, partially offset by pricing in excess of inflation.</w:t>
      </w:r>
    </w:p>
    <w:p>
      <w:pPr>
        <w:pStyle w:val="TextBody"/>
        <w:spacing w:before="0" w:after="0"/>
        <w:rPr/>
      </w:pPr>
      <w:r>
        <w:rPr/>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 xml:space="preserve">Income from operations for Power Solutions was $1.7 million compared to income from operations of $0.4 million for the same period in 2022. Loss from operations for Mobile Solutions was $3.3 million compared to income from operations of $2.0 million for the same period in 2022. </w:t>
      </w:r>
    </w:p>
    <w:p>
      <w:pPr>
        <w:pStyle w:val="TextBody"/>
        <w:spacing w:before="0" w:after="0"/>
        <w:rPr/>
      </w:pPr>
      <w:r>
        <w:rPr/>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 xml:space="preserve">Net loss was $10.2 million compared to net loss of $3.3 million for the same period in 2022. The increase in net loss can be attributed to reduced sales volume, decreased income from the China joint venture due to lower sales volume, and </w:t>
      </w:r>
      <w:r>
        <w:br w:type="page"/>
      </w:r>
    </w:p>
    <w:p>
      <w:pPr>
        <w:pStyle w:val="TextBody"/>
        <w:spacing w:before="0" w:after="20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0815"/>
                <wp:effectExtent l="0" t="0" r="0" b="0"/>
                <wp:wrapNone/>
                <wp:docPr id="7" name="Frame4"/>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w:t>
                      </w:r>
                    </w:p>
                  </w:txbxContent>
                </v:textbox>
              </v:rect>
            </w:pict>
          </mc:Fallback>
        </mc:AlternateConten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unfavorable overhead absorption, partially offset by pricing in excess of inflation.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60"/>
        <w:rPr>
          <w:rFonts w:ascii="Calibri;sans-serif" w:hAnsi="Calibri;sans-serif"/>
          <w:b/>
          <w:color w:val="000000"/>
          <w:sz w:val="22"/>
          <w:u w:val="single"/>
        </w:rPr>
      </w:pPr>
      <w:r>
        <w:rPr>
          <w:rFonts w:ascii="Calibri;sans-serif" w:hAnsi="Calibri;sans-serif"/>
          <w:b/>
          <w:color w:val="000000"/>
          <w:sz w:val="22"/>
          <w:u w:val="single"/>
        </w:rPr>
        <w:t>First Quarter Adjusted Results</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 xml:space="preserve">Adjusted loss from operations for the first quarter of 2023 was $0.4 million compared to adjusted income from operations of $2.7 million for the same period in 2022. Adjusted EBITDA was $8.1 million, or 6.4% of sales, compared to $13.4 million, or 10.5% of sales, for the same period in 2022. Adjusted net loss was $5.7 million, or $0.12 per diluted share, compared to adjusted net loss of $0.2 million, or $0.00 per diluted share, for the same period in 2022. </w:t>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 xml:space="preserve">Free cash flow was a use of cash of $3.7 million compared to a use of cash of $9.4 million for the same period in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60"/>
        <w:rPr/>
      </w:pPr>
      <w:r>
        <w:rPr>
          <w:rFonts w:ascii="Calibri;sans-serif" w:hAnsi="Calibri;sans-serif"/>
          <w:b/>
          <w:color w:val="000000"/>
          <w:sz w:val="22"/>
          <w:u w:val="single"/>
        </w:rPr>
        <w:t>Power Solutions</w:t>
      </w:r>
      <w:r>
        <w:rPr>
          <w:color w:val="000000"/>
        </w:rPr>
        <w:t xml:space="preserve"> </w:t>
      </w:r>
    </w:p>
    <w:p>
      <w:pPr>
        <w:pStyle w:val="TextBody"/>
        <w:spacing w:lineRule="auto" w:line="300" w:before="0" w:after="0"/>
        <w:rPr/>
      </w:pPr>
      <w:r>
        <w:rPr>
          <w:rFonts w:ascii="Calibri;sans-serif" w:hAnsi="Calibri;sans-serif"/>
          <w:b w:val="false"/>
          <w:color w:val="000000"/>
          <w:sz w:val="22"/>
          <w:highlight w:val="white"/>
        </w:rPr>
        <w:t xml:space="preserve">Net sales for the first quarter of </w:t>
      </w:r>
      <w:r>
        <w:rPr>
          <w:rFonts w:ascii="Calibri;sans-serif" w:hAnsi="Calibri;sans-serif"/>
          <w:b w:val="false"/>
          <w:color w:val="000000"/>
          <w:sz w:val="22"/>
        </w:rPr>
        <w:t>2023</w:t>
      </w:r>
      <w:r>
        <w:rPr>
          <w:color w:val="000000"/>
          <w:highlight w:val="white"/>
        </w:rPr>
        <w:t xml:space="preserve"> </w:t>
      </w:r>
      <w:r>
        <w:rPr>
          <w:rFonts w:ascii="Calibri;sans-serif" w:hAnsi="Calibri;sans-serif"/>
          <w:b w:val="false"/>
          <w:color w:val="000000"/>
          <w:sz w:val="22"/>
          <w:highlight w:val="white"/>
        </w:rPr>
        <w:t>w</w:t>
      </w:r>
      <w:r>
        <w:rPr>
          <w:rFonts w:ascii="Calibri;sans-serif" w:hAnsi="Calibri;sans-serif"/>
          <w:b w:val="false"/>
          <w:color w:val="000000"/>
          <w:sz w:val="22"/>
        </w:rPr>
        <w:t>ere $49.1 million compared to $52.0 million in the first quarter of 2022, a decrease of 5.7% or $2.9 million. The decrease in sales was primarily due to reduced volume, related to the slowing of residential and commercial construction activity, inventory resets, and the impact of plant closures on aerospace and defense sales, partially offset by price. Adjusted income from operations was $5.5 million compared to adjusted income from operations of $5.2 million in the first quarter of 2022. The increase in adjusted income from operations was primarily due to premium pricing during closure of the Irvine facility, partially offset by reduced volumes and unfavorable overhead absorption.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60"/>
        <w:rPr>
          <w:rFonts w:ascii="Calibri;sans-serif" w:hAnsi="Calibri;sans-serif"/>
          <w:b/>
          <w:color w:val="000000"/>
          <w:sz w:val="22"/>
          <w:u w:val="single"/>
        </w:rPr>
      </w:pPr>
      <w:r>
        <w:rPr>
          <w:rFonts w:ascii="Calibri;sans-serif" w:hAnsi="Calibri;sans-serif"/>
          <w:b/>
          <w:color w:val="000000"/>
          <w:sz w:val="22"/>
          <w:u w:val="single"/>
        </w:rPr>
        <w:t>Mobile Solutions</w:t>
      </w:r>
    </w:p>
    <w:p>
      <w:pPr>
        <w:pStyle w:val="TextBody"/>
        <w:spacing w:lineRule="auto" w:line="300" w:before="0" w:after="0"/>
        <w:rPr/>
      </w:pPr>
      <w:r>
        <w:rPr>
          <w:rFonts w:ascii="Calibri;sans-serif" w:hAnsi="Calibri;sans-serif"/>
          <w:b w:val="false"/>
          <w:color w:val="000000"/>
          <w:sz w:val="22"/>
        </w:rPr>
        <w:t>Net sales for the first quarter</w:t>
      </w:r>
      <w:r>
        <w:rPr>
          <w:color w:val="000000"/>
          <w:highlight w:val="white"/>
        </w:rPr>
        <w:t xml:space="preserve"> </w:t>
      </w:r>
      <w:r>
        <w:rPr>
          <w:rFonts w:ascii="Calibri;sans-serif" w:hAnsi="Calibri;sans-serif"/>
          <w:b w:val="false"/>
          <w:color w:val="000000"/>
          <w:sz w:val="22"/>
          <w:highlight w:val="white"/>
        </w:rPr>
        <w:t xml:space="preserve">of </w:t>
      </w:r>
      <w:r>
        <w:rPr>
          <w:rFonts w:ascii="Calibri;sans-serif" w:hAnsi="Calibri;sans-serif"/>
          <w:b w:val="false"/>
          <w:color w:val="000000"/>
          <w:sz w:val="22"/>
        </w:rPr>
        <w:t>2023</w:t>
      </w:r>
      <w:r>
        <w:rPr>
          <w:color w:val="000000"/>
          <w:highlight w:val="white"/>
        </w:rPr>
        <w:t xml:space="preserve"> </w:t>
      </w:r>
      <w:r>
        <w:rPr>
          <w:rFonts w:ascii="Calibri;sans-serif" w:hAnsi="Calibri;sans-serif"/>
          <w:b w:val="false"/>
          <w:color w:val="000000"/>
          <w:sz w:val="22"/>
          <w:highlight w:val="white"/>
        </w:rPr>
        <w:t xml:space="preserve">were </w:t>
      </w:r>
      <w:r>
        <w:rPr>
          <w:rFonts w:ascii="Calibri;sans-serif" w:hAnsi="Calibri;sans-serif"/>
          <w:b w:val="false"/>
          <w:color w:val="000000"/>
          <w:sz w:val="22"/>
        </w:rPr>
        <w:t>$78.0 million</w:t>
      </w:r>
      <w:r>
        <w:rPr>
          <w:color w:val="000000"/>
          <w:highlight w:val="white"/>
        </w:rPr>
        <w:t xml:space="preserve"> </w:t>
      </w:r>
      <w:r>
        <w:rPr>
          <w:rFonts w:ascii="Calibri;sans-serif" w:hAnsi="Calibri;sans-serif"/>
          <w:b w:val="false"/>
          <w:color w:val="000000"/>
          <w:sz w:val="22"/>
          <w:highlight w:val="white"/>
        </w:rPr>
        <w:t>comp</w:t>
      </w:r>
      <w:r>
        <w:rPr>
          <w:rFonts w:ascii="Calibri;sans-serif" w:hAnsi="Calibri;sans-serif"/>
          <w:b w:val="false"/>
          <w:color w:val="000000"/>
          <w:sz w:val="22"/>
        </w:rPr>
        <w:t>ared to $76.1 million in the first quarter of 2022, an increase of 2.6% or $1.9 million. The increase</w:t>
      </w:r>
      <w:r>
        <w:rPr>
          <w:color w:val="000000"/>
        </w:rPr>
        <w:t xml:space="preserve"> </w:t>
      </w:r>
      <w:r>
        <w:rPr>
          <w:rFonts w:ascii="Calibri;sans-serif" w:hAnsi="Calibri;sans-serif"/>
          <w:b w:val="false"/>
          <w:color w:val="000000"/>
          <w:sz w:val="22"/>
        </w:rPr>
        <w:t>in sales was primarily due to increased pricing, partially offset by reduced volume and unfavorable foreign exchange effects.</w:t>
      </w:r>
      <w:r>
        <w:rPr>
          <w:color w:val="000000"/>
        </w:rPr>
        <w:t xml:space="preserve"> </w:t>
      </w:r>
      <w:r>
        <w:rPr>
          <w:rFonts w:ascii="Calibri;sans-serif" w:hAnsi="Calibri;sans-serif"/>
          <w:b w:val="false"/>
          <w:color w:val="000000"/>
          <w:sz w:val="22"/>
        </w:rPr>
        <w:t>Adjusted loss from operations was $0.8 million compared to adjusted income from operations of $3.0 million in the first quarter of 2022. The decrease in adjusted income from operations was primarily driven by volume reductions, the impact of reduced income from the China joint venture due to lower volume, unrecovered inflation and inefficiencies at two specific facilities.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60"/>
        <w:rPr>
          <w:rFonts w:ascii="Calibri;sans-serif" w:hAnsi="Calibri;sans-serif"/>
          <w:b/>
          <w:color w:val="000000"/>
          <w:sz w:val="22"/>
          <w:u w:val="single"/>
        </w:rPr>
      </w:pPr>
      <w:r>
        <w:rPr>
          <w:rFonts w:ascii="Calibri;sans-serif" w:hAnsi="Calibri;sans-serif"/>
          <w:b/>
          <w:color w:val="000000"/>
          <w:sz w:val="22"/>
          <w:u w:val="single"/>
        </w:rPr>
        <w:t>2023 Outlook</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Based on results for the first quarter, as well as expectations for the remainder of the year, the Company has revised its expectations for financial results for the full year as follows:</w:t>
      </w:r>
    </w:p>
    <w:p>
      <w:pPr>
        <w:pStyle w:val="TextBody"/>
        <w:spacing w:before="0" w:after="0"/>
        <w:rPr/>
      </w:pPr>
      <w:r>
        <w:rPr/>
      </w:r>
    </w:p>
    <w:p>
      <w:pPr>
        <w:pStyle w:val="TextBody"/>
        <w:spacing w:lineRule="auto" w:line="300" w:before="0" w:after="0"/>
        <w:ind w:left="0" w:right="0" w:hanging="360"/>
        <w:rPr/>
      </w:pPr>
      <w:r>
        <w:rPr>
          <w:color w:val="000000"/>
          <w:highlight w:val="white"/>
        </w:rPr>
        <w:t>◦</w:t>
      </w:r>
      <w:r>
        <w:rPr>
          <w:rFonts w:ascii="Calibri;sans-serif" w:hAnsi="Calibri;sans-serif"/>
          <w:b w:val="false"/>
          <w:color w:val="000000"/>
          <w:sz w:val="22"/>
          <w:highlight w:val="white"/>
        </w:rPr>
        <w:t>Revenue in the range of $515 million to $545 million;</w:t>
      </w:r>
    </w:p>
    <w:p>
      <w:pPr>
        <w:pStyle w:val="TextBody"/>
        <w:spacing w:lineRule="auto" w:line="300" w:before="0" w:after="0"/>
        <w:ind w:left="0" w:right="0" w:hanging="360"/>
        <w:rPr/>
      </w:pPr>
      <w:r>
        <w:rPr>
          <w:color w:val="000000"/>
          <w:highlight w:val="white"/>
        </w:rPr>
        <w:t>◦</w:t>
      </w:r>
      <w:r>
        <w:rPr>
          <w:rFonts w:ascii="Calibri;sans-serif" w:hAnsi="Calibri;sans-serif"/>
          <w:b w:val="false"/>
          <w:color w:val="000000"/>
          <w:sz w:val="22"/>
          <w:highlight w:val="white"/>
        </w:rPr>
        <w:t>Adjusted EBITDA in the range of $47 million to $57 million; and</w:t>
      </w:r>
    </w:p>
    <w:p>
      <w:pPr>
        <w:pStyle w:val="TextBody"/>
        <w:spacing w:lineRule="auto" w:line="300" w:before="0" w:after="0"/>
        <w:ind w:left="0" w:right="0" w:hanging="360"/>
        <w:rPr/>
      </w:pPr>
      <w:r>
        <w:rPr>
          <w:color w:val="000000"/>
          <w:highlight w:val="white"/>
        </w:rPr>
        <w:t>◦</w:t>
      </w:r>
      <w:r>
        <w:rPr>
          <w:rFonts w:ascii="Calibri;sans-serif" w:hAnsi="Calibri;sans-serif"/>
          <w:b w:val="false"/>
          <w:color w:val="000000"/>
          <w:sz w:val="22"/>
          <w:highlight w:val="white"/>
        </w:rPr>
        <w:t>Free cash flow in the range of $7 to $17 million.</w:t>
      </w:r>
    </w:p>
    <w:p>
      <w:pPr>
        <w:pStyle w:val="TextBody"/>
        <w:spacing w:before="0" w:after="0"/>
        <w:rPr/>
      </w:pPr>
      <w:r>
        <w:rPr/>
      </w:r>
    </w:p>
    <w:p>
      <w:pPr>
        <w:pStyle w:val="TextBody"/>
        <w:spacing w:lineRule="auto" w:line="300" w:before="0" w:after="0"/>
        <w:rPr>
          <w:rFonts w:ascii="Calibri;sans-serif" w:hAnsi="Calibri;sans-serif"/>
          <w:b w:val="false"/>
          <w:color w:val="000000"/>
          <w:sz w:val="22"/>
          <w:highlight w:val="white"/>
        </w:rPr>
      </w:pPr>
      <w:r>
        <w:rPr>
          <w:rFonts w:ascii="Calibri;sans-serif" w:hAnsi="Calibri;sans-serif"/>
          <w:b w:val="false"/>
          <w:color w:val="000000"/>
          <w:sz w:val="22"/>
          <w:highlight w:val="white"/>
        </w:rPr>
        <w:t>Free cash flow outlook includes estimated cash outflows for severance, settlement, and facility closure costs of ~$7 million but does not include the CARES Act tax refund of ~$11 million due to uncertain timing.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rPr/>
      </w:pPr>
      <w:r>
        <w:rPr/>
      </w:r>
    </w:p>
    <w:p>
      <w:pPr>
        <w:pStyle w:val="TextBody"/>
        <w:spacing w:lineRule="auto" w:line="300" w:before="0" w:after="60"/>
        <w:rPr>
          <w:rFonts w:ascii="Calibri;sans-serif" w:hAnsi="Calibri;sans-serif"/>
          <w:b/>
          <w:color w:val="000000"/>
          <w:sz w:val="22"/>
          <w:u w:val="single"/>
        </w:rPr>
      </w:pPr>
      <w:r>
        <w:rPr>
          <w:rFonts w:ascii="Calibri;sans-serif" w:hAnsi="Calibri;sans-serif"/>
          <w:b/>
          <w:color w:val="000000"/>
          <w:sz w:val="22"/>
          <w:u w:val="single"/>
        </w:rPr>
        <w:t>Conference Call</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NN will discuss its results during its quarterly investor conference call on May 5, 2023, at 9:00 a.m. ET. The call and supplemental presentation may be accessed via NN's website, www.nninc.com. The conference call can also be accessed by dialing 1-877-317-6789 or 1-412-317-6789, Conference ID: 10176815. For those who are unavailable to listen to the live broadcast, a replay will be available shortly after the call until May 5, 2024.</w:t>
      </w:r>
    </w:p>
    <w:p>
      <w:pPr>
        <w:pStyle w:val="TextBody"/>
        <w:spacing w:before="0" w:after="0"/>
        <w:rPr/>
      </w:pPr>
      <w:r>
        <w:rPr/>
      </w:r>
    </w:p>
    <w:p>
      <w:pPr>
        <w:pStyle w:val="TextBody"/>
        <w:spacing w:lineRule="auto" w:line="300" w:before="0" w:after="200"/>
        <w:rPr>
          <w:rFonts w:ascii="Calibri;sans-serif" w:hAnsi="Calibri;sans-serif"/>
          <w:b w:val="false"/>
          <w:color w:val="000000"/>
          <w:sz w:val="22"/>
        </w:rPr>
      </w:pPr>
      <w:r>
        <w:rPr>
          <w:rFonts w:ascii="Calibri;sans-serif" w:hAnsi="Calibri;sans-serif"/>
          <w:b w:val="false"/>
          <w:color w:val="000000"/>
          <w:sz w:val="22"/>
        </w:rPr>
        <w:t xml:space="preserve">NN 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w:t>
      </w:r>
      <w:r>
        <w:br w:type="page"/>
      </w:r>
    </w:p>
    <w:p>
      <w:pPr>
        <w:pStyle w:val="TextBody"/>
        <w:spacing w:before="0" w:after="20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0815"/>
                <wp:effectExtent l="0" t="0" r="0" b="0"/>
                <wp:wrapNone/>
                <wp:docPr id="8" name="Frame5"/>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2</w:t>
                      </w:r>
                    </w:p>
                  </w:txbxContent>
                </v:textbox>
              </v:rect>
            </w:pict>
          </mc:Fallback>
        </mc:AlternateConten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pStyle w:val="TextBody"/>
        <w:spacing w:before="0" w:after="0"/>
        <w:rPr/>
      </w:pPr>
      <w:r>
        <w:rPr/>
      </w:r>
    </w:p>
    <w:p>
      <w:pPr>
        <w:pStyle w:val="TextBody"/>
        <w:spacing w:lineRule="auto" w:line="300" w:before="0" w:after="60"/>
        <w:rPr/>
      </w:pPr>
      <w:r>
        <w:rPr>
          <w:rFonts w:ascii="Calibri;sans-serif" w:hAnsi="Calibri;sans-serif"/>
          <w:b/>
          <w:color w:val="000000"/>
          <w:sz w:val="22"/>
          <w:u w:val="single"/>
        </w:rPr>
        <w:t>About NN, Inc</w:t>
      </w:r>
      <w:r>
        <w:rPr>
          <w:rFonts w:ascii="Calibri;sans-serif" w:hAnsi="Calibri;sans-serif"/>
          <w:b/>
          <w:color w:val="000000"/>
          <w:sz w:val="22"/>
        </w:rPr>
        <w:t>.</w:t>
      </w:r>
    </w:p>
    <w:p>
      <w:pPr>
        <w:pStyle w:val="TextBody"/>
        <w:spacing w:lineRule="auto" w:line="300" w:before="0" w:after="0"/>
        <w:rPr>
          <w:rFonts w:ascii="Calibri;sans-serif" w:hAnsi="Calibri;sans-serif"/>
          <w:b w:val="false"/>
          <w:color w:val="000000"/>
          <w:sz w:val="22"/>
        </w:rPr>
      </w:pPr>
      <w:r>
        <w:rPr>
          <w:rFonts w:ascii="Calibri;sans-serif" w:hAnsi="Calibri;sans-serif"/>
          <w:b w:val="false"/>
          <w:color w:val="000000"/>
          <w:sz w:val="22"/>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Asia.</w:t>
      </w:r>
    </w:p>
    <w:p>
      <w:pPr>
        <w:pStyle w:val="TextBody"/>
        <w:spacing w:before="0" w:after="0"/>
        <w:rPr/>
      </w:pPr>
      <w:r>
        <w:rPr/>
      </w:r>
    </w:p>
    <w:p>
      <w:pPr>
        <w:pStyle w:val="TextBody"/>
        <w:spacing w:lineRule="auto" w:line="300" w:before="0" w:after="0"/>
        <w:rPr>
          <w:rFonts w:ascii="Calibri;sans-serif" w:hAnsi="Calibri;sans-serif"/>
          <w:b w:val="false"/>
          <w:i/>
          <w:color w:val="000000"/>
          <w:sz w:val="18"/>
        </w:rPr>
      </w:pPr>
      <w:r>
        <w:rPr>
          <w:rFonts w:ascii="Calibri;sans-serif" w:hAnsi="Calibri;sans-serif"/>
          <w:b w:val="false"/>
          <w:i/>
          <w:color w:val="000000"/>
          <w:sz w:val="18"/>
        </w:rPr>
        <w:t>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“will”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be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FOR FURTHER INFORMATION:</w:t>
      </w:r>
    </w:p>
    <w:p>
      <w:pPr>
        <w:pStyle w:val="TextBody"/>
        <w:spacing w:before="0" w:after="0"/>
        <w:rPr/>
      </w:pPr>
      <w:r>
        <w:rPr/>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 xml:space="preserve">Jeff Tryka, CFA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Investor Relations Contact</w:t>
      </w:r>
    </w:p>
    <w:p>
      <w:pPr>
        <w:pStyle w:val="TextBody"/>
        <w:spacing w:lineRule="auto" w:line="288" w:before="0" w:after="0"/>
        <w:rPr/>
      </w:pPr>
      <w:r>
        <w:rPr>
          <w:rFonts w:ascii="Calibri;sans-serif" w:hAnsi="Calibri;sans-serif"/>
          <w:b w:val="false"/>
          <w:color w:val="000000"/>
          <w:sz w:val="22"/>
        </w:rPr>
        <w:t>jtryka@lambert.com</w:t>
      </w:r>
      <w:r>
        <w:rPr>
          <w:color w:val="000000"/>
        </w:rPr>
        <w:t xml:space="preserve"> </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(616) 258-5766</w:t>
      </w:r>
    </w:p>
    <w:p>
      <w:pPr>
        <w:pStyle w:val="TextBody"/>
        <w:spacing w:before="0" w:after="0"/>
        <w:rPr/>
      </w:pPr>
      <w:r>
        <w:rPr/>
      </w:r>
    </w:p>
    <w:p>
      <w:pPr>
        <w:pStyle w:val="TextBody"/>
        <w:spacing w:before="0" w:after="0"/>
        <w:rPr/>
      </w:pPr>
      <w:r>
        <w:rPr/>
      </w:r>
    </w:p>
    <w:p>
      <w:pPr>
        <w:pStyle w:val="TextBody"/>
        <w:spacing w:lineRule="auto" w:line="288" w:before="0" w:after="0"/>
        <w:jc w:val="center"/>
        <w:rPr>
          <w:rFonts w:ascii="Calibri;sans-serif" w:hAnsi="Calibri;sans-serif"/>
          <w:b w:val="false"/>
          <w:i/>
          <w:color w:val="000000"/>
          <w:sz w:val="22"/>
        </w:rPr>
      </w:pPr>
      <w:r>
        <w:rPr>
          <w:rFonts w:ascii="Calibri;sans-serif" w:hAnsi="Calibri;sans-serif"/>
          <w:b w:val="false"/>
          <w:i/>
          <w:color w:val="000000"/>
          <w:sz w:val="22"/>
        </w:rPr>
        <w:t>Financial Tables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0815"/>
                <wp:effectExtent l="0" t="0" r="0" b="0"/>
                <wp:wrapNone/>
                <wp:docPr id="9" name="Frame6"/>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3</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(Loss) </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30" w:type="dxa"/>
        <w:jc w:val="left"/>
        <w:tblInd w:w="0" w:type="dxa"/>
        <w:tblCellMar>
          <w:top w:w="28" w:type="dxa"/>
          <w:left w:w="28" w:type="dxa"/>
          <w:bottom w:w="28" w:type="dxa"/>
          <w:right w:w="28" w:type="dxa"/>
        </w:tblCellMar>
      </w:tblPr>
      <w:tblGrid>
        <w:gridCol w:w="2149"/>
        <w:gridCol w:w="1889"/>
        <w:gridCol w:w="1902"/>
        <w:gridCol w:w="196"/>
        <w:gridCol w:w="736"/>
        <w:gridCol w:w="109"/>
        <w:gridCol w:w="109"/>
        <w:gridCol w:w="109"/>
        <w:gridCol w:w="109"/>
        <w:gridCol w:w="196"/>
        <w:gridCol w:w="736"/>
        <w:gridCol w:w="109"/>
        <w:gridCol w:w="109"/>
        <w:gridCol w:w="109"/>
        <w:gridCol w:w="109"/>
        <w:gridCol w:w="154"/>
      </w:tblGrid>
      <w:tr>
        <w:trPr/>
        <w:tc>
          <w:tcPr>
            <w:tcW w:w="2149"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127,088 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128,067 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(exclusive of depreciation and amortization shown separately below)</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 net</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 and share of net income from joint venture</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transaction gain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104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net of tax</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adjustment for losses (gains) included in net loss, net of tax</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net loss per common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net loss per common share:</w:t>
            </w:r>
          </w:p>
        </w:tc>
        <w:tc>
          <w:tcPr>
            <w:tcW w:w="104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44,594 </w:t>
            </w:r>
          </w:p>
        </w:tc>
        <w:tc>
          <w:tcPr>
            <w:tcW w:w="109" w:type="dxa"/>
            <w:tcBorders>
              <w:top w:val="doub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200"/>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0815"/>
                <wp:effectExtent l="0" t="0" r="0" b="0"/>
                <wp:wrapNone/>
                <wp:docPr id="10" name="Frame7"/>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4</w:t>
                      </w:r>
                    </w:p>
                  </w:txbxContent>
                </v:textbox>
              </v:rect>
            </w:pict>
          </mc:Fallback>
        </mc:AlternateContent>
      </w:r>
    </w:p>
    <w:p>
      <w:pPr>
        <w:pStyle w:val="TextBody"/>
        <w:spacing w:lineRule="auto" w:line="300" w:before="0" w:after="4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tbl>
      <w:tblPr>
        <w:tblW w:w="10205" w:type="dxa"/>
        <w:jc w:val="left"/>
        <w:tblInd w:w="0" w:type="dxa"/>
        <w:tblCellMar>
          <w:top w:w="28" w:type="dxa"/>
          <w:left w:w="28" w:type="dxa"/>
          <w:bottom w:w="28" w:type="dxa"/>
          <w:right w:w="28" w:type="dxa"/>
        </w:tblCellMar>
      </w:tblPr>
      <w:tblGrid>
        <w:gridCol w:w="2840"/>
        <w:gridCol w:w="2416"/>
        <w:gridCol w:w="2432"/>
        <w:gridCol w:w="196"/>
        <w:gridCol w:w="736"/>
        <w:gridCol w:w="109"/>
        <w:gridCol w:w="109"/>
        <w:gridCol w:w="109"/>
        <w:gridCol w:w="109"/>
        <w:gridCol w:w="207"/>
        <w:gridCol w:w="777"/>
        <w:gridCol w:w="165"/>
      </w:tblGrid>
      <w:tr>
        <w:trPr/>
        <w:tc>
          <w:tcPr>
            <w:tcW w:w="2840"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except per share data)</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12,808 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74,129 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81,778 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80,682 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assets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191,700 </w:t>
            </w:r>
          </w:p>
        </w:tc>
        <w:tc>
          <w:tcPr>
            <w:tcW w:w="165"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46,280 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46,713 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joint venture</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32,212 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31,802 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546,127 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Preferred Stock, and Stockholders’ Equity</w:t>
            </w:r>
          </w:p>
        </w:tc>
        <w:tc>
          <w:tcPr>
            <w:tcW w:w="1041"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45,871 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wages and benefits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91,340 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78,806 </w:t>
            </w:r>
          </w:p>
        </w:tc>
        <w:tc>
          <w:tcPr>
            <w:tcW w:w="165"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146,228 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149,389 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9,960 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295,162 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perpetual preferred stock - $0.01 par value per share, 65 shares authorized, issued and outstanding at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per share, 90,000 shares authorized, 43,772 and 43,856 shares issued and outstanding at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465,377 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468,143 </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(245,198)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(35,978)</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w:t>
            </w:r>
          </w:p>
        </w:tc>
        <w:tc>
          <w:tcPr>
            <w:tcW w:w="16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186,264 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preferred stock, and stockholders’ equity</w:t>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547,273 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546,127 </w:t>
            </w:r>
          </w:p>
        </w:tc>
        <w:tc>
          <w:tcPr>
            <w:tcW w:w="165"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0815"/>
                <wp:effectExtent l="0" t="0" r="0" b="0"/>
                <wp:wrapNone/>
                <wp:docPr id="11" name="Frame8"/>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5</w:t>
                      </w:r>
                    </w:p>
                  </w:txbxContent>
                </v:textbox>
              </v:rect>
            </w:pict>
          </mc:Fallback>
        </mc:AlternateConten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88" w:type="dxa"/>
        <w:jc w:val="left"/>
        <w:tblInd w:w="0" w:type="dxa"/>
        <w:tblCellMar>
          <w:top w:w="28" w:type="dxa"/>
          <w:left w:w="28" w:type="dxa"/>
          <w:bottom w:w="28" w:type="dxa"/>
          <w:right w:w="28" w:type="dxa"/>
        </w:tblCellMar>
      </w:tblPr>
      <w:tblGrid>
        <w:gridCol w:w="2258"/>
        <w:gridCol w:w="1985"/>
        <w:gridCol w:w="1996"/>
        <w:gridCol w:w="196"/>
        <w:gridCol w:w="721"/>
        <w:gridCol w:w="109"/>
        <w:gridCol w:w="109"/>
        <w:gridCol w:w="109"/>
        <w:gridCol w:w="109"/>
        <w:gridCol w:w="196"/>
        <w:gridCol w:w="646"/>
        <w:gridCol w:w="154"/>
      </w:tblGrid>
      <w:tr>
        <w:trPr/>
        <w:tc>
          <w:tcPr>
            <w:tcW w:w="2258"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 </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2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discount</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loss (gain), net of cash settlements</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 of net income from joint venture </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from issuance of share-based awards</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(5,506)</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(17,633)</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11,416 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 and payable, net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plant and equipment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(17,832)</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(8,729)</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debt issuance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short-term debt, net</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17"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flows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91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(8,029)</w:t>
            </w:r>
          </w:p>
        </w:tc>
        <w:tc>
          <w:tcPr>
            <w:tcW w:w="15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10,545 </w:t>
            </w:r>
          </w:p>
        </w:tc>
        <w:tc>
          <w:tcPr>
            <w:tcW w:w="109"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20,627 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0815"/>
                <wp:effectExtent l="0" t="0" r="0" b="0"/>
                <wp:wrapNone/>
                <wp:docPr id="12" name="Frame9"/>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6</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Reconciliation of GAAP Income (Loss) from Operations to Non-GAAP Adjusted Income (Loss) from Operations</w:t>
      </w:r>
    </w:p>
    <w:tbl>
      <w:tblPr>
        <w:tblW w:w="6797" w:type="dxa"/>
        <w:jc w:val="center"/>
        <w:tblInd w:w="0" w:type="dxa"/>
        <w:tblCellMar>
          <w:top w:w="28" w:type="dxa"/>
          <w:left w:w="28" w:type="dxa"/>
          <w:bottom w:w="28" w:type="dxa"/>
          <w:right w:w="28" w:type="dxa"/>
        </w:tblCellMar>
      </w:tblPr>
      <w:tblGrid>
        <w:gridCol w:w="1464"/>
        <w:gridCol w:w="1291"/>
        <w:gridCol w:w="1294"/>
        <w:gridCol w:w="196"/>
        <w:gridCol w:w="736"/>
        <w:gridCol w:w="256"/>
        <w:gridCol w:w="109"/>
        <w:gridCol w:w="109"/>
        <w:gridCol w:w="109"/>
        <w:gridCol w:w="196"/>
        <w:gridCol w:w="736"/>
        <w:gridCol w:w="301"/>
      </w:tblGrid>
      <w:tr>
        <w:trPr/>
        <w:tc>
          <w:tcPr>
            <w:tcW w:w="146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8" w:type="dxa"/>
            <w:gridSpan w:val="9"/>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748"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NN, Inc. Consolidated</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5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30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 (1)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2,739 </w:t>
            </w:r>
          </w:p>
        </w:tc>
        <w:tc>
          <w:tcPr>
            <w:tcW w:w="25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30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0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127,088 </w:t>
            </w:r>
          </w:p>
        </w:tc>
        <w:tc>
          <w:tcPr>
            <w:tcW w:w="25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128,067 </w:t>
            </w:r>
          </w:p>
        </w:tc>
        <w:tc>
          <w:tcPr>
            <w:tcW w:w="30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8" w:type="dxa"/>
            <w:gridSpan w:val="9"/>
            <w:vMerge w:val="restart"/>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748" w:type="dxa"/>
            <w:gridSpan w:val="9"/>
            <w:vMerge w:val="continue"/>
            <w:tcBorders/>
            <w:shd w:fill="FFFFFF" w:val="clear"/>
            <w:tcMar>
              <w:top w:w="0" w:type="dxa"/>
              <w:left w:w="0" w:type="dxa"/>
              <w:bottom w:w="0" w:type="dxa"/>
              <w:right w:w="0" w:type="dxa"/>
            </w:tcMar>
            <w:vAlign w:val="center"/>
          </w:tcPr>
          <w:p>
            <w:pPr>
              <w:pStyle w:val="Normal"/>
              <w:rPr/>
            </w:pPr>
            <w:r>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Power Solutions</w:t>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56"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0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2,749 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5,505 </w:t>
            </w:r>
          </w:p>
        </w:tc>
        <w:tc>
          <w:tcPr>
            <w:tcW w:w="25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5,152 </w:t>
            </w:r>
          </w:p>
        </w:tc>
        <w:tc>
          <w:tcPr>
            <w:tcW w:w="30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932" w:type="dxa"/>
            <w:gridSpan w:val="2"/>
            <w:tcBorders/>
            <w:shd w:fill="BFE4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56" w:type="dxa"/>
            <w:tcBorders/>
            <w:shd w:fill="BFE4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01" w:type="dxa"/>
            <w:tcBorders/>
            <w:shd w:fill="BFE4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52,011 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048" w:type="dxa"/>
        <w:jc w:val="center"/>
        <w:tblInd w:w="0" w:type="dxa"/>
        <w:tblCellMar>
          <w:top w:w="28" w:type="dxa"/>
          <w:left w:w="28" w:type="dxa"/>
          <w:bottom w:w="28" w:type="dxa"/>
          <w:right w:w="28" w:type="dxa"/>
        </w:tblCellMar>
      </w:tblPr>
      <w:tblGrid>
        <w:gridCol w:w="1601"/>
        <w:gridCol w:w="1410"/>
        <w:gridCol w:w="1414"/>
        <w:gridCol w:w="200"/>
        <w:gridCol w:w="661"/>
        <w:gridCol w:w="261"/>
        <w:gridCol w:w="111"/>
        <w:gridCol w:w="111"/>
        <w:gridCol w:w="111"/>
        <w:gridCol w:w="200"/>
        <w:gridCol w:w="661"/>
        <w:gridCol w:w="307"/>
      </w:tblGrid>
      <w:tr>
        <w:trPr/>
        <w:tc>
          <w:tcPr>
            <w:tcW w:w="1601"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623"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Mobile Solutions</w:t>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income (loss) from operations</w:t>
            </w:r>
          </w:p>
        </w:tc>
        <w:tc>
          <w:tcPr>
            <w:tcW w:w="20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w:t>
            </w:r>
          </w:p>
        </w:tc>
        <w:tc>
          <w:tcPr>
            <w:tcW w:w="26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307"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 (2)</w:t>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6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26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307"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(a)</w:t>
            </w:r>
          </w:p>
        </w:tc>
        <w:tc>
          <w:tcPr>
            <w:tcW w:w="861"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26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3,040 </w:t>
            </w:r>
          </w:p>
        </w:tc>
        <w:tc>
          <w:tcPr>
            <w:tcW w:w="307"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net income from joint venture</w:t>
            </w:r>
          </w:p>
        </w:tc>
        <w:tc>
          <w:tcPr>
            <w:tcW w:w="86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26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307"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12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income (loss) from operations with JV</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operating margin (3)</w:t>
            </w:r>
          </w:p>
        </w:tc>
        <w:tc>
          <w:tcPr>
            <w:tcW w:w="8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00"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78,018 </w:t>
            </w:r>
          </w:p>
        </w:tc>
        <w:tc>
          <w:tcPr>
            <w:tcW w:w="261"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76,070 </w:t>
            </w:r>
          </w:p>
        </w:tc>
        <w:tc>
          <w:tcPr>
            <w:tcW w:w="307"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vMerge w:val="restart"/>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623" w:type="dxa"/>
            <w:gridSpan w:val="9"/>
            <w:vMerge w:val="continue"/>
            <w:tcBorders/>
            <w:shd w:fill="FFFFFF" w:val="clear"/>
            <w:tcMar>
              <w:top w:w="0" w:type="dxa"/>
              <w:left w:w="0" w:type="dxa"/>
              <w:bottom w:w="0" w:type="dxa"/>
              <w:right w:w="0" w:type="dxa"/>
            </w:tcMar>
            <w:vAlign w:val="center"/>
          </w:tcPr>
          <w:p>
            <w:pPr>
              <w:pStyle w:val="Normal"/>
              <w:rPr/>
            </w:pPr>
            <w:r>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Elimination</w:t>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25"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20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1"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7"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pStyle w:val="TextBody"/>
        <w:spacing w:lineRule="auto" w:line="288" w:before="0" w:after="6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(1)Personnel costs include recruitment, retention, relocation, and severance costs</w:t>
      </w:r>
    </w:p>
    <w:p>
      <w:pPr>
        <w:pStyle w:val="TextBody"/>
        <w:spacing w:lineRule="auto" w:line="288" w:before="0" w:after="6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(2)Facility costs include costs associated with opening or closing facilities and equipment relocation</w:t>
      </w:r>
    </w:p>
    <w:p>
      <w:pPr>
        <w:pStyle w:val="TextBody"/>
        <w:spacing w:lineRule="auto" w:line="288" w:before="0" w:after="6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(3)Non-GAAP adjusted operating margin = Non-GAAP adjusted income (loss) from operations / GAAP net sales</w:t>
      </w:r>
    </w:p>
    <w:p>
      <w:pPr>
        <w:pStyle w:val="TextBody"/>
        <w:spacing w:before="0" w:after="60"/>
        <w:ind w:left="0" w:right="0" w:hanging="90"/>
        <w:rPr/>
      </w:pPr>
      <w:r>
        <w:rPr/>
      </w:r>
    </w:p>
    <w:p>
      <w:pPr>
        <w:pStyle w:val="TextBody"/>
        <w:spacing w:before="0" w:after="60"/>
        <w:ind w:left="0" w:right="0" w:hanging="90"/>
        <w:rPr/>
      </w:pPr>
      <w:r>
        <w:rPr/>
      </w:r>
    </w:p>
    <w:p>
      <w:pPr>
        <w:pStyle w:val="TextBody"/>
        <w:spacing w:before="0" w:after="60"/>
        <w:ind w:left="0" w:right="0" w:hanging="90"/>
        <w:rPr/>
      </w:pPr>
      <w:r>
        <w:rPr/>
      </w:r>
    </w:p>
    <w:p>
      <w:pPr>
        <w:pStyle w:val="TextBody"/>
        <w:spacing w:before="0" w:after="60"/>
        <w:ind w:left="0" w:right="0" w:hanging="9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0815"/>
                <wp:effectExtent l="0" t="0" r="0" b="0"/>
                <wp:wrapNone/>
                <wp:docPr id="13" name="Frame10"/>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7</w:t>
                      </w:r>
                    </w:p>
                  </w:txbxContent>
                </v:textbox>
              </v:rect>
            </w:pict>
          </mc:Fallback>
        </mc:AlternateContent>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0"/>
        <w:jc w:val="center"/>
        <w:rPr/>
      </w:pPr>
      <w:r>
        <w:rPr/>
      </w:r>
    </w:p>
    <w:tbl>
      <w:tblPr>
        <w:tblW w:w="10046" w:type="dxa"/>
        <w:jc w:val="center"/>
        <w:tblInd w:w="0" w:type="dxa"/>
        <w:tblCellMar>
          <w:top w:w="28" w:type="dxa"/>
          <w:left w:w="28" w:type="dxa"/>
          <w:bottom w:w="28" w:type="dxa"/>
          <w:right w:w="28" w:type="dxa"/>
        </w:tblCellMar>
      </w:tblPr>
      <w:tblGrid>
        <w:gridCol w:w="1671"/>
        <w:gridCol w:w="1472"/>
        <w:gridCol w:w="1477"/>
        <w:gridCol w:w="387"/>
        <w:gridCol w:w="1454"/>
        <w:gridCol w:w="505"/>
        <w:gridCol w:w="215"/>
        <w:gridCol w:w="215"/>
        <w:gridCol w:w="215"/>
        <w:gridCol w:w="387"/>
        <w:gridCol w:w="1454"/>
        <w:gridCol w:w="594"/>
      </w:tblGrid>
      <w:tr>
        <w:trPr/>
        <w:tc>
          <w:tcPr>
            <w:tcW w:w="1671"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10046" w:type="dxa"/>
            <w:gridSpan w:val="12"/>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Reconciliation of GAAP Net Income (Loss) to Non-GAAP Adjusted EBITDA</w:t>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6"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6"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2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w:t>
            </w:r>
          </w:p>
        </w:tc>
        <w:tc>
          <w:tcPr>
            <w:tcW w:w="505"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w:t>
            </w:r>
          </w:p>
        </w:tc>
        <w:tc>
          <w:tcPr>
            <w:tcW w:w="594"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2346"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2435"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2346"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2435"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derivatives and warrants</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11,516 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 settlement costs</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costs</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Facility costs</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stock compensation</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foreign exchange (gain) loss on inter-company loans</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5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5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2346"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2435"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2346"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2435"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vAlign w:val="center"/>
          </w:tcPr>
          <w:p>
            <w:pPr>
              <w:pStyle w:val="TableContents"/>
              <w:spacing w:before="0" w:after="283"/>
              <w:rPr>
                <w:sz w:val="4"/>
                <w:szCs w:val="4"/>
              </w:rPr>
            </w:pPr>
            <w:r>
              <w:rPr>
                <w:sz w:val="4"/>
                <w:szCs w:val="4"/>
              </w:rPr>
            </w:r>
          </w:p>
        </w:tc>
        <w:tc>
          <w:tcPr>
            <w:tcW w:w="2346" w:type="dxa"/>
            <w:gridSpan w:val="3"/>
            <w:tcBorders/>
            <w:shd w:fill="auto" w:val="clear"/>
            <w:vAlign w:val="center"/>
          </w:tcPr>
          <w:p>
            <w:pPr>
              <w:pStyle w:val="TableContents"/>
              <w:spacing w:before="0" w:after="283"/>
              <w:rPr>
                <w:sz w:val="4"/>
                <w:szCs w:val="4"/>
              </w:rPr>
            </w:pPr>
            <w:r>
              <w:rPr>
                <w:sz w:val="4"/>
                <w:szCs w:val="4"/>
              </w:rPr>
            </w:r>
          </w:p>
        </w:tc>
        <w:tc>
          <w:tcPr>
            <w:tcW w:w="645" w:type="dxa"/>
            <w:gridSpan w:val="3"/>
            <w:tcBorders/>
            <w:shd w:fill="auto" w:val="clear"/>
            <w:vAlign w:val="center"/>
          </w:tcPr>
          <w:p>
            <w:pPr>
              <w:pStyle w:val="TableContents"/>
              <w:spacing w:before="0" w:after="283"/>
              <w:rPr>
                <w:sz w:val="4"/>
                <w:szCs w:val="4"/>
              </w:rPr>
            </w:pPr>
            <w:r>
              <w:rPr>
                <w:sz w:val="4"/>
                <w:szCs w:val="4"/>
              </w:rPr>
            </w:r>
          </w:p>
        </w:tc>
        <w:tc>
          <w:tcPr>
            <w:tcW w:w="2435" w:type="dxa"/>
            <w:gridSpan w:val="3"/>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 impairments</w:t>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(b)</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8,134 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13,395 </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6"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3"/>
            <w:tcBorders>
              <w:top w:val="doub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EBITDA margin (4)</w:t>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62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sales</w:t>
            </w:r>
          </w:p>
        </w:tc>
        <w:tc>
          <w:tcPr>
            <w:tcW w:w="387"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127,088 </w:t>
            </w:r>
          </w:p>
        </w:tc>
        <w:tc>
          <w:tcPr>
            <w:tcW w:w="505"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128,067 </w:t>
            </w:r>
          </w:p>
        </w:tc>
        <w:tc>
          <w:tcPr>
            <w:tcW w:w="594"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40" w:after="200"/>
        <w:ind w:left="0" w:right="0" w:hanging="360"/>
        <w:rPr/>
      </w:pPr>
      <w:r>
        <w:rPr/>
      </w:r>
    </w:p>
    <w:p>
      <w:pPr>
        <w:pStyle w:val="TextBody"/>
        <w:spacing w:lineRule="auto" w:line="300" w:before="140" w:after="20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(4) Non-GAAP adjusted EBITDA margin = Non-GAAP adjusted EBITDA / GAAP net sales</w:t>
      </w:r>
    </w:p>
    <w:p>
      <w:pPr>
        <w:pStyle w:val="TextBody"/>
        <w:spacing w:before="140" w:after="200"/>
        <w:rPr/>
      </w:pPr>
      <w:r>
        <w:rPr/>
      </w:r>
    </w:p>
    <w:p>
      <w:pPr>
        <w:pStyle w:val="TextBody"/>
        <w:spacing w:before="140" w:after="200"/>
        <w:rPr/>
      </w:pPr>
      <w:r>
        <w:rPr/>
      </w:r>
    </w:p>
    <w:p>
      <w:pPr>
        <w:pStyle w:val="TextBody"/>
        <w:spacing w:before="140" w:after="200"/>
        <w:rPr/>
      </w:pPr>
      <w:r>
        <w:rPr/>
      </w:r>
    </w:p>
    <w:p>
      <w:pPr>
        <w:pStyle w:val="TextBody"/>
        <w:spacing w:before="14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p>
    <w:p>
      <w:pPr>
        <w:pStyle w:val="TextBody"/>
        <w:spacing w:before="0" w:after="200"/>
        <w:rPr/>
      </w:pPr>
      <w:r>
        <w:rPr/>
      </w:r>
      <w:r>
        <w:br w:type="page"/>
      </w:r>
    </w:p>
    <w:p>
      <w:pPr>
        <w:pStyle w:val="TextBody"/>
        <w:spacing w:before="0" w:after="20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0815"/>
                <wp:effectExtent l="0" t="0" r="0" b="0"/>
                <wp:wrapNone/>
                <wp:docPr id="14" name="Frame11"/>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8</w:t>
                      </w:r>
                    </w:p>
                  </w:txbxContent>
                </v:textbox>
              </v:rect>
            </w:pict>
          </mc:Fallback>
        </mc:AlternateContent>
      </w:r>
    </w:p>
    <w:tbl>
      <w:tblPr>
        <w:tblW w:w="9237" w:type="dxa"/>
        <w:jc w:val="left"/>
        <w:tblInd w:w="0" w:type="dxa"/>
        <w:tblCellMar>
          <w:top w:w="28" w:type="dxa"/>
          <w:left w:w="28" w:type="dxa"/>
          <w:bottom w:w="28" w:type="dxa"/>
          <w:right w:w="28" w:type="dxa"/>
        </w:tblCellMar>
      </w:tblPr>
      <w:tblGrid>
        <w:gridCol w:w="676"/>
        <w:gridCol w:w="594"/>
        <w:gridCol w:w="594"/>
        <w:gridCol w:w="594"/>
        <w:gridCol w:w="594"/>
        <w:gridCol w:w="594"/>
        <w:gridCol w:w="594"/>
        <w:gridCol w:w="594"/>
        <w:gridCol w:w="594"/>
        <w:gridCol w:w="594"/>
        <w:gridCol w:w="594"/>
        <w:gridCol w:w="594"/>
        <w:gridCol w:w="594"/>
        <w:gridCol w:w="594"/>
        <w:gridCol w:w="839"/>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9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Net Income and GAAP Net Income (Loss)</w:t>
            </w:r>
          </w:p>
        </w:tc>
      </w:tr>
      <w:tr>
        <w:trPr/>
        <w:tc>
          <w:tcPr>
            <w:tcW w:w="92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 Diluted Common Share to Non-GAAP Adjusted Net Income (Loss) per Diluted Common Share</w:t>
            </w:r>
          </w:p>
        </w:tc>
      </w:tr>
    </w:tbl>
    <w:tbl>
      <w:tblPr>
        <w:tblW w:w="7753" w:type="dxa"/>
        <w:jc w:val="center"/>
        <w:tblInd w:w="0" w:type="dxa"/>
        <w:tblCellMar>
          <w:top w:w="28" w:type="dxa"/>
          <w:left w:w="28" w:type="dxa"/>
          <w:bottom w:w="28" w:type="dxa"/>
          <w:right w:w="28" w:type="dxa"/>
        </w:tblCellMar>
      </w:tblPr>
      <w:tblGrid>
        <w:gridCol w:w="1855"/>
        <w:gridCol w:w="1635"/>
        <w:gridCol w:w="1640"/>
        <w:gridCol w:w="220"/>
        <w:gridCol w:w="812"/>
        <w:gridCol w:w="122"/>
        <w:gridCol w:w="122"/>
        <w:gridCol w:w="122"/>
        <w:gridCol w:w="122"/>
        <w:gridCol w:w="220"/>
        <w:gridCol w:w="710"/>
        <w:gridCol w:w="173"/>
      </w:tblGrid>
      <w:tr>
        <w:trPr/>
        <w:tc>
          <w:tcPr>
            <w:tcW w:w="1855"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w:t>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w:t>
            </w:r>
          </w:p>
        </w:tc>
        <w:tc>
          <w:tcPr>
            <w:tcW w:w="122"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w:t>
            </w:r>
          </w:p>
        </w:tc>
        <w:tc>
          <w:tcPr>
            <w:tcW w:w="173"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litigation / settlement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professional fees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personnel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facility costs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foreign exchange (gain) loss on inter-company loans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impairments of fixed asset costs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(d)</w:t>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w:t>
            </w:r>
          </w:p>
        </w:tc>
        <w:tc>
          <w:tcPr>
            <w:tcW w:w="122"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73"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(per diluted common share)</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per diluted common share</w:t>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w:t>
            </w:r>
          </w:p>
        </w:tc>
        <w:tc>
          <w:tcPr>
            <w:tcW w:w="122"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173"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litigation / settlement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professional fees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facility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foreign exchange (gain) loss on inter-company loans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change in fair value of preferred stock derivatives and warrants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amortization of intangibles and deferred financing costs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impairments of fixed asset costs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 of adjustments reflected above (c)</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discrete tax adjustments</w:t>
            </w:r>
          </w:p>
        </w:tc>
        <w:tc>
          <w:tcPr>
            <w:tcW w:w="1032"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73"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cumulative dividends and deemed dividends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0"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adjusted net income (loss) per diluted common share (d)</w:t>
            </w:r>
          </w:p>
        </w:tc>
        <w:tc>
          <w:tcPr>
            <w:tcW w:w="1154"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366"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w:t>
            </w:r>
          </w:p>
        </w:tc>
      </w:tr>
      <w:tr>
        <w:trPr/>
        <w:tc>
          <w:tcPr>
            <w:tcW w:w="5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0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44,594 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0815"/>
                <wp:effectExtent l="0" t="0" r="0" b="0"/>
                <wp:wrapNone/>
                <wp:docPr id="15" name="Frame12"/>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9</w:t>
                      </w:r>
                    </w:p>
                  </w:txbxContent>
                </v:textbox>
              </v:rect>
            </w:pict>
          </mc:Fallback>
        </mc:AlternateContent>
      </w:r>
    </w:p>
    <w:p>
      <w:pPr>
        <w:pStyle w:val="TextBody"/>
        <w:spacing w:before="0" w:after="0"/>
        <w:jc w:val="center"/>
        <w:rPr/>
      </w:pPr>
      <w:r>
        <w:rPr/>
      </w:r>
    </w:p>
    <w:p>
      <w:pPr>
        <w:pStyle w:val="TextBody"/>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Operating Cash Flow to Free Cash Flow</w:t>
      </w:r>
    </w:p>
    <w:p>
      <w:pPr>
        <w:pStyle w:val="TextBody"/>
        <w:spacing w:before="0" w:after="0"/>
        <w:ind w:left="0" w:right="0" w:hanging="360"/>
        <w:jc w:val="center"/>
        <w:rPr/>
      </w:pPr>
      <w:r>
        <w:rPr/>
      </w:r>
    </w:p>
    <w:tbl>
      <w:tblPr>
        <w:tblW w:w="6549" w:type="dxa"/>
        <w:jc w:val="left"/>
        <w:tblInd w:w="0" w:type="dxa"/>
        <w:tblCellMar>
          <w:top w:w="28" w:type="dxa"/>
          <w:left w:w="28" w:type="dxa"/>
          <w:bottom w:w="28" w:type="dxa"/>
          <w:right w:w="28" w:type="dxa"/>
        </w:tblCellMar>
      </w:tblPr>
      <w:tblGrid>
        <w:gridCol w:w="1399"/>
        <w:gridCol w:w="1233"/>
        <w:gridCol w:w="1237"/>
        <w:gridCol w:w="196"/>
        <w:gridCol w:w="631"/>
        <w:gridCol w:w="109"/>
        <w:gridCol w:w="109"/>
        <w:gridCol w:w="109"/>
        <w:gridCol w:w="109"/>
        <w:gridCol w:w="196"/>
        <w:gridCol w:w="631"/>
        <w:gridCol w:w="109"/>
        <w:gridCol w:w="109"/>
        <w:gridCol w:w="109"/>
        <w:gridCol w:w="109"/>
        <w:gridCol w:w="154"/>
      </w:tblGrid>
      <w:tr>
        <w:trPr/>
        <w:tc>
          <w:tcPr>
            <w:tcW w:w="1399"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(used) by operating activities</w:t>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82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BFE4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40" w:after="20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0815"/>
                <wp:effectExtent l="0" t="0" r="0" b="0"/>
                <wp:wrapNone/>
                <wp:docPr id="16" name="Frame13"/>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10</w:t>
                      </w:r>
                    </w:p>
                  </w:txbxContent>
                </v:textbox>
              </v:rect>
            </w:pict>
          </mc:Fallback>
        </mc:AlternateConten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several acquisitions, one of which was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(a) 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(b) Non-GAAP adjusted EBITDA represents GAAP net income (loss), adjusted to include income taxes, interest expense, write-off of unamortized debt issuance costs, interest rate swap payments and change in fair value that was 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(c) 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pStyle w:val="TextBody"/>
        <w:spacing w:lineRule="auto" w:line="300" w:before="0" w:after="200"/>
        <w:rPr>
          <w:rFonts w:ascii="Calibri;sans-serif" w:hAnsi="Calibri;sans-serif"/>
          <w:b w:val="false"/>
          <w:i/>
          <w:color w:val="000000"/>
          <w:sz w:val="18"/>
        </w:rPr>
      </w:pPr>
      <w:r>
        <w:rPr>
          <w:rFonts w:ascii="Calibri;sans-serif" w:hAnsi="Calibri;sans-serif"/>
          <w:b w:val="false"/>
          <w:i/>
          <w:color w:val="000000"/>
          <w:sz w:val="18"/>
        </w:rPr>
        <w:t xml:space="preserve">(d) 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 </w:t>
      </w:r>
      <w:r>
        <w:br w:type="page"/>
      </w:r>
    </w:p>
    <w:p>
      <w:pPr>
        <w:pStyle w:val="TextBody"/>
        <w:spacing w:before="0" w:after="283"/>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0815"/>
                <wp:effectExtent l="0" t="0" r="0" b="0"/>
                <wp:wrapNone/>
                <wp:docPr id="17" name="Frame14"/>
                <a:graphic xmlns:a="http://schemas.openxmlformats.org/drawingml/2006/main">
                  <a:graphicData uri="http://schemas.microsoft.com/office/word/2010/wordprocessingShape">
                    <wps:wsp>
                      <wps:cNvSpPr txBox="1"/>
                      <wps:spPr>
                        <a:xfrm>
                          <a:off x="0" y="0"/>
                          <a:ext cx="6480175" cy="170815"/>
                        </a:xfrm>
                        <a:prstGeom prst="rect"/>
                      </wps:spPr>
                      <wps:txb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0" w:before="0" w:after="200"/>
                        <w:jc w:val="right"/>
                        <w:rPr>
                          <w:rFonts w:ascii="Calibri;sans-serif" w:hAnsi="Calibri;sans-serif"/>
                          <w:b w:val="false"/>
                          <w:color w:val="000000"/>
                          <w:sz w:val="22"/>
                        </w:rPr>
                      </w:pPr>
                      <w:r>
                        <w:rPr>
                          <w:rFonts w:ascii="Calibri;sans-serif" w:hAnsi="Calibri;sans-serif"/>
                          <w:b w:val="false"/>
                          <w:color w:val="000000"/>
                          <w:sz w:val="22"/>
                        </w:rPr>
                        <w:t>11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4416</Words>
  <CharactersWithSpaces>29075</CharactersWithSpaces>
  <Paragraphs>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