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30" w:right="2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00" w:space="720"/>
            <w:col w:w="1680" w:space="720"/>
            <w:col w:w="18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60"/>
            <w:col w:w="5980" w:space="720"/>
            <w:col w:w="1980" w:space="420"/>
            <w:col w:w="18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60"/>
            <w:col w:w="280" w:space="80"/>
            <w:col w:w="1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2016, there were 27,239,637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vMerge w:val="restart"/>
          </w:tcPr>
          <w:p>
            <w:pPr>
              <w:spacing w:after="0"/>
              <w:rPr>
                <w:sz w:val="14"/>
                <w:szCs w:val="14"/>
                <w:color w:val="auto"/>
              </w:rPr>
            </w:pPr>
          </w:p>
        </w:tc>
        <w:tc>
          <w:tcPr>
            <w:tcW w:w="2260" w:type="dxa"/>
            <w:vAlign w:val="bottom"/>
            <w:gridSpan w:val="7"/>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160" w:type="dxa"/>
            <w:vAlign w:val="bottom"/>
            <w:gridSpan w:val="6"/>
            <w:vMerge w:val="restart"/>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Page No.</w:t>
            </w:r>
          </w:p>
        </w:tc>
        <w:tc>
          <w:tcPr>
            <w:tcW w:w="0" w:type="dxa"/>
            <w:vAlign w:val="bottom"/>
          </w:tcPr>
          <w:p>
            <w:pPr>
              <w:spacing w:after="0"/>
              <w:rPr>
                <w:sz w:val="1"/>
                <w:szCs w:val="1"/>
                <w:color w:val="auto"/>
              </w:rPr>
            </w:pPr>
          </w:p>
        </w:tc>
      </w:tr>
      <w:tr>
        <w:trPr>
          <w:trHeight w:val="161"/>
        </w:trPr>
        <w:tc>
          <w:tcPr>
            <w:tcW w:w="360" w:type="dxa"/>
            <w:vAlign w:val="bottom"/>
            <w:vMerge w:val="continue"/>
          </w:tcPr>
          <w:p>
            <w:pPr>
              <w:spacing w:after="0"/>
              <w:rPr>
                <w:sz w:val="13"/>
                <w:szCs w:val="13"/>
                <w:color w:val="auto"/>
              </w:rPr>
            </w:pPr>
          </w:p>
        </w:tc>
        <w:tc>
          <w:tcPr>
            <w:tcW w:w="2260" w:type="dxa"/>
            <w:vAlign w:val="bottom"/>
            <w:tcBorders>
              <w:bottom w:val="single" w:sz="8" w:color="0000EE"/>
            </w:tcBorders>
            <w:gridSpan w:val="7"/>
            <w:vMerge w:val="continue"/>
          </w:tcPr>
          <w:p>
            <w:pPr>
              <w:spacing w:after="0"/>
              <w:rPr>
                <w:sz w:val="13"/>
                <w:szCs w:val="13"/>
                <w:color w:val="auto"/>
              </w:rPr>
            </w:pPr>
          </w:p>
        </w:tc>
        <w:tc>
          <w:tcPr>
            <w:tcW w:w="8160" w:type="dxa"/>
            <w:vAlign w:val="bottom"/>
            <w:gridSpan w:val="6"/>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Controls and Procedures</w:t>
              </w:r>
            </w:hyperlink>
          </w:p>
        </w:tc>
        <w:tc>
          <w:tcPr>
            <w:tcW w:w="790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08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26">
              <w:r>
                <w:rPr>
                  <w:rFonts w:ascii="Arial" w:cs="Arial" w:eastAsia="Arial" w:hAnsi="Arial"/>
                  <w:sz w:val="18"/>
                  <w:szCs w:val="18"/>
                  <w:b w:val="1"/>
                  <w:bCs w:val="1"/>
                  <w:color w:val="0000EE"/>
                  <w:w w:val="97"/>
                </w:rPr>
                <w:t>Part II. Other Information</w:t>
              </w:r>
            </w:hyperlink>
          </w:p>
        </w:tc>
        <w:tc>
          <w:tcPr>
            <w:tcW w:w="834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Legal Proceedings</w:t>
              </w:r>
            </w:hyperlink>
          </w:p>
        </w:tc>
        <w:tc>
          <w:tcPr>
            <w:tcW w:w="834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60" w:type="dxa"/>
            <w:vAlign w:val="bottom"/>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32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24"/>
                <w:szCs w:val="24"/>
                <w:color w:val="auto"/>
              </w:rPr>
            </w:pPr>
          </w:p>
        </w:tc>
        <w:tc>
          <w:tcPr>
            <w:tcW w:w="736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Other Information</w:t>
              </w:r>
            </w:hyperlink>
          </w:p>
        </w:tc>
        <w:tc>
          <w:tcPr>
            <w:tcW w:w="83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8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42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440" w:type="dxa"/>
            <w:vAlign w:val="bottom"/>
            <w:gridSpan w:val="11"/>
          </w:tcPr>
          <w:p>
            <w:pPr>
              <w:jc w:val="right"/>
              <w:ind w:right="1800"/>
              <w:spacing w:after="0"/>
              <w:rPr>
                <w:sz w:val="20"/>
                <w:szCs w:val="20"/>
                <w:color w:val="auto"/>
              </w:rPr>
            </w:pPr>
            <w:r>
              <w:rPr>
                <w:rFonts w:ascii="Arial" w:cs="Arial" w:eastAsia="Arial" w:hAnsi="Arial"/>
                <w:sz w:val="18"/>
                <w:szCs w:val="18"/>
                <w:color w:val="auto"/>
              </w:rPr>
              <w:t>2</w:t>
            </w:r>
          </w:p>
        </w:tc>
        <w:tc>
          <w:tcPr>
            <w:tcW w:w="3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758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7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204,961</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154,824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631,459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483,425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152,538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120,195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469,086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324"/>
        </w:trPr>
        <w:tc>
          <w:tcPr>
            <w:tcW w:w="75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16,337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4,584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48,924</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Derivative payments on interest rate swap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Income (loss) before provision (benefit) for income taxes and 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Provision (benefit) expense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interest rate swap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4,211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ind w:left="700"/>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Cash dividends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6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00" w:type="dxa"/>
            <w:vAlign w:val="bottom"/>
            <w:gridSpan w:val="2"/>
            <w:vMerge w:val="continue"/>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38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147,427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119,836</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deferred tax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295,489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325,969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318,968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448,254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261,953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38,925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38,462</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23"/>
        </w:trPr>
        <w:tc>
          <w:tcPr>
            <w:tcW w:w="650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2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1,381,648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1,380,567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69,730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69,101</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Accrued salaries, wages and benefits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26,181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obligation under capital lease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21,275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105,132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117,459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795,692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Accrued post-employment benefits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1,055,305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1,381,648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1,380,567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8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Number</w:t>
            </w: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0"/>
                <w:szCs w:val="10"/>
                <w:color w:val="auto"/>
              </w:rPr>
            </w:pPr>
          </w:p>
        </w:tc>
        <w:tc>
          <w:tcPr>
            <w:tcW w:w="10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other</w:t>
            </w:r>
          </w:p>
        </w:tc>
        <w:tc>
          <w:tcPr>
            <w:tcW w:w="80" w:type="dxa"/>
            <w:vAlign w:val="bottom"/>
          </w:tcPr>
          <w:p>
            <w:pPr>
              <w:spacing w:after="0"/>
              <w:rPr>
                <w:sz w:val="10"/>
                <w:szCs w:val="10"/>
                <w:color w:val="auto"/>
              </w:rPr>
            </w:pPr>
          </w:p>
        </w:tc>
        <w:tc>
          <w:tcPr>
            <w:tcW w:w="5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Non-</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 in</w:t>
            </w:r>
          </w:p>
        </w:tc>
        <w:tc>
          <w:tcPr>
            <w:tcW w:w="900" w:type="dxa"/>
            <w:vAlign w:val="bottom"/>
            <w:gridSpan w:val="2"/>
            <w:vMerge w:val="continue"/>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controlling</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4"/>
                <w:szCs w:val="14"/>
                <w:color w:val="auto"/>
              </w:rPr>
              <w:t>(in thousands of dollars and shares)</w:t>
            </w: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shares</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earnings</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interest</w:t>
            </w:r>
          </w:p>
        </w:tc>
        <w:tc>
          <w:tcPr>
            <w:tcW w:w="3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26,849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$277,582</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$55,151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32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$313,881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4,879</w:t>
            </w:r>
          </w:p>
        </w:tc>
        <w:tc>
          <w:tcPr>
            <w:tcW w:w="18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Stock option expense</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679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242</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2,551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2"/>
        </w:trPr>
        <w:tc>
          <w:tcPr>
            <w:tcW w:w="5040" w:type="dxa"/>
            <w:vAlign w:val="bottom"/>
          </w:tcPr>
          <w:p>
            <w:pPr>
              <w:ind w:left="360"/>
              <w:spacing w:after="0" w:line="201" w:lineRule="exact"/>
              <w:rPr>
                <w:sz w:val="20"/>
                <w:szCs w:val="20"/>
                <w:color w:val="auto"/>
              </w:rPr>
            </w:pPr>
            <w:r>
              <w:rPr>
                <w:rFonts w:ascii="Arial" w:cs="Arial" w:eastAsia="Arial" w:hAnsi="Arial"/>
                <w:sz w:val="18"/>
                <w:szCs w:val="18"/>
                <w:color w:val="auto"/>
              </w:rPr>
              <w:t>Restricted and performance based stock compensation</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540"/>
              <w:spacing w:after="0"/>
              <w:rPr>
                <w:sz w:val="20"/>
                <w:szCs w:val="20"/>
                <w:color w:val="auto"/>
              </w:rPr>
            </w:pPr>
            <w:r>
              <w:rPr>
                <w:rFonts w:ascii="Arial" w:cs="Arial" w:eastAsia="Arial" w:hAnsi="Arial"/>
                <w:sz w:val="18"/>
                <w:szCs w:val="18"/>
                <w:color w:val="auto"/>
              </w:rPr>
              <w:t>expense</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152</w:t>
            </w:r>
          </w:p>
        </w:tc>
        <w:tc>
          <w:tcPr>
            <w:tcW w:w="28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2,880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shares forgiven for taxes and forfeited</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Foreign currency translation gain</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interest rate swap</w:t>
            </w: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Balance, September 30, 2016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27,222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283,533</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54,353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32</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326,343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94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94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Cash flows from</w:t>
            </w: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4,879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47,177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700"/>
              <w:spacing w:after="0"/>
              <w:rPr>
                <w:sz w:val="20"/>
                <w:szCs w:val="20"/>
                <w:color w:val="auto"/>
              </w:rPr>
            </w:pPr>
            <w:r>
              <w:rPr>
                <w:rFonts w:ascii="Arial" w:cs="Arial" w:eastAsia="Arial" w:hAnsi="Arial"/>
                <w:sz w:val="18"/>
                <w:szCs w:val="18"/>
                <w:color w:val="auto"/>
              </w:rPr>
              <w:t>Interest rate swap: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derivative losses (gains),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700"/>
              <w:spacing w:after="0"/>
              <w:rPr>
                <w:sz w:val="20"/>
                <w:szCs w:val="20"/>
                <w:color w:val="auto"/>
              </w:rPr>
            </w:pPr>
            <w:r>
              <w:rPr>
                <w:rFonts w:ascii="Arial" w:cs="Arial" w:eastAsia="Arial" w:hAnsi="Arial"/>
                <w:sz w:val="18"/>
                <w:szCs w:val="18"/>
                <w:color w:val="auto"/>
              </w:rPr>
              <w:t>Write-off of unamortized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Joint venture net income in excess of cash received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70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Non-cash restructuring and impairment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(24,422)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10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1060"/>
              <w:spacing w:after="0"/>
              <w:rPr>
                <w:sz w:val="20"/>
                <w:szCs w:val="20"/>
                <w:color w:val="auto"/>
              </w:rPr>
            </w:pPr>
            <w:r>
              <w:rPr>
                <w:rFonts w:ascii="Arial" w:cs="Arial" w:eastAsia="Arial" w:hAnsi="Arial"/>
                <w:sz w:val="18"/>
                <w:szCs w:val="18"/>
                <w:color w:val="auto"/>
              </w:rPr>
              <w:t>Other assets and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46,132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(32,166)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Proceeds from measurement period adjustments to previous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Cash paid to acquire businesses, net of cash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contributions to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(30,165)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Debt issue costs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Proceeds from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39,000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(39,562)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Repayments of short-term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shares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(14,944)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15,087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14,788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and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a diversified industrial company and a leading global manufacturer of high precision bearing components, industrial plastic products and precision metal components to a variety of markets on a global basis. We have 41 manufacturing plants in North America, Western Europe, Eastern Europe, South America and China. Our business is aggregated into three reportable segments, the Precision Bearing Components Group (formerly known as our Metal Bearing Components Group), the Precision Engineered Products Group (formerly known as our Plastics and Rubber Components Group) and the Autocam Precision Components Group. As used in this Quarterly Report on Form 10-Q, the terms “NN”, “the Company”, “we”, “our”, or “us” mean NN, Inc. and its subsidiaries.</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Condensed Consolidated Balance Sheet at December 31, 2015 was derived from our audited consolidated financial statements included in our Annual Report on Form 10-K for the year ended December 31, 2015 (the “2015 Annual Report”), which was filed with the U.S. Securities and Exchange Commission, or the SEC, on March 15, 2016. In our opinion, these Condensed Consolidated Financial Statements reflect all adjustments necessary to fairly state the results of operations for the three and nine month periods ended September 30, 2016 and 2015, our financial position at September 30, 2016 and December 31, 2015, and the cash flows for the nine month periods ended September 30, 2016 and 2015 on a basis consistent with our audited consolidated financial statements. These adjustments are of a normal recurring nature and are, in the opinion of management, necessary to present fairly our financial position and operating results for the interim periods.</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Included in the Selling, general and administrative expense line item in the Condensed Consolidated Statement of Net Income during the nine months ended September 30, 2016 is an out of period adjustment in the amount of $0.4 million, to correct compensation expense recorded with respect to share-based awards previously granted to executives who, either at the time of such grant or during the applicable vesting period, were eligible to retire from the Company, upon which the vesting of all or a portion of these awards would be accelerated.</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Included in the Derivative losses on change in interest rate swap fair value line item in the Condensed Consolidated Statement of Net Income during the three months ended September 30, 2016 is an out of period adjustment in the amount of $0.5 million, related to the second quarter of 2016. The adjustment was recorded to correct other comprehensive income that should have been recorded to earnings in second quarter because the third quarter forecasted hedged transaction was no longer probable of occurring.</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Financial Statements should be read in conjunction with our audited consolidated financial statements and the notes thereto included in our 2015 Annual Report. The results for the nine months ended September 30, 2016 are not necessarily indicative of results for the year ending December 31, 2016 or any other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Newly Adopted Accounting Standards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first quarter of 2016, we adopted the following Accounting Standard Updates (“ASU”), and as necessary, certain reclassifications have been made to conform to the current year presentation:</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adopted ASU No. 2015-03, Interest - Imputation of Interest (Subtopic 835-30): Simplifying the Presentation of Debt Issuance Costs (“ASU 2015-03”), which provides guidance on simplifying the presentation of debt issuance costs on the balance sheet. To simplify presentation of debt issuance costs, the amendments in ASU 2015-03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accordance with ASU 2015-03, we are applying the new guidance on a retrospective basis, wherein the balance sheet of each individual period presented was adjusted to reflect the period-specific effects of applying the new guidance.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adopted ASU No. 2015-11, Inventory (Topic 330) - Simplifying the Measurement of Inventory (“ASU 2015-11”), which simplifies the subsequent measurement of inventories by replacing the lower of cost or market test with a lower of cost and net realizable value test. The subsequent measurement of inventory test, historically three measurements under lower of cost or market, is replaced by lower of cost and net realizable value test. Thus, we will compare the cost of inventory to only one measure, its net realizable value. When evidence exists that the net realizable value of inventory is less than its cost (due to damage, physical deterioration, obsolescence, changes in price levels or other causes), we will recognize the difference as a loss in earnings in the period in which it occurs. In accordance with ASU 2015-11, we are applying the new guidance on a prospective basis.</w:t>
      </w:r>
    </w:p>
    <w:p>
      <w:pPr>
        <w:sectPr>
          <w:pgSz w:w="11900" w:h="16838" w:orient="portrait"/>
          <w:cols w:equalWidth="0" w:num="1">
            <w:col w:w="11400"/>
          </w:cols>
          <w:pgMar w:left="240" w:top="459" w:right="25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adopted ASU No. 2015-16, Business Combinations (Topic 805) - Simplifying the Accounting for Measurement-Period Adjustments (“ASU 2015-16”), which eliminates the requirement that an acquirer in a business combination account for measurement-period adjustments retrospectively. Instead, we will recognize a measurement-period adjustment during the period in which we determine the amount of the adjustment, including the effect on earnings of any amounts we would have recorded in previous periods if the accounting had been completed at the acquisition date. In accordance with ASU 2015-16, we are applying the new guidance on a prospective basis to adjustments to provisional amounts that occur after December 31, 2015. That is, ASU 2015-16 applies to open measurement periods, regardless of the acquisition date.</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adopted ASU No. 2015-17, Income Taxes (Topic 740), Balance Sheet Classification of Deferred Taxes (“ASU 2015-17”). We will classify all deferred tax assets and liabilities as noncurrent on the balance sheet instead of separating deferred taxes into current and noncurrent amounts. In addition, we will no longer allocate valuation allowances between current and noncurrent deferred tax assets because those allowances also will be classified as noncurrent. We have elected to apply ASU 2015-17 on a prospective basis. Therefore, the prior periods were not retroactively adjusted.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New Accounting Standards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2014, the Financial Accounting Standards Board (FASB) and International Accounting Standards Board (IASB) issued the joint revenue recognition standard. Since its release, there have been multiple proposed and finalized amendments made to the revenue recognition standard. The revenue recognition standard is effective for public companies beginning January 1, 2018 with full retrospective or modified retrospective adoption permitted. This standard will change current revenue practices, processes, systems, controls, and disclosures and take time and resources to adopt. Factors that will affect pre and post-implementation include, but are not limited to, identifying all the contracts that exist and whether incidental obligations or marketing incentives included in those contracts are performance obligations. The revenue recognition standard will impact the timing of when revenue received under these performance obligations is recognized.</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February 25, 2016, the FASB issued ASU 2016-02, Leases (“ASU 2016-02”). ASU 2016-02 creates Topic 842, Leases, in the FASB Accounting Standards Codification (“FASB ASC”) and supersedes FASB ASC 840, Leases. Entities that hold numerous equipment and real estate leases, in particular those with numerous operating leases, will be most affected by the new guidance. The leasing accounting standard is effective for public companies 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 We are currently evaluating the impacts of the lease accounting standards on our financial position or results of operations and related disclosures.</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August 27, 2014, the FASB issued ASU 2014-15, Presentation of Financial Statements – Going Concern, (“ASU 2014-15”) which provides guidance on determining when and how to disclose going-concern uncertainties in the financial statements. The new standard requires management to perform interim and annual assessments of an entity’s ability to continue as a going concern within one year of the date the financial statements are issued. An entity must provide certain disclosures if “conditions or events raise substantial doubt about the entity’s ability to continue as a going concern.” ASU 2014-15 applies to all entities and is effective for annual periods ending after December 15, 2016, and interim periods thereafter, with early adoption permitted. We will be adopting ASU 2014-15 beginning December 31, 2016, which will involve adding policies and procedures around our assessments to continue as a going concern.</w:t>
      </w:r>
    </w:p>
    <w:p>
      <w:pPr>
        <w:spacing w:after="0" w:line="16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FASB issued ASU 2016-15, Statement of Cash Flows (Topic 230): Classification of Certain Cash Receipts and Cash Payments (“ASU 2016-15”). ASU 2016-15 provides clarification on how certain cash receipts and cash payments are presented and classified on the statement of cash flows. ASU 2016-15 is effective for annual and interim periods beginning in 2018 and is required to be adopted using a retrospective approach if practicable, with early adoption permitted. The Company does not expect the adoption of ASU 2016-15 to have a material impact on its Consolidated Statement of Cash Flows.</w:t>
      </w:r>
    </w:p>
    <w:p>
      <w:pPr>
        <w:spacing w:after="0" w:line="1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Except for per share data or as otherwise indicated, all dollar amounts presented in the tables in these Notes to the Condensed Consolidated Financial Statements are in thousands.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PEP</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reported in our 2015 Annual Report, we completed the acquisition of Precision Engineered Products Holdings, Inc. (“PEP”) on October 19, 2015. During the nine months ended September 30, 2016, we finalized all issues related to customary working capital adjustments, fixed assets and income taxes. The changes primarily arose from differences noted during acquisition integration and finalizing return to provision adjustments. As a result, we adjusted the preliminary allocation of the purchase price initially recorded at the PEP acquisition date to reflect these measurement period adjustments.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purchase price allocation for the PEP acquisition:</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As Reported</w:t>
            </w:r>
          </w:p>
        </w:tc>
        <w:tc>
          <w:tcPr>
            <w:tcW w:w="280" w:type="dxa"/>
            <w:vAlign w:val="bottom"/>
          </w:tcPr>
          <w:p>
            <w:pPr>
              <w:spacing w:after="0"/>
              <w:rPr>
                <w:sz w:val="14"/>
                <w:szCs w:val="14"/>
                <w:color w:val="auto"/>
              </w:rPr>
            </w:pP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Subsequent</w:t>
            </w: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Restated</w:t>
            </w:r>
          </w:p>
        </w:tc>
      </w:tr>
      <w:tr>
        <w:trPr>
          <w:trHeight w:val="149"/>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on</w:t>
            </w:r>
          </w:p>
        </w:tc>
        <w:tc>
          <w:tcPr>
            <w:tcW w:w="28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as of</w:t>
            </w:r>
          </w:p>
        </w:tc>
      </w:tr>
      <w:tr>
        <w:trPr>
          <w:trHeight w:val="149"/>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to fair</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Consideration:</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Cash paid</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621,196</w:t>
            </w:r>
          </w:p>
        </w:tc>
        <w:tc>
          <w:tcPr>
            <w:tcW w:w="28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621,196</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Total consideration</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621,196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619,561</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Fair value of assets acquired and liabilities assumed on October 19,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69,331</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69,783</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56,163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55,201</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Intangible assets subject to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240,490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240,490</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364,450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362,645</w:t>
            </w:r>
          </w:p>
        </w:tc>
      </w:tr>
      <w:tr>
        <w:trPr>
          <w:trHeight w:val="27"/>
        </w:trPr>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731,934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729,619</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21,131</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87,578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86,898</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110,738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110,058</w:t>
            </w:r>
          </w:p>
        </w:tc>
      </w:tr>
      <w:tr>
        <w:trPr>
          <w:trHeight w:val="223"/>
        </w:trPr>
        <w:tc>
          <w:tcPr>
            <w:tcW w:w="5780" w:type="dxa"/>
            <w:vAlign w:val="bottom"/>
          </w:tcPr>
          <w:p>
            <w:pPr>
              <w:ind w:left="108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621,196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619,561</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accordance with ASU 2015-16 as noted above in Note 1, we have recognized measurement-period adjustments during the period in which we determine the amount of the adjustment, including the effect on earnings of any amounts we would have recorded in previous periods if the accounting had been completed at the acquisition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54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50,204</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33,857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30,604</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34,115</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39,028</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118,834</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119,836</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Inventories on consignment at customer locations as of September 30, 2016 and December 31, 2015 totaled $4.8 million and $5.1 million, respectively, for both dates.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Inventories are stated at the lower of cost or net realizable value.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660" w:type="dxa"/>
            <w:vAlign w:val="bottom"/>
            <w:gridSpan w:val="6"/>
          </w:tcPr>
          <w:p>
            <w:pPr>
              <w:jc w:val="right"/>
              <w:ind w:right="4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27,159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26,839</w:t>
            </w: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26,973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20,122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27,322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27,167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27,103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both the three and nine month periods ended September 30, 2016, approximately 0.6 million and 0.7 million potentially dilutive stock options, respectively, had the effect of being anti-dilutive and were excluded from the calculation of diluted earnings per share. For both the three and nine month periods ended September 30, 2015, approximately 0.7 million potentially dilutive stock options had the effect of being anti-dilutive and were excluded from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2015 Annual Report. Our business is aggregated into three reportable segments, the Precision Bearing Components Group (formerly known as our Metal Bearing Components Group), the Precision Engineered Products Group (formerly known as our Plastics and Rubber Components Group) and the Autocam Precision Components Group. We account for inter-segment sales and transfers at current market prices. We did not have any significant inter-segment transactions during the three and nine month periods ended September 30,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Autocam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Precision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Bearing</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Precision</w:t>
            </w:r>
          </w:p>
        </w:tc>
        <w:tc>
          <w:tcPr>
            <w:tcW w:w="20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Engineered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Components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September 30, 2016</w:t>
            </w:r>
          </w:p>
        </w:tc>
        <w:tc>
          <w:tcPr>
            <w:tcW w:w="24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58,247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80,492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66,222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18,727</w:t>
            </w:r>
          </w:p>
        </w:tc>
        <w:tc>
          <w:tcPr>
            <w:tcW w:w="0" w:type="dxa"/>
            <w:vAlign w:val="bottom"/>
          </w:tcPr>
          <w:p>
            <w:pPr>
              <w:spacing w:after="0"/>
              <w:rPr>
                <w:sz w:val="1"/>
                <w:szCs w:val="1"/>
                <w:color w:val="auto"/>
              </w:rPr>
            </w:pPr>
          </w:p>
        </w:tc>
      </w:tr>
      <w:tr>
        <w:trPr>
          <w:trHeight w:val="284"/>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Nine Months ended September 30, 2016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247,473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195,837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22,761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26,116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(20,212)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421,946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727,656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 2015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60,545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83,243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6,633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10,894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595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Nine Months ended September 30, 2015</w:t>
            </w:r>
          </w:p>
        </w:tc>
        <w:tc>
          <w:tcPr>
            <w:tcW w:w="25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203,041</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252,336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28,048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27,707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209,120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431,478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28,808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50,070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719,476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September 30, 2016 and December 31, 2015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58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Borrowings under our $545.0 million Senior Secured Term Loan B bearing</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interest at the greater of 0.75% or 1 month LIBOR (0.53% at September 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2016) plus an applicable margin of 4.25% at September 30, 2016, expiring</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October 19, 2022, net of debt issuance costs of $21.1 million at September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2016 and $20.6 million at December 31, 2015.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525,203</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940" w:type="dxa"/>
            <w:vAlign w:val="bottom"/>
            <w:gridSpan w:val="2"/>
          </w:tcPr>
          <w:p>
            <w:pPr>
              <w:spacing w:after="0"/>
              <w:rPr>
                <w:sz w:val="20"/>
                <w:szCs w:val="20"/>
                <w:color w:val="auto"/>
              </w:rPr>
            </w:pPr>
            <w:r>
              <w:rPr>
                <w:rFonts w:ascii="Arial" w:cs="Arial" w:eastAsia="Arial" w:hAnsi="Arial"/>
                <w:sz w:val="18"/>
                <w:szCs w:val="18"/>
                <w:color w:val="auto"/>
              </w:rPr>
              <w:t>Borrowings under our $133.0 million Senior Secured Revolver bearing</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w w:val="95"/>
              </w:rPr>
              <w:t>interest at LIBOR (0.53% at September 30, 2016) plus an applicable margin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of 3.50% at September 30, 2016, expiring October 19, 2020, net of debt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issuance costs of $2.6 million at September 30, 2016 and $2.9 million at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December 31, 2015.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30,405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Borrowings under our $250.0 million Senior Notes bearing interest at 10.25%,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maturing on November 1, 2020, net of debt issuance costs of $5.2 million at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2016 and $5.9 million at December 31, 2015.</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244,822</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940" w:type="dxa"/>
            <w:vAlign w:val="bottom"/>
            <w:gridSpan w:val="2"/>
          </w:tcPr>
          <w:p>
            <w:pPr>
              <w:spacing w:after="0"/>
              <w:rPr>
                <w:sz w:val="20"/>
                <w:szCs w:val="20"/>
                <w:color w:val="auto"/>
              </w:rPr>
            </w:pPr>
            <w:r>
              <w:rPr>
                <w:rFonts w:ascii="Arial" w:cs="Arial" w:eastAsia="Arial" w:hAnsi="Arial"/>
                <w:sz w:val="18"/>
                <w:szCs w:val="18"/>
                <w:color w:val="auto"/>
              </w:rPr>
              <w:t>French Safeguard Obligations (Autocam)</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Chinese line of credit (Autocam)</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804,313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Less current maturities of long-term debt</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excluding current maturities of long-term debt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On September 30, 2016, we amended and restated our credit facility, which lowered the interest rate and rate floor on the Company’s Senior Secured Term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 B (the “Term Loan B”). The new applicable rate for the Term Loan B is London Inter Bank Offering Rate (“LIBOR”), subject to a 0.75% rate floor,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4.25%, which in combination is 75 basis points lower (or 0.75%) than the previous rate. There were no changes to the maturities or covenants under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B. Concurrent with the amended and restated Term Loan B, the Senior Secured Revolving Credit Facility (the “Senior Secured Revolver”) was upsized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$100 million to $133 million. Proceeds were drawn under the Senior Secured Revolver to pay down debt under the Term Loan B, reducing the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Term Loan B to $545 million. There were no changes to the Senior Secured Revolver maturities, and the covenant threshold was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million to $39.9 million (30% drawn threshold). The refinancing and debt transactions resulted in lower principal amounts outstanding on the Term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 increased borrowings under the Senior Secured Revolver and a lower effective interest rate for the overall debt holdings.</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conjunction with the amended and restated credit facility, we incurred $3.7 million in debt issuance costs. We wrote off a total of $2.6 million in debt issuance costs related to the modification and extinguishment of debt.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part of the merger with Autocam Corporation (“Autocam”) in 2014, we assumed certain foreign credit facilities. These facilities relate to local borrowings in France, Brazil and China. These facilities are with financial institutions in the countries in which foreign plants operate and are used to fund working capital and equipment purchases in those countries. The following paragraphs describe these foreign credit facilities.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French operation (acquired with Autocam) has liabilities with certain creditors subject to Safeguard protection. The liabilities are being paid annually over a 10-year period until 2019 and carry a zero percent interest rate. Amounts due as of September 30, 2016 to those creditors opting to be paid over a 10-year period totaled $0.5 million, of which $0.1 million is included in current maturities of long-term debt and $0.4 million is included in long-term debt, net of current portion, on the Condensed Consolidated Balance Sheet.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Brazilian equipment notes represent borrowings from certain Brazilian banks to fund equipment purchases for Autocam’s Brazilian plants. These credit facilities have annual interest rates ranging from 2.5% to 9.1%.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Chinese line of credit is a working capital line of credit with a Chinese bank bearing an annual interest rate ranging from 1.35% to 4.88%.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in Note 1, we have adopted ASU 2015-03, which provides guidance on simplifying the presentation of debt issuance costs on the balance sheet. To simplify presentation of debt issuance costs, the amendments in ASU 2015-03 require that debt issuance costs related to a recognized debt liability be presented in the balance sheet as a direct deduction from the carrying amount of that debt liability, consistent with debt discounts. The following table displays the debt amounts reported as of December 31, 2015, restated for the adoption of ASU 2015-03. The debt issuance costs were reclassified from other non-current assets and directly applied to the associated liability.</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4"/>
              </w:rPr>
              <w:t>Reported</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ASU 2015-13</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Restated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3"/>
            <w:vMerge w:val="continue"/>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Reclass</w:t>
            </w:r>
          </w:p>
        </w:tc>
        <w:tc>
          <w:tcPr>
            <w:tcW w:w="14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under our $575.0* million Senior Secured Term Loan B</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562,580</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Borrowings under our $100.0** million Senior Secured Revolver</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6,462</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(2,915)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our $250.0 million Senior Notes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244,509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244,088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French Safeguard Obligations (Autocam)</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Chinese line of credit (Autocam)</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3,696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820,073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807,114</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11,714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808,359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500" w:firstLine="8"/>
        <w:spacing w:after="0" w:line="342" w:lineRule="auto"/>
        <w:tabs>
          <w:tab w:leader="none" w:pos="446" w:val="left"/>
        </w:tabs>
        <w:numPr>
          <w:ilvl w:val="0"/>
          <w:numId w:val="3"/>
        </w:numPr>
        <w:rPr>
          <w:rFonts w:ascii="Arial" w:cs="Arial" w:eastAsia="Arial" w:hAnsi="Arial"/>
          <w:sz w:val="16"/>
          <w:szCs w:val="16"/>
          <w:color w:val="auto"/>
        </w:rPr>
      </w:pPr>
      <w:r>
        <w:rPr>
          <w:rFonts w:ascii="Arial" w:cs="Arial" w:eastAsia="Arial" w:hAnsi="Arial"/>
          <w:sz w:val="16"/>
          <w:szCs w:val="16"/>
          <w:color w:val="auto"/>
        </w:rPr>
        <w:t>Amended from $575 million down to $545 million on September 30, 2016. ** Amended from $100 million up to $133 million on September 30,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nine months ended September 30, 2016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Precision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Autocam</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Precision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Bearing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Components</w:t>
            </w:r>
          </w:p>
        </w:tc>
        <w:tc>
          <w:tcPr>
            <w:tcW w:w="5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Products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Group</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Group</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Group</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73,992</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$ 366,795</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$449,898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Currency impacts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 changes from measurement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Balance as of September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73,992</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$ 364,990</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goodwill balances are tested for impairment on an annual basis during the fourth quarter and more often if a triggering event occurs. As noted in Note 2. Acquisitions, some measurement period adjustments to goodwill were made for the PEP acquisition. As of September 30, 2016, there were no indications of impairment at the reporting units with goodwill balances.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intangible assets, net, for the nine months ended September 30, 2016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Autocam</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Precision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Bearing</w:t>
            </w: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Products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Group</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Group</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46,417</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$ 233,800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$282,169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(2,721)</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(17,488)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(20,365)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Balance as of September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43,821</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$ 216,312</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261,953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Shared-Based Compensation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three and nine months ended September 30, 2016 and 2015, approximately $0.9 million and $3.6 million in 2016 and $1.1 million and $2.9 million in 2015, respectively, of compensation expense was recognized in selling, general and administrative expense for all share-based awards. During the nine months ended September 30, 2016, we granted 152,510 restricted stock awards, 167,000 option awards, and 202,330 performance based awards to non-executive directors, officers and certain other key employees. During the nine months ended September 30, 2015, we granted 114,475 restricted stock awards, 54,600 option awards and 71,550 performance based awards to non-executive directors, officers and certain other key employees.</w:t>
      </w:r>
    </w:p>
    <w:p>
      <w:pPr>
        <w:sectPr>
          <w:pgSz w:w="11900" w:h="16838" w:orient="portrait"/>
          <w:cols w:equalWidth="0" w:num="1">
            <w:col w:w="11380"/>
          </w:cols>
          <w:pgMar w:left="240" w:top="459" w:right="279" w:bottom="1440" w:gutter="0" w:footer="0" w:header="0"/>
        </w:sectPr>
      </w:pP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459" w:right="2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shares of restricted stock granted during the nine months ended September 30, 2016, vest pro-rata over three years for officers and certain other key employees and over one year for non-executive directors. During the three and nine months ended September 30, 2016 and 2015, we incurred $0.4 million and $2.0 million in 2016 and $0.6 million and $1.7 million in 2015, respectively, in expense related to restricted stock. The fair value of the shares issued was determined by using the grant date closing price of our common stock.</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performance share units granted during the nine months ended September 30, 2016 will be satisfied in the form of shares of common stock during 2019 if certain performance and/or market conditions are met. We are recognizing the compensation expense over the three-year period in which the performance and market conditions are measured. During the three and nine months ended September 30, 2016 and 2015, we incurred $0.3 million and $0.9 million in 2016, and $0.3 million and $0.5 million in 2015, respectively, in expense related to performance share units. The fair value of the performance share units issued was determined by using the grant date closing price of our common stock for the units with a performance condition and a Monte Carlo valuation model for the units that have a market condition.</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incurred $0.2 million and $0.7 million in 2016 and $0.2 million and $0.7 million in 2015 of stock option expense in the three and nine months ended September 30, 2016 and 2015, respectively. The weighted average grant date fair value of options granted during the nine months ended September 30, 2016, was $5.02. The fair value of our options cannot be determined by market value, because our options are not traded in an open market. Accordingly, we utilized the Black Scholes financial pricing model to estimate the fair value. The weighted average assumptions relevant to determining the fair value of the 2016 stock option grants are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Stock Option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84"/>
              </w:rPr>
              <w:t>6 years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59.23%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11"/>
          </w:tcPr>
          <w:p>
            <w:pPr>
              <w:spacing w:after="0"/>
              <w:rPr>
                <w:sz w:val="20"/>
                <w:szCs w:val="20"/>
                <w:color w:val="auto"/>
              </w:rPr>
            </w:pPr>
            <w:r>
              <w:rPr>
                <w:rFonts w:ascii="Arial" w:cs="Arial" w:eastAsia="Arial" w:hAnsi="Arial"/>
                <w:sz w:val="18"/>
                <w:szCs w:val="18"/>
                <w:color w:val="auto"/>
                <w:w w:val="96"/>
              </w:rPr>
              <w:t>The following table provides a reconciliation of option activity for the nine months ended September 30, 2016:</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6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Options</w:t>
            </w:r>
          </w:p>
        </w:tc>
        <w:tc>
          <w:tcPr>
            <w:tcW w:w="4700" w:type="dxa"/>
            <w:vAlign w:val="bottom"/>
            <w:gridSpan w:val="2"/>
            <w:vMerge w:val="restart"/>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700" w:type="dxa"/>
            <w:vAlign w:val="bottom"/>
            <w:tcBorders>
              <w:bottom w:val="single" w:sz="8" w:color="CCEEFF"/>
            </w:tcBorders>
            <w:gridSpan w:val="2"/>
            <w:vMerge w:val="continue"/>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Shares (000)</w:t>
            </w:r>
          </w:p>
        </w:tc>
        <w:tc>
          <w:tcPr>
            <w:tcW w:w="360" w:type="dxa"/>
            <w:vAlign w:val="bottom"/>
            <w:tcBorders>
              <w:bottom w:val="single" w:sz="8" w:color="CCEEFF"/>
            </w:tcBorders>
            <w:gridSpan w:val="2"/>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420" w:type="dxa"/>
            <w:vAlign w:val="bottom"/>
            <w:tcBorders>
              <w:bottom w:val="single" w:sz="8" w:color="CCEEFF"/>
            </w:tcBorders>
            <w:gridSpan w:val="2"/>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Intrinsic Value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11.31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17.38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September 30,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6,092(1)</w:t>
            </w:r>
          </w:p>
        </w:tc>
        <w:tc>
          <w:tcPr>
            <w:tcW w:w="0" w:type="dxa"/>
            <w:vAlign w:val="bottom"/>
          </w:tcPr>
          <w:p>
            <w:pPr>
              <w:spacing w:after="0"/>
              <w:rPr>
                <w:sz w:val="1"/>
                <w:szCs w:val="1"/>
                <w:color w:val="auto"/>
              </w:rPr>
            </w:pPr>
          </w:p>
        </w:tc>
      </w:tr>
      <w:tr>
        <w:trPr>
          <w:trHeight w:val="20"/>
        </w:trPr>
        <w:tc>
          <w:tcPr>
            <w:tcW w:w="5660" w:type="dxa"/>
            <w:vAlign w:val="bottom"/>
            <w:gridSpan w:val="4"/>
            <w:vMerge w:val="restart"/>
          </w:tcPr>
          <w:p>
            <w:pPr>
              <w:ind w:left="460"/>
              <w:spacing w:after="0"/>
              <w:rPr>
                <w:sz w:val="20"/>
                <w:szCs w:val="20"/>
                <w:color w:val="auto"/>
              </w:rPr>
            </w:pPr>
            <w:r>
              <w:rPr>
                <w:rFonts w:ascii="Arial" w:cs="Arial" w:eastAsia="Arial" w:hAnsi="Arial"/>
                <w:sz w:val="18"/>
                <w:szCs w:val="18"/>
                <w:color w:val="auto"/>
              </w:rPr>
              <w:t>Exercisable at September 30, 2016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4"/>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11.54</w:t>
            </w:r>
          </w:p>
        </w:tc>
        <w:tc>
          <w:tcPr>
            <w:tcW w:w="6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Provision for Income Taxes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effective income tax rate for the three months ended September 30, 2016 and 2015, was 173% and 19%, respectively. The Company’s effective income tax rate for the nine months ended September 30, 2016 and 2015, was 112% and 21%, respectively. The higher effective income tax rate for the three months and nine months ended September 30, 2016 was driven by an increase in the full year effective income tax rate. The increase in full year effective income tax rate was primarily due to a mix of higher U.S. losses with lower earnings attributed to foreign subsidiaries. The full year effective income tax rate applied to our consolidated year-to-date loss increased from 10% to 112%, resulting in a $6 million decrease in income tax expense in the third quarter. Excluding this increase, the tax rate for the third quarter would have been 15% (versus 173%).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September 30, 2016 for this matter. There was no material change in the status of this matter from December 31, 2015 to September 30, 2016.</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Legal Matters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Investment in Non-Consolidated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part of the Autocam Precision Components Group, we own a 49% investment in a joint venture with an unrelated entity called Wuxi Weifu Autocam Precision Machinery Company, Ltd. (the “JV”), a Chinese company located in Wuxi, China.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3"/>
          </w:tcPr>
          <w:p>
            <w:pPr>
              <w:spacing w:after="0"/>
              <w:rPr>
                <w:sz w:val="20"/>
                <w:szCs w:val="20"/>
                <w:color w:val="auto"/>
              </w:rPr>
            </w:pPr>
            <w:r>
              <w:rPr>
                <w:rFonts w:ascii="Arial" w:cs="Arial" w:eastAsia="Arial" w:hAnsi="Arial"/>
                <w:sz w:val="18"/>
                <w:szCs w:val="18"/>
                <w:color w:val="auto"/>
              </w:rPr>
              <w:t>Below are the components of our JV investment balance at September 30, 2016:</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by joint venture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(375)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38,925</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summarizes balance sheet information for the JV:</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4"/>
                <w:szCs w:val="24"/>
                <w:color w:val="auto"/>
              </w:rPr>
            </w:pPr>
          </w:p>
        </w:tc>
        <w:tc>
          <w:tcPr>
            <w:tcW w:w="116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32,425</w:t>
            </w:r>
          </w:p>
        </w:tc>
        <w:tc>
          <w:tcPr>
            <w:tcW w:w="7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22,875</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55,300</w:t>
            </w: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ind w:left="138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16,540</w:t>
            </w:r>
          </w:p>
        </w:tc>
        <w:tc>
          <w:tcPr>
            <w:tcW w:w="72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Dividends of $3.7 million were declared and paid by the JV during the three months ended September 30, 2016. We had sales to the JV of approximately $0.1 million during the three and nine months ended September 30, 2016. Amounts due to us from the JV were $0.2 million as of September 30,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present fair value measurements and disclosures applicable to both our financial and nonfinancial assets and liabilities that are measured and reported on a fair value basis. Fair value is an exit price representing the expected amount we would receive to sell an asset or pay to transfer a liability in an orderly transaction with market participants at the measurement date. We have followed consistent methods and assumptions to estimate the fair values as more fully described in our 2015 Annual Report.</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At September 30, 2016, the carrying values of all of these financial instruments, except the long-term debt with fixed interest rates, approximated fair value. The fair value of floating-rate debt approximates the carrying amount because the interest rates paid are based on short-term maturities. The fair value of our fixed-rate long-term debt is estimated based on the Bloomberg algorithm, which takes into account similar sized and industry debt (a Level 2 category fair value measurement). As of September 30, 2016, the fair value of our fixed-rate debt was $263.8 million, and $258.6 net of debt issuance costs.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measured at fair value on a recurring basis for our interest rate swap derivative financial instrument:</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3"/>
              </w:rPr>
              <w:t>Fair Value Measurements at September 30, 2016</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720" w:type="dxa"/>
            <w:vAlign w:val="bottom"/>
          </w:tcPr>
          <w:p>
            <w:pPr>
              <w:spacing w:after="0"/>
              <w:rPr>
                <w:sz w:val="10"/>
                <w:szCs w:val="10"/>
                <w:color w:val="auto"/>
              </w:rPr>
            </w:pPr>
          </w:p>
        </w:tc>
        <w:tc>
          <w:tcPr>
            <w:tcW w:w="1900" w:type="dxa"/>
            <w:vAlign w:val="bottom"/>
            <w:gridSpan w:val="3"/>
            <w:vMerge w:val="restart"/>
          </w:tcPr>
          <w:p>
            <w:pPr>
              <w:jc w:val="center"/>
              <w:ind w:right="720"/>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7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for Identical</w:t>
            </w:r>
          </w:p>
        </w:tc>
        <w:tc>
          <w:tcPr>
            <w:tcW w:w="720" w:type="dxa"/>
            <w:vAlign w:val="bottom"/>
          </w:tcPr>
          <w:p>
            <w:pPr>
              <w:spacing w:after="0"/>
              <w:rPr>
                <w:sz w:val="14"/>
                <w:szCs w:val="14"/>
                <w:color w:val="auto"/>
              </w:rPr>
            </w:pPr>
          </w:p>
        </w:tc>
        <w:tc>
          <w:tcPr>
            <w:tcW w:w="19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Observable Inputs</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(Level 2)</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4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 - current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Derivative asset - noncurrent</w:t>
            </w: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 current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Derivative liability - noncurrent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3"/>
              </w:rPr>
              <w:t>Fair Value Measurements at December 31, 2015</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20" w:type="dxa"/>
            <w:vAlign w:val="bottom"/>
          </w:tcPr>
          <w:p>
            <w:pPr>
              <w:spacing w:after="0"/>
              <w:rPr>
                <w:sz w:val="10"/>
                <w:szCs w:val="10"/>
                <w:color w:val="auto"/>
              </w:rPr>
            </w:pPr>
          </w:p>
        </w:tc>
        <w:tc>
          <w:tcPr>
            <w:tcW w:w="1900" w:type="dxa"/>
            <w:vAlign w:val="bottom"/>
            <w:gridSpan w:val="3"/>
            <w:vMerge w:val="restart"/>
          </w:tcPr>
          <w:p>
            <w:pPr>
              <w:jc w:val="center"/>
              <w:ind w:right="720"/>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7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for Identical</w:t>
            </w:r>
          </w:p>
        </w:tc>
        <w:tc>
          <w:tcPr>
            <w:tcW w:w="720" w:type="dxa"/>
            <w:vAlign w:val="bottom"/>
          </w:tcPr>
          <w:p>
            <w:pPr>
              <w:spacing w:after="0"/>
              <w:rPr>
                <w:sz w:val="14"/>
                <w:szCs w:val="14"/>
                <w:color w:val="auto"/>
              </w:rPr>
            </w:pPr>
          </w:p>
        </w:tc>
        <w:tc>
          <w:tcPr>
            <w:tcW w:w="19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Observable Inputs</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(Level 2)</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4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 - current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Derivative asset - noncurrent</w:t>
            </w: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 current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Derivative liability - noncurrent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(1,673)</w:t>
            </w:r>
          </w:p>
        </w:tc>
        <w:tc>
          <w:tcPr>
            <w:tcW w:w="16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$150 million interest rate swap went into effect on December 29, 2015, at which time our interest rate was effectively 6.966%. The objective of the hedge was to eliminate the variability of cash flows in interest payments on the first $150 million of variable interest rate debt (the Term Loan B). The variable rate benchmark was the three month LIBOR rate for both the Term Loan B and the interest rate swap. The changes in cash flows of the interest rate swap were expected to exactly offset the changes in cash flows of the Term Loan B. The hedged risk was the interest rate risk exposure to changes in the interest payments, attributable to changes in the benchmark three-month LIBOR interest rates (subject to a 1.0% LIBOR index floor) from December 29, 2015 through December 31, 2018. As disclosed in Note 6. Long-Term Debt, the LIBOR floor index was lowered to 0.75% on September 30, 2016, and our intent regarding future interest rate resets changed. Three-month LIBOR was above the floor, and it was more economical to use one-month LIBOR. Based upon these facts we chose to discontinue Hodge Accounting. Therefore, we assessed the amounts deferred in accumulated other comprehensive income (“AOCI”) as the forecasted transactions would not be probable that the company would use the three-month LIBOR through the remainder of the derivative duration. As a result, all amounts of AOCI were reclassified to earnings. Prospectively, we will account for the interest rate swap on a mark-to-market basis. The change in reporting will have no impact on our reported cash flows, although future results of operations on a GAAP basis will be affected by the potential volatility of mark-to-market gains and losses which fluctuate with changes in interest rates.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have elected to present the derivative contracts on a gross basis in the Condensed Consolidated Balance Sheet included within other current assets and other non-current assets and other current liabilities and other non-current liabilities. Had we chosen to present the derivative contract on a net basis, we would have a derivative in a net liability position of $3.9 million as of September 30, 2016. We do not have any cash collateral due under such agreements.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September 30, 2016, we reported no gains or losses in AOCI related to the interest rate swaps. In connection with lowering the LIBOR index floor from 1.0% to 0.75% within the $150 million interest rate swap, we received a $0.3 million payment that increased the net liability position on the $150 million interest rate swap. The payment was reported as a reduction to derivative asset (other current assets) on the Condensed Consolidated Balance</w:t>
      </w:r>
    </w:p>
    <w:p>
      <w:pPr>
        <w:ind w:right="20"/>
        <w:spacing w:after="0" w:line="252" w:lineRule="auto"/>
        <w:rPr>
          <w:sz w:val="20"/>
          <w:szCs w:val="20"/>
          <w:color w:val="auto"/>
        </w:rPr>
      </w:pPr>
      <w:r>
        <w:rPr>
          <w:rFonts w:ascii="Arial" w:cs="Arial" w:eastAsia="Arial" w:hAnsi="Arial"/>
          <w:sz w:val="18"/>
          <w:szCs w:val="18"/>
          <w:color w:val="auto"/>
        </w:rPr>
        <w:t>Sheets. Additionally, during the nine months ended September 30, 2016 when the interest rate swap was accounted for in accordance with hedge accounting, the periodic settlements and related reclassification of other comprehensive income was $1.4 million of net hedging losses on the interest rate swap in the interest expense line on the Condensed Consolidated Statements of Net Income. We recognized $0.6 million of interest rate swap settlements for the third quarter of 2016 in the Derivative payments on interest rate swap line on the Condensed Consolidated Statements of Net Income. If there are no changes in the interest rates for the next twelve months, we expect to make $1.9 million in cash payments related to the interest rates swap. See the following “Derivatives’ Hedging Relationships” section of this Note 13 for more information regarding the impact of the interest rate swaps on our Condensed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Relationships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ind w:left="203"/>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Location of gain/(loss)</w:t>
            </w:r>
          </w:p>
        </w:tc>
        <w:tc>
          <w:tcPr>
            <w:tcW w:w="140" w:type="dxa"/>
            <w:vAlign w:val="bottom"/>
          </w:tcPr>
          <w:p>
            <w:pPr>
              <w:spacing w:after="0"/>
              <w:rPr>
                <w:sz w:val="14"/>
                <w:szCs w:val="1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Pre-tax amount of gain/(loss)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center"/>
              <w:ind w:left="203"/>
              <w:spacing w:after="0" w:line="149" w:lineRule="exact"/>
              <w:rPr>
                <w:sz w:val="20"/>
                <w:szCs w:val="20"/>
                <w:color w:val="auto"/>
              </w:rPr>
            </w:pPr>
            <w:r>
              <w:rPr>
                <w:rFonts w:ascii="Arial" w:cs="Arial" w:eastAsia="Arial" w:hAnsi="Arial"/>
                <w:sz w:val="14"/>
                <w:szCs w:val="14"/>
                <w:b w:val="1"/>
                <w:bCs w:val="1"/>
                <w:color w:val="auto"/>
                <w:w w:val="92"/>
              </w:rPr>
              <w:t>recognized in Other</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left="6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Comprehensive Income</w:t>
            </w: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0" w:type="dxa"/>
            <w:vAlign w:val="bottom"/>
          </w:tcPr>
          <w:p>
            <w:pPr>
              <w:spacing w:after="0"/>
              <w:rPr>
                <w:sz w:val="12"/>
                <w:szCs w:val="12"/>
                <w:color w:val="auto"/>
              </w:rPr>
            </w:pPr>
          </w:p>
        </w:tc>
        <w:tc>
          <w:tcPr>
            <w:tcW w:w="1760" w:type="dxa"/>
            <w:vAlign w:val="bottom"/>
            <w:gridSpan w:val="3"/>
          </w:tcPr>
          <w:p>
            <w:pPr>
              <w:jc w:val="center"/>
              <w:ind w:left="43"/>
              <w:spacing w:after="0" w:line="149" w:lineRule="exact"/>
              <w:rPr>
                <w:sz w:val="20"/>
                <w:szCs w:val="20"/>
                <w:color w:val="auto"/>
              </w:rPr>
            </w:pPr>
            <w:r>
              <w:rPr>
                <w:rFonts w:ascii="Arial" w:cs="Arial" w:eastAsia="Arial" w:hAnsi="Arial"/>
                <w:sz w:val="14"/>
                <w:szCs w:val="14"/>
                <w:b w:val="1"/>
                <w:bCs w:val="1"/>
                <w:color w:val="auto"/>
                <w:w w:val="97"/>
              </w:rPr>
              <w:t>AOCI into Net Income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4"/>
                <w:szCs w:val="14"/>
                <w:b w:val="1"/>
                <w:bCs w:val="1"/>
                <w:color w:val="auto"/>
                <w:w w:val="92"/>
              </w:rPr>
              <w:t>(effective portion)</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AOCI into</w:t>
            </w: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3"/>
              <w:spacing w:after="0"/>
              <w:rPr>
                <w:sz w:val="20"/>
                <w:szCs w:val="20"/>
                <w:color w:val="auto"/>
              </w:rPr>
            </w:pPr>
            <w:r>
              <w:rPr>
                <w:rFonts w:ascii="Arial" w:cs="Arial" w:eastAsia="Arial" w:hAnsi="Arial"/>
                <w:sz w:val="14"/>
                <w:szCs w:val="14"/>
                <w:b w:val="1"/>
                <w:bCs w:val="1"/>
                <w:color w:val="auto"/>
                <w:w w:val="92"/>
              </w:rPr>
              <w:t>(effective portion)</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Cash Flow Hedging Relationships</w:t>
            </w:r>
          </w:p>
        </w:tc>
        <w:tc>
          <w:tcPr>
            <w:tcW w:w="8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1"/>
                <w:szCs w:val="11"/>
                <w:color w:val="auto"/>
              </w:rPr>
            </w:pPr>
          </w:p>
        </w:tc>
        <w:tc>
          <w:tcPr>
            <w:tcW w:w="18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2"/>
              </w:rPr>
              <w:t>Net Income (effective</w:t>
            </w:r>
          </w:p>
        </w:tc>
        <w:tc>
          <w:tcPr>
            <w:tcW w:w="8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03"/>
              <w:spacing w:after="0"/>
              <w:rPr>
                <w:sz w:val="20"/>
                <w:szCs w:val="20"/>
                <w:color w:val="auto"/>
              </w:rPr>
            </w:pPr>
            <w:r>
              <w:rPr>
                <w:rFonts w:ascii="Arial" w:cs="Arial" w:eastAsia="Arial" w:hAnsi="Arial"/>
                <w:sz w:val="14"/>
                <w:szCs w:val="14"/>
                <w:b w:val="1"/>
                <w:bCs w:val="1"/>
                <w:color w:val="auto"/>
              </w:rPr>
              <w:t>2016</w:t>
            </w:r>
          </w:p>
        </w:tc>
        <w:tc>
          <w:tcPr>
            <w:tcW w:w="12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portion)</w:t>
            </w:r>
          </w:p>
        </w:tc>
        <w:tc>
          <w:tcPr>
            <w:tcW w:w="140" w:type="dxa"/>
            <w:vAlign w:val="bottom"/>
          </w:tcPr>
          <w:p>
            <w:pPr>
              <w:spacing w:after="0"/>
              <w:rPr>
                <w:sz w:val="14"/>
                <w:szCs w:val="14"/>
                <w:color w:val="auto"/>
              </w:rPr>
            </w:pPr>
          </w:p>
        </w:tc>
        <w:tc>
          <w:tcPr>
            <w:tcW w:w="74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13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starting interest rate swap contract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(3,015</w:t>
            </w:r>
          </w:p>
        </w:tc>
        <w:tc>
          <w:tcPr>
            <w:tcW w:w="46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Interest Expense</w:t>
            </w:r>
          </w:p>
        </w:tc>
        <w:tc>
          <w:tcPr>
            <w:tcW w:w="44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440" w:type="dxa"/>
            <w:vAlign w:val="bottom"/>
            <w:vMerge w:val="continue"/>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(3,015</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44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2016, we did not own derivative instruments that were classified as fair value hedges or trading securities. In addition, as of September 30, 2016, we did not own derivative instruments containing credit risk contingencies.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and Impairment Charges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Severance and restructuring costs totaling $0.7 million and $7.2 million were recognized in the three and nine months ended September 30, 2016, comprised of initiatives impacting each of our segments. Of the amounts presented as restructuring costs for Precision Engineered Products, $0.9 million, relate primarily to integration costs.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Within the Precision Bearing Components Group, restructuring initiatives to optimize operations in the U.S., Italy, the Netherlands, Mexico and at segment headquarters resulted in a charge of $2.4 million, which consisted of severance costs relating to headcount reductions.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Within the Autocam Precision Components Group, certain restructuring programs, including the closure of one facility, the Wheeling Plant, resulted in a charge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severance and restructuring activity related to actions incurred for the three and nine months ended September 30, 2016:</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46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92"/>
              </w:rPr>
              <w:t>Three Months Ended</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2"/>
          </w:tcPr>
          <w:p>
            <w:pPr>
              <w:jc w:val="right"/>
              <w:ind w:right="138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Site closure and other associated cost</w:t>
            </w:r>
          </w:p>
        </w:tc>
        <w:tc>
          <w:tcPr>
            <w:tcW w:w="140" w:type="dxa"/>
            <w:vAlign w:val="bottom"/>
          </w:tcPr>
          <w:p>
            <w:pPr>
              <w:spacing w:after="0"/>
              <w:rPr>
                <w:sz w:val="18"/>
                <w:szCs w:val="18"/>
                <w:color w:val="auto"/>
              </w:rPr>
            </w:pPr>
          </w:p>
        </w:tc>
        <w:tc>
          <w:tcPr>
            <w:tcW w:w="2320" w:type="dxa"/>
            <w:vAlign w:val="bottom"/>
            <w:gridSpan w:val="2"/>
          </w:tcPr>
          <w:p>
            <w:pPr>
              <w:jc w:val="right"/>
              <w:ind w:right="116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Reserve</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Paid in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Balance at</w:t>
            </w:r>
          </w:p>
        </w:tc>
        <w:tc>
          <w:tcPr>
            <w:tcW w:w="6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Charges</w:t>
            </w:r>
          </w:p>
        </w:tc>
        <w:tc>
          <w:tcPr>
            <w:tcW w:w="9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2015</w:t>
            </w:r>
          </w:p>
        </w:tc>
        <w:tc>
          <w:tcPr>
            <w:tcW w:w="6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September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6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$ 4,315</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$(4,145)</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Site closure and other associated cost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1,845</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2,926</w:t>
            </w:r>
          </w:p>
        </w:tc>
        <w:tc>
          <w:tcPr>
            <w:tcW w:w="6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(3,519)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7,241</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(7,664)</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76"/>
              <w:spacing w:after="0"/>
              <w:rPr>
                <w:sz w:val="20"/>
                <w:szCs w:val="20"/>
                <w:color w:val="auto"/>
              </w:rPr>
            </w:pPr>
            <w:r>
              <w:rPr>
                <w:rFonts w:ascii="Arial" w:cs="Arial" w:eastAsia="Arial" w:hAnsi="Arial"/>
                <w:sz w:val="18"/>
                <w:szCs w:val="18"/>
                <w:color w:val="auto"/>
                <w:w w:val="89"/>
              </w:rPr>
              <w:t>16</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347"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Subsequent to September 30, 2016, an additional bank was added to our Senior Secured Revolver, increasing our borrowing capacity from $133 million to $143 million, which also increased our covenant threshold to $42.9 million (30% drawn threshold). Additional debt issuance costs of approximately $0.3 million were incurred related to debt issuance costs.</w:t>
      </w:r>
    </w:p>
    <w:p>
      <w:pPr>
        <w:spacing w:after="0" w:line="326" w:lineRule="exact"/>
        <w:rPr>
          <w:sz w:val="20"/>
          <w:szCs w:val="20"/>
          <w:color w:val="auto"/>
        </w:rPr>
      </w:pPr>
    </w:p>
    <w:p>
      <w:pPr>
        <w:ind w:right="36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us,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additional information concerning such risk factors and cautionary statements, please see the section titled “Item 1A. Risk Factors” in our 2015 Annual Report on Form 10-K for the fiscal year ended December 31, 2015, which we filed with the SEC on March 15, 2016 (the “2015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Influence 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factors that have influenced our nine months ended September 30, 2016 results of operations that we believe are important to provide an understanding of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Acquisitions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year ended December 31, 2015, we completed the acquisition of Caprock Manufacturing, Inc. and Caprock Enclosures, LLC (collectively, “Caprock”) and Precision Engineered Products Holdings, Inc. (“PEP”). We acquired Caprock on May 29, 2015 and PEP on October 19, 2015. Because these acquisitions occurred during various times in 2015, our results of operations for the three and nine months ended September 30, 2015 do not include all, if any, of the operations of both acquisitions.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an effort to enhance the comparability of the current and prior year periods, we have aggregated into “acquisitions” within each financial line item comparison for the three and nine months ended September 30, 2016, the impacts of the acquisitions completed in 2015 that were not included in the comparative prior year period. The remaining changes relate to the legacy NN businesses. For more information about the 2015 acquisitions including background on the acquired companies, the purchase price allocations and pro forma information, as required, please refer to Note 2 of the Notes to Consolidated Financial Statements included in our 2015 Annual Report and Note 2 of the Notes to Condensed Consolidated Financial Statements included in this Quarterly Report on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Devaluation of the Euro and Brazilian Real against the U.S. Dollar</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euro devalued against the U.S. dollar beginning in the latter part of the third quarter of 2014 and accelerated during the fourth quarter of 2014 and into the first quarter of 2015. During the nine months ended September 30, 2016, the exchange rate from euro to U.S. dollar slightly increased by 3%, compared to a 9% decline in value for the same period in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205740</wp:posOffset>
            </wp:positionV>
            <wp:extent cx="5128260" cy="2075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2826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Additionally, the devaluation of the Brazilian real had an impact in comparing Autocam’s sales. During the nine months ended September 30, 2016, the exchange rate from the Brazilian real to the U.S. dollar increased by 19%, compared to a 32% decline in value for the same period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104775</wp:posOffset>
            </wp:positionV>
            <wp:extent cx="5042535" cy="1981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4253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euro and real translation impact, and the translation impact of other currencies, is highlighted below as “foreign exchange effects.”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240" w:top="459" w:right="7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to the Three Months Ended September 30,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7"/>
          </w:tcPr>
          <w:p>
            <w:pPr>
              <w:jc w:val="right"/>
              <w:ind w:right="1300"/>
              <w:spacing w:after="0"/>
              <w:rPr>
                <w:sz w:val="20"/>
                <w:szCs w:val="20"/>
                <w:color w:val="auto"/>
              </w:rPr>
            </w:pPr>
            <w:r>
              <w:rPr>
                <w:rFonts w:ascii="Arial" w:cs="Arial" w:eastAsia="Arial" w:hAnsi="Arial"/>
                <w:sz w:val="14"/>
                <w:szCs w:val="14"/>
                <w:b w:val="1"/>
                <w:bCs w:val="1"/>
                <w:color w:val="auto"/>
                <w:w w:val="92"/>
              </w:rPr>
              <w:t>Consolidated 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w w:val="92"/>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9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204,961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154,824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50,137</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Sale of a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(2,104)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 shown separately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152,538</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120,195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880"/>
              <w:spacing w:after="0"/>
              <w:rPr>
                <w:sz w:val="20"/>
                <w:szCs w:val="20"/>
                <w:color w:val="auto"/>
              </w:rPr>
            </w:pPr>
            <w:r>
              <w:rPr>
                <w:rFonts w:ascii="Arial" w:cs="Arial" w:eastAsia="Arial" w:hAnsi="Arial"/>
                <w:sz w:val="18"/>
                <w:szCs w:val="18"/>
                <w:b w:val="1"/>
                <w:bCs w:val="1"/>
                <w:color w:val="auto"/>
                <w:w w:val="87"/>
              </w:rPr>
              <w:t>32,343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Sale of a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(930)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18,347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11,949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6,398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Infrastructure and staffing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1,782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w w:val="94"/>
              </w:rPr>
              <w:t>(3,948)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14,693</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8,610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6,083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18,727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8,605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16,337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87"/>
              </w:rPr>
              <w:t>11,753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2,589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2,589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3,130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(235)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(loss) before provision (benefit) for income taxes and share of net income from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(3,703)</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4,945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820"/>
              <w:spacing w:after="0"/>
              <w:rPr>
                <w:sz w:val="20"/>
                <w:szCs w:val="20"/>
                <w:color w:val="auto"/>
              </w:rPr>
            </w:pPr>
            <w:r>
              <w:rPr>
                <w:rFonts w:ascii="Arial" w:cs="Arial" w:eastAsia="Arial" w:hAnsi="Arial"/>
                <w:sz w:val="18"/>
                <w:szCs w:val="18"/>
                <w:b w:val="1"/>
                <w:bCs w:val="1"/>
                <w:color w:val="auto"/>
                <w:w w:val="94"/>
              </w:rPr>
              <w:t>(8,648)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3"/>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Provision (benefit) expense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(6,423)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94"/>
              </w:rPr>
              <w:t>(7,359)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1,427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w:t>
            </w:r>
          </w:p>
        </w:tc>
        <w:tc>
          <w:tcPr>
            <w:tcW w:w="960" w:type="dxa"/>
            <w:vAlign w:val="bottom"/>
          </w:tcPr>
          <w:p>
            <w:pPr>
              <w:jc w:val="right"/>
              <w:ind w:right="8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third quarter of 2016 from the third quarter of 2015 due to sales from PEP business that was acquired in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2015. The third quarter of 2016 included the net sales of the PEP acquisition, whereas net sales for the third quarter of 2015 did not included net sales of PEP. Partially offsetting these increases were both the sale of the Delta Rubber plant in November 2015 and the impact of devaluation of the euro and other currency denominated sales, as discussed above. Additionally, we had lower sales prices, changes in product mix, and volumes. These decreases in volume relate to global industrial weakness.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The increase in cost of products sold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of production costs from the acquired PEP business, as discussed above. Partially offsetting these increases was the impact of the devaluation of the euro and other currency denominated costs, as discussed above. Additionally, increases were partially offset by volume and cost savings from production process improvement projects.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2016 was due to the selling, general and administrative costs from the acquired PEP</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Additionally, administrative costs were incurred for infrastructure and staffing costs related to our strategic initiatives.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in 2016 was due to depreciation and amortization from the acquired PEP business. This additional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includes the related step-ups of certain property, plant and equipment to fair value and the addition of intangible assets principally for customer relationships and trade names related to the purchase price allocation of the new acquisitions.</w:t>
      </w:r>
    </w:p>
    <w:p>
      <w:pPr>
        <w:sectPr>
          <w:pgSz w:w="11900" w:h="16838" w:orient="portrait"/>
          <w:cols w:equalWidth="0" w:num="1">
            <w:col w:w="11380"/>
          </w:cols>
          <w:pgMar w:left="240" w:top="459" w:right="279" w:bottom="144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459" w:right="2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$11.8 million due to higher overall debt levels in the third quarter of 2016 and related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primarily related to acquisitions.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w:t>
            </w: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Interest</w:t>
            </w:r>
          </w:p>
        </w:tc>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 debt</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Interest rate swaps settlements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Capital lease interest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interest (1)</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expense</w:t>
            </w:r>
          </w:p>
        </w:tc>
        <w:tc>
          <w:tcPr>
            <w:tcW w:w="1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 issuance costs write-off</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Capitalized interest primarily relates to the equipment construction efforts at the various plants.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980"/>
              <w:spacing w:after="0" w:line="142" w:lineRule="exact"/>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58,247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60,545</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(2,298)</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sales decreased during the third quarter of 2016 from the third quarter of 2015 principally due to lower volumes and changes to product mix. The lower volumes were primarily due to global industrial market weakness and declines in heavy truck demand.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income from operations was consistent with the decrease in net sales.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282"/>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80,492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$83,243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$(2,751)</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(1,506)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8,464</w:t>
            </w:r>
          </w:p>
        </w:tc>
        <w:tc>
          <w:tcPr>
            <w:tcW w:w="1160" w:type="dxa"/>
            <w:vAlign w:val="bottom"/>
            <w:gridSpan w:val="3"/>
            <w:shd w:val="clear" w:color="auto" w:fill="CCEEFF"/>
          </w:tcPr>
          <w:p>
            <w:pPr>
              <w:jc w:val="center"/>
              <w:ind w:left="8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10,894</w:t>
            </w:r>
          </w:p>
        </w:tc>
        <w:tc>
          <w:tcPr>
            <w:tcW w:w="1700" w:type="dxa"/>
            <w:vAlign w:val="bottom"/>
            <w:gridSpan w:val="3"/>
            <w:shd w:val="clear" w:color="auto" w:fill="CCEEFF"/>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net sales in the third quarter of 2016 were due to industrial market weakness and lower demand with those customers.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income from operations was consistent with the decrease in net sales, and due to restructuring charges in 2016 related to our Wheeling plant closure.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2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1020"/>
              <w:spacing w:after="0" w:line="142" w:lineRule="exact"/>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66,222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11,036</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55,186</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Sale of a plant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(435)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net sales and income from operations was due primarily to the acquisition of PEP, offset by the sale of Delta Rubber in the fourth quarter of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to the Nine Months Ended September 30,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w w:val="99"/>
              </w:rPr>
              <w:t>Consolidated 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108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631,459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483,425</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$148,034</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Sale of a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(12,129)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Cost of products sold (exclusive of depreciation and amortization shown separately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469,086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9"/>
              </w:rPr>
              <w:t>378,220</w:t>
            </w:r>
          </w:p>
        </w:tc>
        <w:tc>
          <w:tcPr>
            <w:tcW w:w="1740" w:type="dxa"/>
            <w:vAlign w:val="bottom"/>
            <w:gridSpan w:val="2"/>
            <w:vMerge w:val="restart"/>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90,866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7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Sale of a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(10,600)</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60,651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37,910</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22,741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Infrastructure and staffing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8,406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3,948</w:t>
            </w: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(3,948)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47,177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25,702</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21,475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7,241</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47,304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37,645</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48,924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16,543</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32,381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2,589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(2,188)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2,012</w:t>
            </w:r>
          </w:p>
        </w:tc>
        <w:tc>
          <w:tcPr>
            <w:tcW w:w="17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(4,200)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before provision (benefit) for income taxes and share of net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(5,760)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19,090</w:t>
            </w:r>
          </w:p>
        </w:tc>
        <w:tc>
          <w:tcPr>
            <w:tcW w:w="1740" w:type="dxa"/>
            <w:vAlign w:val="bottom"/>
            <w:gridSpan w:val="2"/>
            <w:vMerge w:val="restart"/>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(24,850)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joint venture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7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Provision (benefit) expense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(6,469)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4,009</w:t>
            </w:r>
          </w:p>
        </w:tc>
        <w:tc>
          <w:tcPr>
            <w:tcW w:w="17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(10,478)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2,503</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1,667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17,584</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(12,705</w:t>
            </w:r>
          </w:p>
        </w:tc>
        <w:tc>
          <w:tcPr>
            <w:tcW w:w="1060" w:type="dxa"/>
            <w:vAlign w:val="bottom"/>
          </w:tcPr>
          <w:p>
            <w:pPr>
              <w:jc w:val="right"/>
              <w:ind w:right="9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2016 compared to 2015 due to sales from the companies acquired in 2015. Partially offsetting these increases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devaluation of the euro and other currency denominated sales, as discussed above. Additionally, we had lower sales prices, changes in product mix, and volumes. These decreases in volume relate to global industrial weakness.</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459" w:right="2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shown separately below). </w:t>
      </w:r>
      <w:r>
        <w:rPr>
          <w:rFonts w:ascii="Arial" w:cs="Arial" w:eastAsia="Arial" w:hAnsi="Arial"/>
          <w:sz w:val="16"/>
          <w:szCs w:val="16"/>
          <w:color w:val="auto"/>
        </w:rPr>
        <w:t>The increase in cost of products sold was primarily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of production costs from the companies acquired 2015, as discussed above. Partially offsetting these increases was the impact of the devaluation of the euro and other currency denominated costs, as discussed above. Additionally, we benefited from production process improvement projects.</w:t>
      </w:r>
    </w:p>
    <w:p>
      <w:pPr>
        <w:spacing w:after="0" w:line="14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The majority of the increase during 2016 was due to the selling, general and administrative costs from the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in 2015. Additional administrative costs were incurred related to our strategic growth initiatives, including staffing and related costs.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in 2016 was due to depreciation and amortization from the acquisitions in 2015. This additional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$32.4 million due to higher overall debt levels in 2016 and related amortization of debt issuance costs,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acquisitions.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Interest</w:t>
            </w:r>
          </w:p>
        </w:tc>
        <w:tc>
          <w:tcPr>
            <w:tcW w:w="3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 debt</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Interest rate swaps settlements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Capital lease interest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interest (1)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Total interest expense</w:t>
            </w:r>
          </w:p>
        </w:tc>
        <w:tc>
          <w:tcPr>
            <w:tcW w:w="1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 issuance costs write-off</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Capitalized interest primarily relates to the equipment construction efforts at the various plants.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1040"/>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188,149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203,041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(14,892)</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(5,002)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18,639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decreased during 2016 compared to 2015 principally due to lower volumes and changes to product mix. Additionally, the devaluation of the euro on euro denominated sales, as discussed above, contributed to the lower net sales. The lower volumes were primarily due to global industrial market weakness and declines in heavy truck demand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income from operations was consistent with the decrease in net sales and also resulted from additional restructuring charges of $2.3 million in 2016 related to personnel reductions.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4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980"/>
              <w:spacing w:after="0" w:line="142" w:lineRule="exact"/>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247,473</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252,336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$(4,863)</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(4,520)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27,707</w:t>
            </w:r>
          </w:p>
        </w:tc>
        <w:tc>
          <w:tcPr>
            <w:tcW w:w="1700" w:type="dxa"/>
            <w:vAlign w:val="bottom"/>
            <w:gridSpan w:val="3"/>
            <w:shd w:val="clear" w:color="auto" w:fill="CCEEFF"/>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sales decreased during 2016 compared to 2015 due to the depreciation of the Brazilian real denominated sales versus the U.S. dollar denominated sales and continued economic weakness in Brazil. The volume increases during 2016 were partially offset by lower prices and product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decreased primarily due to restructuring charges of $3.9 million in 2016 related to our Wheeling plant closure.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116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195,837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28,048</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167,789</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Sale of a plant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(6,878)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i w:val="1"/>
                <w:iCs w:val="1"/>
                <w:color w:val="auto"/>
              </w:rPr>
              <w:t>Other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491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24,807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net sales and income from operations was due primarily to the acquisition of PEP, offset by the sale of Delta Rubber in the fourth quarter of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2015 to September 30, 2016.</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December 31, 2015 to September 30, 2016, total assets increased by $1.1 million, and current assets increased by $15.3 million. The asset balance during 2016 was driven by a seasonal increase in accounts receivable, offset by amortization expense of intangibles. Despite the increase in net sales, we held inventory levels relatively flat with days inventory outstanding decreasing approximately 3 days.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From December 31, 2015 to September 30, 2016, total liabilities decreased by $11.4 million. The majority of the decrease was due to the $12.9 million decrease in deferred tax liabilities, and $2.8 million decrease in debt.</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$159.1 million at September 30, 2016, compared to $146.8 million at December 31, 2015. The increase in working capital was due primarily to the increase in accounts receivable, as discussed above.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Cash provided by operations was $46.1 million in 2016 compared with cash provided by operations of $13.3 million in 2015. The difference was due to increased earnings, net of noncash activity.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used by investing activities was $30.2 million in 2016 compared with cash used by investing activities of $34.0 million in 2015. The primary difference was capital spending related to an increased basis of plants to support and maintain.</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Cash used in financing activities was $14.9 million in 2016 compared with cash provided by financing activities of $23.7 million in 2015. The difference driver in 2016 was primarily related to repayment of debt, while in 2015 proceeds from an equity offering were offset by repayment of debt.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outstanding under our Senior Secured Term Loan B credit facility, Senior Notes, and our Senior Secured Revolver credit facility as of September 30, 2016, were $828.0 million (without regard to debt issuance costs). As of September 30, 2016, we could borrow up to $98.2 million under our Senior Secured Revolver facility subject to certain limitations. The $98.2 million of availability is net of $1.8 million of outstanding letters of credit at September 30, 2016, which are considered as usage of the Senior Secured Revolver facility.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Senior Secured Term Loan B facility requires us to pay quarterly 0.25% (or $1.4 million) of the initial principal amount through September 30, 2022 with the remaining principal amount due on the maturity date. Additionally, as long as LIBOR stays below 0.75%, we will be paying 5.00% per annum in interest. If the LIBOR exceeds 0.75%, then the rate will be the variable LIBOR rate plus an applicable margin of 4.25%. Based on the outstanding balance at September 30, 2016, the annual interest payments would have been $27.3 million.</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Senior Notes require us to pay annual interest of 10.25% payable semi-annually in arrears on May 1 and November 1 of each year. Based on the outstanding balance at September 30, 2016, the annual interest payments would have been $25.6 million.</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Senior Secured Revolver facility requires us to pay interest rate of LIBOR plus an applicable margin of 3.50%. Based on the outstanding balance at September 30, 2016, the annual interest payments would have been $1.3 million.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that funds generated from our consolidated operations will provide sufficient cash flow to service these required debt and interest payments under these facilities.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Precision Bearing Components Group’s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sales and receivables can be influenced by seasonality due to our relative percentage of European business coupled with many foreign customers slowing production during the month of August.</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September 30, 2016, no currency hedges were in place. In addition, a strengthening of the U.S. dollar and/or euro against foreign currencies could impair our ability to compete with international competitors for foreign as well as domestic sales.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next twelve months, we expect capital expenditures to remain relatively consistent, the majority of which relate to new or expanded business. We believe that funds generated from operations and borrowings from the credit facilities will be sufficient to finance our capital expenditures and working capital needs through this period. We base this assertion on our current availability for borrowing of up to $98.2 million and our forecasted positive cash flow from operations for the next twelve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Historically, our net sales in the Precision Bearing Components Group have been of a seasonal nature as a substantial portion of our sales are to European customers who have significantly slower production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2015 Annual Report, including those policies as discussed in Note 1 to the Notes to Consolidated Financial Statements included in our 2015 Annual Report. There have been no changes to these policies during the nine months ended September 30, 2016, except as discussed in Note 1 to the Notes to Condensed Consolidated Financial Statements included in this Quarterly Report on Form 10-Q.</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use of certain financial instruments as well as transacting business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September 30, 2016, we had $33 million outstanding under our variable rate revolving credit facilities, without regard to debt issuance costs. See Note 6 of the Notes to Condensed Consolidated Financial Statements in this Quarterly Report on Form 10-Q. At September 30, 2016, a one-percent increase in the interest rate charged on our outstanding variable rate borrowings under our Senior Secured Revolver would result in interest expense increasing annually by approximately $0.3 million.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September 30, 2016, we had $545 million outstanding under our variable rate Senior Secured Term Loan B, without regard to debt issuance costs. See Note 6 of the Notes to Condensed Consolidated Financial Statements in this Quarterly Report on Form 10-Q. At September 30, 2016, a one-percent increase in the interest rate charged on this outstanding variable rate borrowings under the Senior Secured Term Loan B would result in interest expense increasing annually by approximately $4.3 million.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policy is to manage interest expense using a mix of fixed and variable rate debt. As such, we entered into a $150.0 million interest rate swap that went into effect on December 29, 2015, which was amended and restated on September 30, 2016 to change the LIBOR indexed floor from 1.0% to 0.75%, and fix our interest rate at 6.466% for a portion of our Senior Secured Term Loan B. The nature and amount of our borrowings may vary as a result of future business requirements, market conditions and other factors.</w:t>
      </w:r>
    </w:p>
    <w:p>
      <w:pPr>
        <w:spacing w:after="0" w:line="18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Our Precision Bearing Components Group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hold a position in any foreign currency hedging instruments as of September 30, 2016.</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Principal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Principal Financial Officer by others within our organization. Based upon that evaluation, our Chief Executive Officer and Principal Financial Officer concluded that our disclosure controls and procedures are effective as of September 30, 2016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Principal Financial Officer, as appropriate, to allow for timely decisions regarding required disclosure.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fiscal quarter ended September 30, 2016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September 30, 2016 for this matter. There was no material change in the status of this matter from December 31, 2015 to September 30, 2016.</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Legal Matters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risk factors are disclosed in our 2015 Annual Report under Item 1A. “Risk Factors” and in Part II, Item 1A of our Quarterly Report on Form 10-Q for the three months ended June 30, 2016. There have been no material changes to these risk factors.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4640" w:type="dxa"/>
            <w:vAlign w:val="bottom"/>
            <w:gridSpan w:val="4"/>
          </w:tcPr>
          <w:p>
            <w:pPr>
              <w:jc w:val="right"/>
              <w:spacing w:after="0"/>
              <w:rPr>
                <w:sz w:val="20"/>
                <w:szCs w:val="20"/>
                <w:color w:val="auto"/>
              </w:rPr>
            </w:pPr>
            <w:r>
              <w:rPr>
                <w:rFonts w:ascii="Arial" w:cs="Arial" w:eastAsia="Arial" w:hAnsi="Arial"/>
                <w:sz w:val="18"/>
                <w:szCs w:val="18"/>
                <w:b w:val="1"/>
                <w:bCs w:val="1"/>
                <w:color w:val="auto"/>
                <w:w w:val="87"/>
              </w:rPr>
              <w:t>Unregistered Sales of Equity Securities and Use of Proceeds</w:t>
            </w: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7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Number of Shares</w:t>
            </w:r>
          </w:p>
        </w:tc>
        <w:tc>
          <w:tcPr>
            <w:tcW w:w="740" w:type="dxa"/>
            <w:vAlign w:val="bottom"/>
          </w:tcPr>
          <w:p>
            <w:pPr>
              <w:spacing w:after="0"/>
              <w:rPr>
                <w:sz w:val="12"/>
                <w:szCs w:val="12"/>
                <w:color w:val="auto"/>
              </w:rPr>
            </w:pPr>
          </w:p>
        </w:tc>
        <w:tc>
          <w:tcPr>
            <w:tcW w:w="216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w w:val="91"/>
              </w:rPr>
              <w:t>Average Price Paid Per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7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9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6"/>
              </w:rPr>
              <w:t>Period</w:t>
            </w:r>
          </w:p>
        </w:tc>
        <w:tc>
          <w:tcPr>
            <w:tcW w:w="19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7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 the Plan or</w:t>
            </w:r>
          </w:p>
        </w:tc>
        <w:tc>
          <w:tcPr>
            <w:tcW w:w="0" w:type="dxa"/>
            <w:vAlign w:val="bottom"/>
          </w:tcPr>
          <w:p>
            <w:pPr>
              <w:spacing w:after="0"/>
              <w:rPr>
                <w:sz w:val="1"/>
                <w:szCs w:val="1"/>
                <w:color w:val="auto"/>
              </w:rPr>
            </w:pPr>
          </w:p>
        </w:tc>
      </w:tr>
      <w:tr>
        <w:trPr>
          <w:trHeight w:val="171"/>
        </w:trPr>
        <w:tc>
          <w:tcPr>
            <w:tcW w:w="900" w:type="dxa"/>
            <w:vAlign w:val="bottom"/>
            <w:gridSpan w:val="3"/>
            <w:vMerge w:val="continue"/>
          </w:tcPr>
          <w:p>
            <w:pPr>
              <w:spacing w:after="0"/>
              <w:rPr>
                <w:sz w:val="14"/>
                <w:szCs w:val="14"/>
                <w:color w:val="auto"/>
              </w:rPr>
            </w:pPr>
          </w:p>
        </w:tc>
        <w:tc>
          <w:tcPr>
            <w:tcW w:w="1980" w:type="dxa"/>
            <w:vAlign w:val="bottom"/>
          </w:tcPr>
          <w:p>
            <w:pPr>
              <w:spacing w:after="0"/>
              <w:rPr>
                <w:sz w:val="14"/>
                <w:szCs w:val="14"/>
                <w:color w:val="auto"/>
              </w:rPr>
            </w:pPr>
          </w:p>
        </w:tc>
        <w:tc>
          <w:tcPr>
            <w:tcW w:w="1460" w:type="dxa"/>
            <w:vAlign w:val="bottom"/>
          </w:tcPr>
          <w:p>
            <w:pPr>
              <w:jc w:val="right"/>
              <w:ind w:right="256"/>
              <w:spacing w:after="0"/>
              <w:rPr>
                <w:sz w:val="20"/>
                <w:szCs w:val="20"/>
                <w:color w:val="auto"/>
              </w:rPr>
            </w:pPr>
            <w:r>
              <w:rPr>
                <w:rFonts w:ascii="Arial" w:cs="Arial" w:eastAsia="Arial" w:hAnsi="Arial"/>
                <w:sz w:val="14"/>
                <w:szCs w:val="14"/>
                <w:b w:val="1"/>
                <w:bCs w:val="1"/>
                <w:color w:val="auto"/>
              </w:rPr>
              <w:t>Purchased</w:t>
            </w:r>
            <w:r>
              <w:rPr>
                <w:rFonts w:ascii="Arial" w:cs="Arial" w:eastAsia="Arial" w:hAnsi="Arial"/>
                <w:sz w:val="12"/>
                <w:szCs w:val="12"/>
                <w:b w:val="1"/>
                <w:bCs w:val="1"/>
                <w:color w:val="auto"/>
              </w:rPr>
              <w:t>(1)</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Share</w:t>
            </w:r>
          </w:p>
        </w:tc>
        <w:tc>
          <w:tcPr>
            <w:tcW w:w="1480" w:type="dxa"/>
            <w:vAlign w:val="bottom"/>
          </w:tcPr>
          <w:p>
            <w:pPr>
              <w:jc w:val="right"/>
              <w:ind w:right="20"/>
              <w:spacing w:after="0"/>
              <w:rPr>
                <w:sz w:val="20"/>
                <w:szCs w:val="20"/>
                <w:color w:val="auto"/>
              </w:rPr>
            </w:pPr>
            <w:r>
              <w:rPr>
                <w:rFonts w:ascii="Arial" w:cs="Arial" w:eastAsia="Arial" w:hAnsi="Arial"/>
                <w:sz w:val="14"/>
                <w:szCs w:val="14"/>
                <w:b w:val="1"/>
                <w:bCs w:val="1"/>
                <w:color w:val="auto"/>
                <w:w w:val="97"/>
              </w:rPr>
              <w:t>Plans or Programs</w:t>
            </w:r>
            <w:r>
              <w:rPr>
                <w:rFonts w:ascii="Arial" w:cs="Arial" w:eastAsia="Arial" w:hAnsi="Arial"/>
                <w:sz w:val="12"/>
                <w:szCs w:val="12"/>
                <w:b w:val="1"/>
                <w:bCs w:val="1"/>
                <w:color w:val="auto"/>
                <w:w w:val="97"/>
              </w:rPr>
              <w:t>(1)</w:t>
            </w:r>
          </w:p>
        </w:tc>
        <w:tc>
          <w:tcPr>
            <w:tcW w:w="74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w:t>
            </w:r>
          </w:p>
        </w:tc>
        <w:tc>
          <w:tcPr>
            <w:tcW w:w="2000" w:type="dxa"/>
            <w:vAlign w:val="bottom"/>
            <w:tcBorders>
              <w:top w:val="single" w:sz="8" w:color="CCEEFF"/>
            </w:tcBorders>
            <w:gridSpan w:val="2"/>
            <w:shd w:val="clear" w:color="auto" w:fill="CCEEFF"/>
          </w:tcPr>
          <w:p>
            <w:pPr>
              <w:jc w:val="right"/>
              <w:ind w:right="1610"/>
              <w:spacing w:after="0"/>
              <w:rPr>
                <w:sz w:val="20"/>
                <w:szCs w:val="20"/>
                <w:color w:val="auto"/>
              </w:rPr>
            </w:pPr>
            <w:r>
              <w:rPr>
                <w:rFonts w:ascii="Arial" w:cs="Arial" w:eastAsia="Arial" w:hAnsi="Arial"/>
                <w:sz w:val="17"/>
                <w:szCs w:val="17"/>
                <w:color w:val="auto"/>
                <w:w w:val="73"/>
              </w:rPr>
              <w:t>2016</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August 2016</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18.77</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9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19"/>
                <w:szCs w:val="19"/>
                <w:color w:val="auto"/>
              </w:rPr>
            </w:pPr>
          </w:p>
        </w:tc>
        <w:tc>
          <w:tcPr>
            <w:tcW w:w="46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7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Amended and Restated 2011 Stock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furnished or incorporated by reference as part of this Quarterly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(Duly Authorized Officer)</w:t>
      </w: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Chief Accounting Officer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(Duly Authorized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85"/>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6"/>
                <w:szCs w:val="16"/>
                <w:color w:val="auto"/>
              </w:rPr>
            </w:pPr>
          </w:p>
        </w:tc>
        <w:tc>
          <w:tcPr>
            <w:tcW w:w="10240" w:type="dxa"/>
            <w:vAlign w:val="bottom"/>
            <w:gridSpan w:val="3"/>
          </w:tcPr>
          <w:p>
            <w:pPr>
              <w:ind w:left="50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77"/>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1"/>
              </w:rPr>
              <w:t>Amendment and Restatement Agreement, dated as of September 30, 2016, by and among NN, Inc., certain NN, Inc. subsidiaries named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1"/>
              </w:rPr>
              <w:t>therein, SunTrust Bank, KeyBank National Association and Regions Bank (incorporated by reference to Exhibit 10.1 to NN, Inc.’s Current</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Report on Form 8-K, filed on October 3, 2016).</w:t>
            </w:r>
          </w:p>
        </w:tc>
      </w:tr>
      <w:tr>
        <w:trPr>
          <w:trHeight w:val="310"/>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4"/>
              </w:rPr>
              <w:t>Certification of Principal Executive Officer Pursuant to Rules 13a-14(a) and 15d-14(a) under the Securities Exchange Act of 1934, as</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amended.</w:t>
            </w:r>
          </w:p>
        </w:tc>
      </w:tr>
      <w:tr>
        <w:trPr>
          <w:trHeight w:val="310"/>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5"/>
              </w:rPr>
              <w:t>Certification of Principal Financial Officer Pursuant to Rules 13a-14(a) and 15d-14(a) under the Securities Exchange Act of 1934, as</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amended.</w:t>
            </w:r>
          </w:p>
        </w:tc>
      </w:tr>
      <w:tr>
        <w:trPr>
          <w:trHeight w:val="32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2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25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Chief Accounting Officer and Corporate Controller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Chief Accounting Officer and Corporate Controller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2019-12-29T09:06:08Z</dcterms:created>
  <dcterms:modified xsi:type="dcterms:W3CDTF">2019-12-29T09:06:08Z</dcterms:modified>
</cp:coreProperties>
</file>