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115570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78105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111125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170815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52705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000-23486</w:t>
            </w:r>
          </w:p>
        </w:tc>
        <w:tc>
          <w:tcPr>
            <w:tcW w:w="140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19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64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i w:val="1"/>
                <w:iCs w:val="1"/>
                <w:color w:val="auto"/>
              </w:rPr>
              <w:t>(Commission File Number)</w:t>
            </w:r>
          </w:p>
        </w:tc>
        <w:tc>
          <w:tcPr>
            <w:tcW w:w="1400" w:type="dxa"/>
            <w:vAlign w:val="bottom"/>
          </w:tcPr>
          <w:p>
            <w:pPr>
              <w:jc w:val="center"/>
              <w:ind w:left="11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incorporation)</w:t>
            </w:r>
          </w:p>
        </w:tc>
        <w:tc>
          <w:tcPr>
            <w:tcW w:w="3640" w:type="dxa"/>
            <w:vAlign w:val="bottom"/>
          </w:tcPr>
          <w:p>
            <w:pPr>
              <w:spacing w:after="0"/>
              <w:rPr>
                <w:sz w:val="18"/>
                <w:szCs w:val="18"/>
                <w:color w:val="auto"/>
              </w:rPr>
            </w:pPr>
          </w:p>
        </w:tc>
        <w:tc>
          <w:tcPr>
            <w:tcW w:w="1400" w:type="dxa"/>
            <w:vAlign w:val="bottom"/>
          </w:tcPr>
          <w:p>
            <w:pPr>
              <w:jc w:val="center"/>
              <w:ind w:left="11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659"/>
        </w:trPr>
        <w:tc>
          <w:tcPr>
            <w:tcW w:w="5560" w:type="dxa"/>
            <w:vAlign w:val="bottom"/>
            <w:gridSpan w:val="2"/>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6210 Ardrey Kell Road, Suite 600</w:t>
            </w:r>
          </w:p>
        </w:tc>
        <w:tc>
          <w:tcPr>
            <w:tcW w:w="1400" w:type="dxa"/>
            <w:vAlign w:val="bottom"/>
          </w:tcPr>
          <w:p>
            <w:pPr>
              <w:spacing w:after="0"/>
              <w:rPr>
                <w:sz w:val="24"/>
                <w:szCs w:val="24"/>
                <w:color w:val="auto"/>
              </w:rPr>
            </w:pPr>
          </w:p>
        </w:tc>
      </w:tr>
      <w:tr>
        <w:trPr>
          <w:trHeight w:val="256"/>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Charlotte, North Carolina</w:t>
            </w:r>
          </w:p>
        </w:tc>
        <w:tc>
          <w:tcPr>
            <w:tcW w:w="14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571"/>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1400" w:type="dxa"/>
            <w:vAlign w:val="bottom"/>
          </w:tcPr>
          <w:p>
            <w:pPr>
              <w:spacing w:after="0"/>
              <w:rPr>
                <w:sz w:val="24"/>
                <w:szCs w:val="24"/>
                <w:color w:val="auto"/>
              </w:rPr>
            </w:pPr>
          </w:p>
        </w:tc>
      </w:tr>
      <w:tr>
        <w:trPr>
          <w:trHeight w:val="212"/>
        </w:trPr>
        <w:tc>
          <w:tcPr>
            <w:tcW w:w="1920" w:type="dxa"/>
            <w:vAlign w:val="bottom"/>
          </w:tcPr>
          <w:p>
            <w:pPr>
              <w:spacing w:after="0"/>
              <w:rPr>
                <w:sz w:val="18"/>
                <w:szCs w:val="18"/>
                <w:color w:val="auto"/>
              </w:rPr>
            </w:pPr>
          </w:p>
        </w:tc>
        <w:tc>
          <w:tcPr>
            <w:tcW w:w="3640" w:type="dxa"/>
            <w:vAlign w:val="bottom"/>
          </w:tcPr>
          <w:p>
            <w:pPr>
              <w:jc w:val="center"/>
              <w:ind w:right="11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400" w:type="dxa"/>
            <w:vAlign w:val="bottom"/>
          </w:tcPr>
          <w:p>
            <w:pPr>
              <w:spacing w:after="0"/>
              <w:rPr>
                <w:sz w:val="18"/>
                <w:szCs w:val="18"/>
                <w:color w:val="auto"/>
              </w:rPr>
            </w:pPr>
          </w:p>
        </w:tc>
      </w:tr>
    </w:tbl>
    <w:p>
      <w:pPr>
        <w:spacing w:after="0" w:line="1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41910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38"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50"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9120"/>
          </w:cols>
          <w:pgMar w:left="1340" w:top="1289" w:right="1439" w:bottom="1440" w:gutter="0" w:footer="0" w:header="0"/>
        </w:sectPr>
      </w:pPr>
    </w:p>
    <w:p>
      <w:pPr>
        <w:spacing w:after="0" w:line="55"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55" w:lineRule="exact"/>
        <w:rPr>
          <w:sz w:val="24"/>
          <w:szCs w:val="24"/>
          <w:color w:val="auto"/>
        </w:rPr>
      </w:pPr>
    </w:p>
    <w:p>
      <w:pPr>
        <w:sectPr>
          <w:pgSz w:w="11900" w:h="16838" w:orient="portrait"/>
          <w:cols w:equalWidth="0" w:num="3">
            <w:col w:w="3420" w:space="720"/>
            <w:col w:w="1340" w:space="720"/>
            <w:col w:w="2920"/>
          </w:cols>
          <w:pgMar w:left="1340" w:top="1289" w:right="143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4"/>
          <w:szCs w:val="14"/>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89" w:right="1439" w:bottom="1440" w:gutter="0" w:footer="0" w:header="0"/>
          <w:type w:val="continuous"/>
        </w:sectPr>
      </w:pPr>
    </w:p>
    <w:p>
      <w:pPr>
        <w:spacing w:after="0" w:line="226" w:lineRule="exact"/>
        <w:rPr>
          <w:sz w:val="24"/>
          <w:szCs w:val="24"/>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617855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643255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89"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6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January 18, 2023, in connection with the new Securities and Exchange Commission Rule 14a-19 under the Securities Exchange Act of 1934, as amended, regarding universal proxy cards (the “Universal Proxy Rule”), certain recent changes to the Delaware General Corporation Law and a periodic review of the bylaws of NN, Inc. (the “Company”), the Board of Directors (the “Board”) of the Company adopted and approved amended and restated bylaws (the “Amended and Restated Bylaws”), effective immediately. Among other things, the amendments effected by the Amended and Restated Bylaws:</w:t>
      </w:r>
    </w:p>
    <w:p>
      <w:pPr>
        <w:spacing w:after="0" w:line="89" w:lineRule="exact"/>
        <w:rPr>
          <w:sz w:val="20"/>
          <w:szCs w:val="20"/>
          <w:color w:val="auto"/>
        </w:rPr>
      </w:pPr>
    </w:p>
    <w:p>
      <w:pPr>
        <w:ind w:left="660" w:right="40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made in connection with annual and special meetings of stockholders by, including, without limitation:</w:t>
      </w:r>
    </w:p>
    <w:p>
      <w:pPr>
        <w:spacing w:after="0" w:line="73" w:lineRule="exact"/>
        <w:rPr>
          <w:rFonts w:ascii="Arial" w:cs="Arial" w:eastAsia="Arial" w:hAnsi="Arial"/>
          <w:sz w:val="20"/>
          <w:szCs w:val="20"/>
          <w:color w:val="auto"/>
        </w:rPr>
      </w:pPr>
    </w:p>
    <w:p>
      <w:pPr>
        <w:ind w:left="1300" w:right="120" w:hanging="320"/>
        <w:spacing w:after="0" w:line="255" w:lineRule="auto"/>
        <w:tabs>
          <w:tab w:leader="none" w:pos="1289"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Adding a requirement that any stockholder submitting a nomination notice make a representation as to whether such stockholder intends to solicit proxies in support of director nominees other than the Company’s nominees in accordance with the Universal Proxy Rule;</w:t>
      </w:r>
    </w:p>
    <w:p>
      <w:pPr>
        <w:spacing w:after="0" w:line="89" w:lineRule="exact"/>
        <w:rPr>
          <w:rFonts w:ascii="Arial" w:cs="Arial" w:eastAsia="Arial" w:hAnsi="Arial"/>
          <w:sz w:val="20"/>
          <w:szCs w:val="20"/>
          <w:color w:val="auto"/>
        </w:rPr>
      </w:pPr>
    </w:p>
    <w:p>
      <w:pPr>
        <w:ind w:left="1300" w:right="120" w:hanging="320"/>
        <w:spacing w:after="0" w:line="254" w:lineRule="auto"/>
        <w:tabs>
          <w:tab w:leader="none" w:pos="1289"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Clarifying that if any stockholder provides notice pursuant to the Universal Proxy Rule and subsequently either (i) notifies the Company that such stockholder no longer intends to solicit proxies in support of director nominees other than the Company’s nominees or (ii) fails either to comply with the requirements of the Universal Proxy Rule or to timely provide reasonable evidence to the Company that such stockholder has met the requirements of the Universal Proxy Rule then such stockholder’s nominees will be disregarded and no vote on such nominees proposed by such stockholder will occur, notwithstanding any proxies or votes the Company has received in respect of such nominees;</w:t>
      </w:r>
    </w:p>
    <w:p>
      <w:pPr>
        <w:spacing w:after="0" w:line="92" w:lineRule="exact"/>
        <w:rPr>
          <w:rFonts w:ascii="Arial" w:cs="Arial" w:eastAsia="Arial" w:hAnsi="Arial"/>
          <w:sz w:val="20"/>
          <w:szCs w:val="20"/>
          <w:color w:val="auto"/>
        </w:rPr>
      </w:pPr>
    </w:p>
    <w:p>
      <w:pPr>
        <w:ind w:left="1300" w:right="60" w:hanging="320"/>
        <w:spacing w:after="0" w:line="255" w:lineRule="auto"/>
        <w:tabs>
          <w:tab w:leader="none" w:pos="1289"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Providing that the number of nominees proposed by stockholders submitting a nomination notice may not exceed the number of directors to be elected at the relevant meeting of stockholders; and</w:t>
      </w:r>
    </w:p>
    <w:p>
      <w:pPr>
        <w:spacing w:after="0" w:line="89" w:lineRule="exact"/>
        <w:rPr>
          <w:rFonts w:ascii="Arial" w:cs="Arial" w:eastAsia="Arial" w:hAnsi="Arial"/>
          <w:sz w:val="20"/>
          <w:szCs w:val="20"/>
          <w:color w:val="auto"/>
        </w:rPr>
      </w:pPr>
    </w:p>
    <w:p>
      <w:pPr>
        <w:ind w:left="1300" w:right="100" w:hanging="320"/>
        <w:spacing w:after="0" w:line="256" w:lineRule="auto"/>
        <w:tabs>
          <w:tab w:leader="none" w:pos="1289" w:val="left"/>
        </w:tabs>
        <w:numPr>
          <w:ilvl w:val="1"/>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Requiring that, if requested by the Board or any Board committee, proposed nominees make themselves available for interviews by the Board or such committee on or prior to the later of (i) ten (10) days following the date of any reasonable request therefor from the Board or any Board committee, and (ii) the 30th day prior to the meeting of stockholders at which any such proposed nominee is nominated to be elected.</w:t>
      </w:r>
    </w:p>
    <w:p>
      <w:pPr>
        <w:spacing w:after="0" w:line="91" w:lineRule="exact"/>
        <w:rPr>
          <w:rFonts w:ascii="Arial" w:cs="Arial" w:eastAsia="Arial" w:hAnsi="Arial"/>
          <w:sz w:val="20"/>
          <w:szCs w:val="20"/>
          <w:color w:val="auto"/>
        </w:rPr>
      </w:pPr>
    </w:p>
    <w:p>
      <w:pPr>
        <w:ind w:left="660" w:right="22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Modify the provisions relating to availability of lists of stockholders entitled to vote at stockholder meetings to reflect recent amendments to the Delaware General Corporation Law;</w:t>
      </w:r>
    </w:p>
    <w:p>
      <w:pPr>
        <w:spacing w:after="0" w:line="73" w:lineRule="exact"/>
        <w:rPr>
          <w:rFonts w:ascii="Arial" w:cs="Arial" w:eastAsia="Arial" w:hAnsi="Arial"/>
          <w:sz w:val="20"/>
          <w:szCs w:val="20"/>
          <w:color w:val="auto"/>
        </w:rPr>
      </w:pPr>
    </w:p>
    <w:p>
      <w:pPr>
        <w:ind w:left="660" w:right="20" w:hanging="328"/>
        <w:spacing w:after="0" w:line="255"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Require any stockholders directly or indirectly soliciting proxies from other stockholders to use a proxy card color other than white, with the white proxy card being reserved for exclusive use by the Board;</w:t>
      </w:r>
    </w:p>
    <w:p>
      <w:pPr>
        <w:spacing w:after="0" w:line="89" w:lineRule="exact"/>
        <w:rPr>
          <w:rFonts w:ascii="Arial" w:cs="Arial" w:eastAsia="Arial" w:hAnsi="Arial"/>
          <w:sz w:val="20"/>
          <w:szCs w:val="20"/>
          <w:color w:val="auto"/>
        </w:rPr>
      </w:pPr>
    </w:p>
    <w:p>
      <w:pPr>
        <w:ind w:left="660" w:right="12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Require a stockholder (or a qualified representative of the stockholder) presenting business at a meeting of the Company’s stockholders under the advance notice provisions to appear in person at the applicable meeting to present such proposed business;</w:t>
      </w:r>
    </w:p>
    <w:p>
      <w:pPr>
        <w:spacing w:after="0" w:line="73" w:lineRule="exact"/>
        <w:rPr>
          <w:rFonts w:ascii="Arial" w:cs="Arial" w:eastAsia="Arial" w:hAnsi="Arial"/>
          <w:sz w:val="20"/>
          <w:szCs w:val="20"/>
          <w:color w:val="auto"/>
        </w:rPr>
      </w:pPr>
    </w:p>
    <w:p>
      <w:pPr>
        <w:ind w:left="660" w:right="600" w:hanging="328"/>
        <w:spacing w:after="0" w:line="255"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Remove provisions relating to the previously completed transition from a classified Board to annual election of directors that are no longer applicable;</w:t>
      </w:r>
    </w:p>
    <w:p>
      <w:pPr>
        <w:spacing w:after="0" w:line="89" w:lineRule="exact"/>
        <w:rPr>
          <w:rFonts w:ascii="Arial" w:cs="Arial" w:eastAsia="Arial" w:hAnsi="Arial"/>
          <w:sz w:val="20"/>
          <w:szCs w:val="20"/>
          <w:color w:val="auto"/>
        </w:rPr>
      </w:pPr>
    </w:p>
    <w:p>
      <w:pPr>
        <w:ind w:left="660" w:right="500" w:hanging="328"/>
        <w:spacing w:after="0" w:line="27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Make various other updates, including technical, ministerial and conforming changes related to recent amendments in the Delaware General Corporation Law.</w:t>
      </w:r>
    </w:p>
    <w:p>
      <w:pPr>
        <w:spacing w:after="0" w:line="6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amendments effected by the Amended and Restated Bylaws does not purport to be complete and is qualified in its entirety by reference to the complete text of the Amended and Restated Bylaws, which are filed as Exhibit 3.1 hereto and are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65" w:lineRule="exact"/>
        <w:rPr>
          <w:sz w:val="20"/>
          <w:szCs w:val="20"/>
          <w:color w:val="auto"/>
        </w:rPr>
      </w:pPr>
    </w:p>
    <w:p>
      <w:pPr>
        <w:ind w:left="440" w:hanging="387"/>
        <w:spacing w:after="0"/>
        <w:tabs>
          <w:tab w:leader="none" w:pos="4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8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No.</w:t>
            </w:r>
          </w:p>
        </w:tc>
        <w:tc>
          <w:tcPr>
            <w:tcW w:w="360" w:type="dxa"/>
            <w:vAlign w:val="bottom"/>
          </w:tcPr>
          <w:p>
            <w:pPr>
              <w:spacing w:after="0"/>
              <w:rPr>
                <w:sz w:val="10"/>
                <w:szCs w:val="10"/>
                <w:color w:val="auto"/>
              </w:rPr>
            </w:pPr>
          </w:p>
        </w:tc>
        <w:tc>
          <w:tcPr>
            <w:tcW w:w="10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9"/>
                <w:szCs w:val="19"/>
                <w:color w:val="auto"/>
              </w:rPr>
            </w:pPr>
          </w:p>
        </w:tc>
        <w:tc>
          <w:tcPr>
            <w:tcW w:w="5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Bylaws of NN, Inc., effective as of January 18, 2023</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10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17"/>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January 20, 2023</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bl>
    <w:p>
      <w:pPr>
        <w:sectPr>
          <w:pgSz w:w="11900" w:h="16838" w:orient="portrait"/>
          <w:cols w:equalWidth="0" w:num="1">
            <w:col w:w="9220"/>
          </w:cols>
          <w:pgMar w:left="1340" w:top="887" w:right="1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January 18, 2023)</w:t>
      </w:r>
    </w:p>
    <w:p>
      <w:pPr>
        <w:spacing w:after="0" w:line="200"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color w:val="auto"/>
        </w:rPr>
        <w:t>NN,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pursuant to the provisions of Section 109 of the Delaware General Corporation Law, hereby adopts these Amended and Restated Bylaws (as amended, these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which restate, amend and supersede the restated bylaws of the Corporation, as previously amended and restated, in their entirety as described below:</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STOCKHOLDERS</w:t>
      </w:r>
    </w:p>
    <w:p>
      <w:pPr>
        <w:spacing w:after="0" w:line="198" w:lineRule="exact"/>
        <w:rPr>
          <w:sz w:val="20"/>
          <w:szCs w:val="20"/>
          <w:color w:val="auto"/>
        </w:rPr>
      </w:pPr>
    </w:p>
    <w:p>
      <w:pPr>
        <w:jc w:val="both"/>
        <w:ind w:right="100"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stockholders of the Corporation may be held at such place, either within or without the State of Delaware, as may be designated from time to time by the Board of Directors. The Board of Directors may, in its sole discretion, determine that the meeting shall not be held at any place, but may instead be held solely by means of remote communication as provided under the Delaware General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Law.</w:t>
      </w:r>
    </w:p>
    <w:p>
      <w:pPr>
        <w:spacing w:after="0" w:line="165" w:lineRule="exact"/>
        <w:rPr>
          <w:sz w:val="20"/>
          <w:szCs w:val="20"/>
          <w:color w:val="auto"/>
        </w:rPr>
      </w:pPr>
    </w:p>
    <w:p>
      <w:pPr>
        <w:ind w:right="400" w:firstLine="1296"/>
        <w:spacing w:after="0" w:line="237"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and time, as the Board of Directors shall each year fix.</w:t>
      </w:r>
    </w:p>
    <w:p>
      <w:pPr>
        <w:spacing w:after="0" w:line="172" w:lineRule="exact"/>
        <w:rPr>
          <w:sz w:val="20"/>
          <w:szCs w:val="20"/>
          <w:color w:val="auto"/>
        </w:rPr>
      </w:pPr>
    </w:p>
    <w:p>
      <w:pPr>
        <w:ind w:right="140"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described in the notice of the meeting, may be called by (i)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 w:lineRule="exact"/>
        <w:rPr>
          <w:sz w:val="20"/>
          <w:szCs w:val="20"/>
          <w:color w:val="auto"/>
        </w:rPr>
      </w:pPr>
    </w:p>
    <w:p>
      <w:pPr>
        <w:ind w:right="100" w:firstLine="8"/>
        <w:spacing w:after="0" w:line="226"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(iii) the Chief Executive Officer of the Corporation, and shall be held at such place, if any, on such date, and at such time as they shall fix. Stockholders shall not have the right to call a special meeting of the stockholders.</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Notice of all meetings of stockholders shall be given that shall state the place, if any, date and time</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of the meeting, the means of remote communications, if any, by which stockholders and proxy holders may be deemed to be present in person and vote at such meeting and, in the case of a special meeting, the purpose or purposes for which the meeting is called. Unless otherwise required by applicable law or the Certificate of Incorporation of the Corporation as currently in effect (the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such notice shall be given not less than ten</w:t>
      </w:r>
    </w:p>
    <w:p>
      <w:pPr>
        <w:spacing w:after="0" w:line="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 more than sixty (60) days before the date of the meeting to each stockholder entitled to vote at such meeting.</w:t>
      </w:r>
    </w:p>
    <w:p>
      <w:pPr>
        <w:spacing w:after="0" w:line="16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w:t>
      </w:r>
      <w:r>
        <w:rPr>
          <w:rFonts w:ascii="Times New Roman" w:cs="Times New Roman" w:eastAsia="Times New Roman" w:hAnsi="Times New Roman"/>
          <w:sz w:val="17"/>
          <w:szCs w:val="17"/>
          <w:u w:val="single" w:color="auto"/>
          <w:color w:val="auto"/>
        </w:rPr>
        <w:t>Manner of Giving Notice; Affidavit of Notice</w:t>
      </w:r>
      <w:r>
        <w:rPr>
          <w:rFonts w:ascii="Times New Roman" w:cs="Times New Roman" w:eastAsia="Times New Roman" w:hAnsi="Times New Roman"/>
          <w:sz w:val="17"/>
          <w:szCs w:val="17"/>
          <w:color w:val="auto"/>
        </w:rPr>
        <w:t>.</w:t>
      </w:r>
    </w:p>
    <w:p>
      <w:pPr>
        <w:spacing w:after="0" w:line="184" w:lineRule="exact"/>
        <w:rPr>
          <w:rFonts w:ascii="Times New Roman" w:cs="Times New Roman" w:eastAsia="Times New Roman" w:hAnsi="Times New Roman"/>
          <w:sz w:val="18"/>
          <w:szCs w:val="18"/>
          <w:color w:val="auto"/>
        </w:rPr>
      </w:pPr>
    </w:p>
    <w:p>
      <w:pPr>
        <w:ind w:right="80" w:firstLine="1304"/>
        <w:spacing w:after="0" w:line="250" w:lineRule="auto"/>
        <w:tabs>
          <w:tab w:leader="none" w:pos="19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meeting of stockholders, if mailed, is given when deposited in the United States mail, postage prepaid, directed to the stockholder at his, her or its address as it appears on the records of the Corporation.</w:t>
      </w:r>
    </w:p>
    <w:p>
      <w:pPr>
        <w:spacing w:after="0" w:line="149" w:lineRule="exact"/>
        <w:rPr>
          <w:rFonts w:ascii="Times New Roman" w:cs="Times New Roman" w:eastAsia="Times New Roman" w:hAnsi="Times New Roman"/>
          <w:sz w:val="18"/>
          <w:szCs w:val="18"/>
          <w:color w:val="auto"/>
        </w:rPr>
      </w:pPr>
    </w:p>
    <w:p>
      <w:pPr>
        <w:ind w:firstLine="1304"/>
        <w:spacing w:after="0" w:line="215" w:lineRule="auto"/>
        <w:tabs>
          <w:tab w:leader="none" w:pos="19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prohibited by the Delaware General Corporation Law and without limiting the foregoing, any notice to stockholders given by the Corporation under any provision of the Delaware General Corporation Law, the Certificate of Incorporation or these Bylaws shall be effective if given by a form of electronic transmission consented to (and not properly revoked by written notice to the Corporation) by the stockholder to whom the notice is given, to the extent such consent is required by the Delaware General Corporation Law. Any such consent shall be revocable by the stockholder by written notice to the Corporation. Any such consent shall be deemed revoked if (i) the Corporation is unable to deliver by electronic transmission two (2) consecutive notices given by the Corporation in accordance with such consent and (ii) such inability becomes known to the Secretary or an Assistant Secretary of the Corporation or to the transfer agent of the Corporation, or other person responsible for the giving of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inadvertent failure to treat such inability as a revocation shall not invalidate any meeting or other action. Any such notice shall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(i) if by facsimile telecommunication, when directed to a number at which the stockholder has consented to receive notice; (ii) if by electronic mail, when directed to an electronic mail address at which the stockholder has consented to receive notice;</w:t>
      </w:r>
    </w:p>
    <w:p>
      <w:pPr>
        <w:sectPr>
          <w:pgSz w:w="11900" w:h="16838" w:orient="portrait"/>
          <w:cols w:equalWidth="0" w:num="1">
            <w:col w:w="11240"/>
          </w:cols>
          <w:pgMar w:left="320" w:top="104" w:right="339" w:bottom="1440" w:gutter="0" w:footer="0" w:header="0"/>
        </w:sectPr>
      </w:pPr>
    </w:p>
    <w:bookmarkStart w:id="4" w:name="page5"/>
    <w:bookmarkEnd w:id="4"/>
    <w:p>
      <w:pPr>
        <w:spacing w:after="0" w:line="16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giving of such separate notice; and (iv) if by any other form of electronic transmission, when directed to the stockholder.</w:t>
      </w:r>
    </w:p>
    <w:p>
      <w:pPr>
        <w:spacing w:after="0" w:line="176" w:lineRule="exact"/>
        <w:rPr>
          <w:rFonts w:ascii="Times New Roman" w:cs="Times New Roman" w:eastAsia="Times New Roman" w:hAnsi="Times New Roman"/>
          <w:sz w:val="18"/>
          <w:szCs w:val="18"/>
          <w:color w:val="auto"/>
        </w:rPr>
      </w:pPr>
    </w:p>
    <w:p>
      <w:pPr>
        <w:ind w:firstLine="1304"/>
        <w:spacing w:after="0" w:line="227" w:lineRule="auto"/>
        <w:tabs>
          <w:tab w:leader="none" w:pos="19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Bylaws, an “</w:t>
      </w:r>
      <w:r>
        <w:rPr>
          <w:rFonts w:ascii="Times New Roman" w:cs="Times New Roman" w:eastAsia="Times New Roman" w:hAnsi="Times New Roman"/>
          <w:sz w:val="18"/>
          <w:szCs w:val="18"/>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0" w:lineRule="exact"/>
        <w:rPr>
          <w:rFonts w:ascii="Times New Roman" w:cs="Times New Roman" w:eastAsia="Times New Roman" w:hAnsi="Times New Roman"/>
          <w:sz w:val="18"/>
          <w:szCs w:val="18"/>
          <w:color w:val="auto"/>
        </w:rPr>
      </w:pPr>
    </w:p>
    <w:p>
      <w:pPr>
        <w:ind w:right="160" w:firstLine="1304"/>
        <w:spacing w:after="0" w:line="217" w:lineRule="auto"/>
        <w:tabs>
          <w:tab w:leader="none" w:pos="193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prohibited under the Delaware General Corporation Law and without limiting the manner by which notice otherwise may be given to stockholders, any notice to stockholders given by the Corporation under any provision of the Delaware General Corporation Law,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sixty (60) days of having been given written notice by the Corporation of its intention to send the single notice in accordance with this Section 1.5(d). Any such consent shall be revocable by the stockholders by written notice to the Corporation.</w:t>
      </w:r>
    </w:p>
    <w:p>
      <w:pPr>
        <w:spacing w:after="0" w:line="173" w:lineRule="exact"/>
        <w:rPr>
          <w:rFonts w:ascii="Times New Roman" w:cs="Times New Roman" w:eastAsia="Times New Roman" w:hAnsi="Times New Roman"/>
          <w:sz w:val="18"/>
          <w:szCs w:val="18"/>
          <w:color w:val="auto"/>
        </w:rPr>
      </w:pPr>
    </w:p>
    <w:p>
      <w:pPr>
        <w:ind w:right="840" w:firstLine="1304"/>
        <w:spacing w:after="0" w:line="237" w:lineRule="auto"/>
        <w:tabs>
          <w:tab w:leader="none" w:pos="194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affidavit of the Secretary or an Assistant Secretary of the Corporation or of the transfer agent or other agent of the Corporation that the notice has been given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5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Any meeting of stockholders may adjourn from time to time to reconvene at the same or another place,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if any, or by means of remote communications, if any, by which stockholders and proxy holders may be deemed to be present in person and vote at such meeting, and notice need not be given of any such adjourned meeting if the place, if any, time and date thereof, and the means of remote communications, if any, by which stockholders and proxy holders may be deemed to be present in person and vote at such adjourned meeting are announced at the meeting at</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 xml:space="preserve">which the adjournment is taken;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if the adjournment is for more than thirty (30) days, or if after the adjournment a new record date is fixed for the adjourned meeting, then a notice of the adjourned meeting shall be given to each stockholder of record entitled to vote at the meeting. At the adjourned meeting the Corporation may transact any business that might have been transacted at the original meeting.</w:t>
      </w:r>
    </w:p>
    <w:p>
      <w:pPr>
        <w:spacing w:after="0" w:line="172"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each meeting of stockholders the holders of a majority of the shares of stock entitled to vote at the meeting, present in person or represented by proxy, shall constitute a quorum for the transaction of business, except if otherwise required by applicable law. Where a separate vote by a class or classes or series is required, a majority of the shares of such class or classes or series then outstanding and entitled to vote</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present in person or by proxy shall constitute a quorum entitled to take action with respect to that vote on that matter. If a quorum shall fail to attend any meeting, the chairman of the meeting or the holders of a majority of the shares entitled to vote who are present, in person or by proxy, at the meeting may adjourn the meeting. Shares of the Corporation’s stock belonging to the Corporation (or to another corporation, if a majority of the shares entitled to vote in</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 xml:space="preserve">the election of directors of such other corporation are held, directly or indirectly, by the Corporation), shall neither be entitled to vote nor be counted for quorum purposes;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the foregoing shall not limit the right of the Corporation or any other corporation to vote any shares of the Corporation’s stock held by it in a fiduciary capacity. Even if a quorum shall be present or represented at any meeting of the stockholders, the Chairman of</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meeting or the stockholders entitled to vote thereat who are present in person or represented by proxy shall have the power to adjourn the meeting from time to time for good cause to a date that is not more than thirty (30) days after the date of the original meeting.</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 Meetings of stockholders shall be presided over by such person as the Board of Directors may</w:t>
      </w:r>
    </w:p>
    <w:p>
      <w:pPr>
        <w:spacing w:after="0" w:line="2" w:lineRule="exact"/>
        <w:rPr>
          <w:sz w:val="20"/>
          <w:szCs w:val="20"/>
          <w:color w:val="auto"/>
        </w:rPr>
      </w:pPr>
    </w:p>
    <w:p>
      <w:pPr>
        <w:ind w:right="40"/>
        <w:spacing w:after="0" w:line="207" w:lineRule="auto"/>
        <w:rPr>
          <w:sz w:val="20"/>
          <w:szCs w:val="20"/>
          <w:color w:val="auto"/>
        </w:rPr>
      </w:pPr>
      <w:r>
        <w:rPr>
          <w:rFonts w:ascii="Times New Roman" w:cs="Times New Roman" w:eastAsia="Times New Roman" w:hAnsi="Times New Roman"/>
          <w:sz w:val="18"/>
          <w:szCs w:val="18"/>
          <w:color w:val="auto"/>
        </w:rPr>
        <w:t>designate as chairman of the meeting, or, in the absence of such a person, the Chairman of the Board, or, in the absence of such person, the Chief Executive Officer of the Corporation, or, in the absence of such person, such person as may be chosen by the holders of a majority of the shares entitled to vote who are present, in person or by proxy, at the meeting. The Secretary of the Corporation shall act as secretary of the meeting, but in his or her absence the chairman of the meeting may appoint any person to act as secretary of the meeting. The Board of Directors shall be entitled to make such rules or</w:t>
      </w:r>
    </w:p>
    <w:p>
      <w:pPr>
        <w:spacing w:after="0" w:line="1" w:lineRule="exact"/>
        <w:rPr>
          <w:sz w:val="20"/>
          <w:szCs w:val="20"/>
          <w:color w:val="auto"/>
        </w:rPr>
      </w:pPr>
    </w:p>
    <w:p>
      <w:pPr>
        <w:jc w:val="both"/>
        <w:ind w:right="240"/>
        <w:spacing w:after="0" w:line="208" w:lineRule="auto"/>
        <w:rPr>
          <w:sz w:val="20"/>
          <w:szCs w:val="20"/>
          <w:color w:val="auto"/>
        </w:rPr>
      </w:pPr>
      <w:r>
        <w:rPr>
          <w:rFonts w:ascii="Times New Roman" w:cs="Times New Roman" w:eastAsia="Times New Roman" w:hAnsi="Times New Roman"/>
          <w:sz w:val="18"/>
          <w:szCs w:val="18"/>
          <w:color w:val="auto"/>
        </w:rPr>
        <w:t>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limitation, adjourning the meeting if the chairman determines in his or her sole discretion that an adjournment is advisable, establishing an agenda or order of business for the meeting, rules and procedures for maintaining order at the meeting and the safety of those present, limitations on participation in the meeting to stockholders of record of the Corporation, their duly authorized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80"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7"/>
          <w:szCs w:val="17"/>
          <w:color w:val="auto"/>
        </w:rPr>
        <w:t>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w:t>
      </w:r>
    </w:p>
    <w:p>
      <w:pPr>
        <w:spacing w:after="0"/>
        <w:rPr>
          <w:sz w:val="20"/>
          <w:szCs w:val="20"/>
          <w:color w:val="auto"/>
        </w:rPr>
      </w:pPr>
      <w:r>
        <w:rPr>
          <w:rFonts w:ascii="Times New Roman" w:cs="Times New Roman" w:eastAsia="Times New Roman" w:hAnsi="Times New Roman"/>
          <w:sz w:val="18"/>
          <w:szCs w:val="18"/>
          <w:color w:val="auto"/>
        </w:rPr>
        <w:t>matters which are to be voted on by ballot.</w:t>
      </w:r>
    </w:p>
    <w:p>
      <w:pPr>
        <w:spacing w:after="0" w:line="165"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Voting; Proxies</w:t>
      </w:r>
      <w:r>
        <w:rPr>
          <w:rFonts w:ascii="Times New Roman" w:cs="Times New Roman" w:eastAsia="Times New Roman" w:hAnsi="Times New Roman"/>
          <w:sz w:val="18"/>
          <w:szCs w:val="18"/>
          <w:color w:val="auto"/>
        </w:rPr>
        <w:t>. Unless otherwise provided by law or the Certificate of Incorporation, each stockholder shall be entitled to one (1) vote for each share of stock held by such stockholder of record according to the records of the Corporation. The stockholders entitled to vote at</w:t>
      </w:r>
    </w:p>
    <w:p>
      <w:pPr>
        <w:spacing w:after="0" w:line="2" w:lineRule="exact"/>
        <w:rPr>
          <w:sz w:val="20"/>
          <w:szCs w:val="20"/>
          <w:color w:val="auto"/>
        </w:rPr>
      </w:pPr>
    </w:p>
    <w:p>
      <w:pPr>
        <w:jc w:val="both"/>
        <w:ind w:right="340"/>
        <w:spacing w:after="0" w:line="208" w:lineRule="auto"/>
        <w:rPr>
          <w:sz w:val="20"/>
          <w:szCs w:val="20"/>
          <w:color w:val="auto"/>
        </w:rPr>
      </w:pPr>
      <w:r>
        <w:rPr>
          <w:rFonts w:ascii="Times New Roman" w:cs="Times New Roman" w:eastAsia="Times New Roman" w:hAnsi="Times New Roman"/>
          <w:sz w:val="18"/>
          <w:szCs w:val="18"/>
          <w:color w:val="auto"/>
        </w:rPr>
        <w:t>any meeting of stockholders shall be determined in accordance with the provisions of Section 1.10 of these Bylaws, subject to Section 217 (relating to voting rights of fiduciaries, pledgors and joint owners of stock) and Section 218 (relating to voting trusts and other voting agreements) of the Delaware General Corporation Law. Each stockholder entitled to vote at a meeting of stockholders may authorize another person or persons to act for such</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stockholder by proxy. Such a proxy may be prepared, transmitted and delivered in any manner permitted by applicable law. Unless otherwise provided in the Certificate of Incorporation or a Certificate of Designation relating to a series of Preferred Stock, directors shall be elected as provided in Section 2.2 of these Bylaws. Unless otherwise provided by applicable law, the rules or regulations of any stock exchange applicable to the Corporation, the Certificate of</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Incorporation or these Bylaws, every matter other than the election of directors shall be decided by the affirmative vote of the holders of a majority in voting power of the shares of stock entitled to vote thereon that are present in person or represented by proxy at the meeting. Any stockholder directly or indirectly soliciting proxies from other stockholders must use a proxy card color other than white, which shall be reserved for the exclusive use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65"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Fixing Date for Determination of Stockholders of Record</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distribution or allotment of any rights, or entitled to exercise any rights in respect of any change, conversion or exchange of stock or for the purpose of any other lawful action, the Board of Directors may fix, in advance, a record date, which (i) in the case of determination of stockholders entitled to vote at any meeting of stockholders or adjournment thereof, shall, unless otherwise required by law, not be more than sixty (60) nor less than ten (10) days before the</w:t>
      </w:r>
    </w:p>
    <w:p>
      <w:pPr>
        <w:spacing w:after="0" w:line="205" w:lineRule="auto"/>
        <w:rPr>
          <w:sz w:val="20"/>
          <w:szCs w:val="20"/>
          <w:color w:val="auto"/>
        </w:rPr>
      </w:pPr>
      <w:r>
        <w:rPr>
          <w:rFonts w:ascii="Times New Roman" w:cs="Times New Roman" w:eastAsia="Times New Roman" w:hAnsi="Times New Roman"/>
          <w:sz w:val="18"/>
          <w:szCs w:val="18"/>
          <w:color w:val="auto"/>
        </w:rPr>
        <w:t>date of such meeting, and (ii) in the case of any other action, shall not be more than sixty (60) days prior to any such other action. If no record date is fixed</w:t>
      </w:r>
    </w:p>
    <w:p>
      <w:pPr>
        <w:spacing w:after="0" w:line="204" w:lineRule="auto"/>
        <w:rPr>
          <w:sz w:val="20"/>
          <w:szCs w:val="20"/>
          <w:color w:val="auto"/>
        </w:rPr>
      </w:pPr>
      <w:r>
        <w:rPr>
          <w:rFonts w:ascii="Times New Roman" w:cs="Times New Roman" w:eastAsia="Times New Roman" w:hAnsi="Times New Roman"/>
          <w:sz w:val="18"/>
          <w:szCs w:val="18"/>
          <w:color w:val="auto"/>
        </w:rPr>
        <w:t>by the Board of Directors, then the record date shall be as provided by applicable law. A determination of stockholders of record entitled to notice of or to</w:t>
      </w:r>
    </w:p>
    <w:p>
      <w:pPr>
        <w:spacing w:after="0" w:line="219" w:lineRule="auto"/>
        <w:rPr>
          <w:sz w:val="20"/>
          <w:szCs w:val="20"/>
          <w:color w:val="auto"/>
        </w:rPr>
      </w:pPr>
      <w:r>
        <w:rPr>
          <w:rFonts w:ascii="Times New Roman" w:cs="Times New Roman" w:eastAsia="Times New Roman" w:hAnsi="Times New Roman"/>
          <w:sz w:val="18"/>
          <w:szCs w:val="18"/>
          <w:color w:val="auto"/>
        </w:rPr>
        <w:t xml:space="preserve">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the Board of Directors may fix a new record date</w:t>
      </w:r>
    </w:p>
    <w:p>
      <w:pPr>
        <w:spacing w:after="0"/>
        <w:rPr>
          <w:sz w:val="20"/>
          <w:szCs w:val="20"/>
          <w:color w:val="auto"/>
        </w:rPr>
      </w:pPr>
      <w:r>
        <w:rPr>
          <w:rFonts w:ascii="Times New Roman" w:cs="Times New Roman" w:eastAsia="Times New Roman" w:hAnsi="Times New Roman"/>
          <w:sz w:val="18"/>
          <w:szCs w:val="18"/>
          <w:color w:val="auto"/>
        </w:rPr>
        <w:t>for the adjourned meeting.</w:t>
      </w:r>
    </w:p>
    <w:p>
      <w:pPr>
        <w:spacing w:after="0" w:line="165" w:lineRule="exact"/>
        <w:rPr>
          <w:sz w:val="20"/>
          <w:szCs w:val="20"/>
          <w:color w:val="auto"/>
        </w:rPr>
      </w:pPr>
    </w:p>
    <w:p>
      <w:pPr>
        <w:ind w:right="220" w:firstLine="1296"/>
        <w:spacing w:after="0" w:line="236"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 A complete list of stockholders entitled to vote at any meeting of stockholders, arranged in alphabetical order and showing the address of each stockholder and the number of shares registered in the name of each stockholder, shall be</w:t>
      </w:r>
    </w:p>
    <w:p>
      <w:pPr>
        <w:ind w:right="160"/>
        <w:spacing w:after="0" w:line="220" w:lineRule="auto"/>
        <w:rPr>
          <w:sz w:val="20"/>
          <w:szCs w:val="20"/>
          <w:color w:val="auto"/>
        </w:rPr>
      </w:pPr>
      <w:r>
        <w:rPr>
          <w:rFonts w:ascii="Times New Roman" w:cs="Times New Roman" w:eastAsia="Times New Roman" w:hAnsi="Times New Roman"/>
          <w:sz w:val="17"/>
          <w:szCs w:val="17"/>
          <w:color w:val="auto"/>
        </w:rPr>
        <w:t>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w:t>
      </w:r>
    </w:p>
    <w:p>
      <w:pPr>
        <w:spacing w:after="0" w:line="2" w:lineRule="exact"/>
        <w:rPr>
          <w:sz w:val="20"/>
          <w:szCs w:val="20"/>
          <w:color w:val="auto"/>
        </w:rPr>
      </w:pPr>
    </w:p>
    <w:p>
      <w:pPr>
        <w:jc w:val="both"/>
        <w:ind w:right="140"/>
        <w:spacing w:after="0" w:line="208" w:lineRule="auto"/>
        <w:rPr>
          <w:sz w:val="20"/>
          <w:szCs w:val="20"/>
          <w:color w:val="auto"/>
        </w:rPr>
      </w:pPr>
      <w:r>
        <w:rPr>
          <w:rFonts w:ascii="Times New Roman" w:cs="Times New Roman" w:eastAsia="Times New Roman" w:hAnsi="Times New Roman"/>
          <w:sz w:val="18"/>
          <w:szCs w:val="18"/>
          <w:color w:val="auto"/>
        </w:rPr>
        <w:t>the list available on an electronic network, the Corporation may take reasonable steps to ensure that such information is available only to the stockholders of the Corporation. Except as otherwise provided by law, such list shall be the only evidence as to who are the stockholders entitled to examine the list of stockholders required by this Section 1.11 or to vote in person or by proxy at any meeting of the stockholders. The Corporation shall not be required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electronic mail addresses or other electronic contact information on such list.</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u w:val="single" w:color="auto"/>
          <w:color w:val="auto"/>
        </w:rPr>
        <w:t>Inspectors of Elections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ind w:right="120" w:firstLine="1304"/>
        <w:spacing w:after="0" w:line="237" w:lineRule="auto"/>
        <w:tabs>
          <w:tab w:leader="none" w:pos="1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Unless otherwise provided in the Corporation’s Certificate of Incorporation or required by the Delaware General Corporation Law, the following provisions of this Section 1.12 shall apply only if and when the Corporation has a class of voting stock that is:</w:t>
      </w:r>
    </w:p>
    <w:p>
      <w:pPr>
        <w:spacing w:after="0" w:line="17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a national securities exchange;</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for quotation on an interdealer quotation system of a registered national securities association; or</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of record by more than 2,000 stockholders;</w:t>
      </w:r>
    </w:p>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 all other cases, observance of the provisions of this Section 1.12 shall be optional, and at the discretion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6" w:name="page7"/>
    <w:bookmarkEnd w:id="6"/>
    <w:p>
      <w:pPr>
        <w:spacing w:after="0" w:line="180" w:lineRule="exact"/>
        <w:rPr>
          <w:sz w:val="20"/>
          <w:szCs w:val="20"/>
          <w:color w:val="auto"/>
        </w:rPr>
      </w:pPr>
    </w:p>
    <w:p>
      <w:pPr>
        <w:jc w:val="both"/>
        <w:ind w:left="-40" w:right="200" w:firstLine="1304"/>
        <w:spacing w:after="0" w:line="224" w:lineRule="auto"/>
        <w:tabs>
          <w:tab w:leader="none" w:pos="18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58" w:lineRule="exact"/>
        <w:rPr>
          <w:rFonts w:ascii="Times New Roman" w:cs="Times New Roman" w:eastAsia="Times New Roman" w:hAnsi="Times New Roman"/>
          <w:sz w:val="18"/>
          <w:szCs w:val="18"/>
          <w:color w:val="auto"/>
        </w:rPr>
      </w:pPr>
    </w:p>
    <w:p>
      <w:pPr>
        <w:ind w:left="-40" w:right="140" w:firstLine="1304"/>
        <w:spacing w:after="0" w:line="250" w:lineRule="auto"/>
        <w:tabs>
          <w:tab w:leader="none" w:pos="19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Oath</w:t>
      </w:r>
      <w:r>
        <w:rPr>
          <w:rFonts w:ascii="Times New Roman" w:cs="Times New Roman" w:eastAsia="Times New Roman" w:hAnsi="Times New Roman"/>
          <w:sz w:val="18"/>
          <w:szCs w:val="18"/>
          <w:color w:val="auto"/>
        </w:rPr>
        <w:t>. Each inspector of election, before entering upon the discharge of his or her duties, shall take and sign an oath faithfully to execute the duties of inspector with strict impartiality and according to the best of his or her ability.</w:t>
      </w:r>
    </w:p>
    <w:p>
      <w:pPr>
        <w:spacing w:after="0" w:line="149" w:lineRule="exact"/>
        <w:rPr>
          <w:rFonts w:ascii="Times New Roman" w:cs="Times New Roman" w:eastAsia="Times New Roman" w:hAnsi="Times New Roman"/>
          <w:sz w:val="18"/>
          <w:szCs w:val="18"/>
          <w:color w:val="auto"/>
        </w:rPr>
      </w:pPr>
    </w:p>
    <w:p>
      <w:pPr>
        <w:ind w:left="1900" w:hanging="636"/>
        <w:spacing w:after="0"/>
        <w:tabs>
          <w:tab w:leader="none" w:pos="1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At a meeting of stockholders, the inspectors of election shall</w:t>
      </w:r>
    </w:p>
    <w:p>
      <w:pPr>
        <w:spacing w:after="0" w:line="184"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 share;</w:t>
      </w:r>
    </w:p>
    <w:p>
      <w:pPr>
        <w:spacing w:after="0" w:line="198"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a meeting and the validity of proxies and ballots;</w:t>
      </w:r>
    </w:p>
    <w:p>
      <w:pPr>
        <w:spacing w:after="0" w:line="184" w:lineRule="exact"/>
        <w:rPr>
          <w:rFonts w:ascii="Times New Roman" w:cs="Times New Roman" w:eastAsia="Times New Roman" w:hAnsi="Times New Roman"/>
          <w:sz w:val="18"/>
          <w:szCs w:val="18"/>
          <w:color w:val="auto"/>
        </w:rPr>
      </w:pPr>
    </w:p>
    <w:p>
      <w:pPr>
        <w:ind w:left="2560" w:hanging="648"/>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184" w:lineRule="exact"/>
        <w:rPr>
          <w:rFonts w:ascii="Times New Roman" w:cs="Times New Roman" w:eastAsia="Times New Roman" w:hAnsi="Times New Roman"/>
          <w:sz w:val="18"/>
          <w:szCs w:val="18"/>
          <w:color w:val="auto"/>
        </w:rPr>
      </w:pPr>
    </w:p>
    <w:p>
      <w:pPr>
        <w:ind w:left="-40" w:right="740" w:firstLine="1952"/>
        <w:spacing w:after="0" w:line="250" w:lineRule="auto"/>
        <w:tabs>
          <w:tab w:leader="none" w:pos="254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of time a record of the disposition of any challenges made to any determination by the inspectors; and</w:t>
      </w:r>
    </w:p>
    <w:p>
      <w:pPr>
        <w:spacing w:after="0" w:line="149" w:lineRule="exact"/>
        <w:rPr>
          <w:rFonts w:ascii="Times New Roman" w:cs="Times New Roman" w:eastAsia="Times New Roman" w:hAnsi="Times New Roman"/>
          <w:sz w:val="18"/>
          <w:szCs w:val="18"/>
          <w:color w:val="auto"/>
        </w:rPr>
      </w:pPr>
    </w:p>
    <w:p>
      <w:pPr>
        <w:ind w:left="-40" w:right="160" w:firstLine="1952"/>
        <w:spacing w:after="0" w:line="237" w:lineRule="auto"/>
        <w:tabs>
          <w:tab w:leader="none" w:pos="25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71" w:lineRule="exact"/>
        <w:rPr>
          <w:rFonts w:ascii="Times New Roman" w:cs="Times New Roman" w:eastAsia="Times New Roman" w:hAnsi="Times New Roman"/>
          <w:sz w:val="18"/>
          <w:szCs w:val="18"/>
          <w:color w:val="auto"/>
        </w:rPr>
      </w:pPr>
    </w:p>
    <w:p>
      <w:pPr>
        <w:ind w:left="-40" w:right="60" w:firstLine="1304"/>
        <w:spacing w:after="0" w:line="224" w:lineRule="auto"/>
        <w:tabs>
          <w:tab w:leader="none" w:pos="19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Opening and Closing of Polls</w:t>
      </w:r>
      <w:r>
        <w:rPr>
          <w:rFonts w:ascii="Times New Roman" w:cs="Times New Roman" w:eastAsia="Times New Roman" w:hAnsi="Times New Roman"/>
          <w:sz w:val="18"/>
          <w:szCs w:val="18"/>
          <w:color w:val="auto"/>
        </w:rPr>
        <w:t>. The date and time of the opening and the closing of the polls for each matter upon which the stockholders will vote at a meeting shall be announced by the inspectors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58" w:lineRule="exact"/>
        <w:rPr>
          <w:rFonts w:ascii="Times New Roman" w:cs="Times New Roman" w:eastAsia="Times New Roman" w:hAnsi="Times New Roman"/>
          <w:sz w:val="18"/>
          <w:szCs w:val="18"/>
          <w:color w:val="auto"/>
        </w:rPr>
      </w:pPr>
    </w:p>
    <w:p>
      <w:pPr>
        <w:ind w:left="-40" w:firstLine="1304"/>
        <w:spacing w:after="0" w:line="215" w:lineRule="auto"/>
        <w:tabs>
          <w:tab w:leader="none" w:pos="1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In determining the validity and counting of proxies and ballots, the inspectors shall be limited to an examination of the proxies, any envelopes submitted with those proxies, any information provided in connection with proxies in accordance with Section 211(e) or Section 212(c)(2) of the Delaware General Corporation Law, or any information provided pursuant to Section 211(a)(2)(B)(i) or (iii) of the Delaware General Corporation Law,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1.12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57" w:lineRule="exact"/>
        <w:rPr>
          <w:sz w:val="20"/>
          <w:szCs w:val="20"/>
          <w:color w:val="auto"/>
        </w:rPr>
      </w:pPr>
    </w:p>
    <w:p>
      <w:pPr>
        <w:ind w:left="1260"/>
        <w:spacing w:after="0"/>
        <w:tabs>
          <w:tab w:leader="none" w:pos="254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u w:val="single" w:color="auto"/>
          <w:color w:val="auto"/>
        </w:rPr>
        <w:t>Notice of Stockholder Business to be Brought before an Annual or Special Meeting</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40" w:right="60" w:firstLine="1304"/>
        <w:spacing w:after="0" w:line="213" w:lineRule="auto"/>
        <w:tabs>
          <w:tab w:leader="none" w:pos="19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Properly Brought Before an Annual or Special Meeting</w:t>
      </w:r>
      <w:r>
        <w:rPr>
          <w:rFonts w:ascii="Times New Roman" w:cs="Times New Roman" w:eastAsia="Times New Roman" w:hAnsi="Times New Roman"/>
          <w:sz w:val="18"/>
          <w:szCs w:val="18"/>
          <w:color w:val="auto"/>
        </w:rPr>
        <w:t>.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of Directors, (ii) brought before the meeting by or at the direction of the Board of Directors,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1.13 and at the time of the meeting, (B) is entitled to vote at the meeting, and (C) has complied with this Section 1.13 as to such business and the requirements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Except for proposals properly made in accordance with Rule 14a-8 under the Exchange Act, and included in the notice of meeting given by or at the direction of the Board of Directors, the foregoing clause (iii) shall be the exclusive means for a stockholder to propose business to be brought before an annual meeting of the stockholders. Stockholders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60" w:top="1440" w:right="359" w:bottom="1440" w:gutter="0" w:footer="0" w:header="0"/>
        </w:sectPr>
      </w:pPr>
    </w:p>
    <w:bookmarkStart w:id="7" w:name="page8"/>
    <w:bookmarkEnd w:id="7"/>
    <w:p>
      <w:pPr>
        <w:spacing w:after="0" w:line="18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not be permitted to propose business to be brought before a special meeting of the stockholders, and the only matters that may be brought before a special meeting are the matters specified in the Corporation’s notice of meeting. Stockholders seeking to nominate persons for election to the Board must comply</w:t>
      </w:r>
    </w:p>
    <w:p>
      <w:pPr>
        <w:ind w:right="580"/>
        <w:spacing w:after="0" w:line="226" w:lineRule="auto"/>
        <w:rPr>
          <w:sz w:val="20"/>
          <w:szCs w:val="20"/>
          <w:color w:val="auto"/>
        </w:rPr>
      </w:pPr>
      <w:r>
        <w:rPr>
          <w:rFonts w:ascii="Times New Roman" w:cs="Times New Roman" w:eastAsia="Times New Roman" w:hAnsi="Times New Roman"/>
          <w:sz w:val="18"/>
          <w:szCs w:val="18"/>
          <w:color w:val="auto"/>
        </w:rPr>
        <w:t>with Section 1.14 of these Bylaws and the requirements of the Exchange Act, and this Section 1.13 shall not be applicable to nominations except as expressly provided in Section 1.14 of these Bylaws.</w:t>
      </w:r>
    </w:p>
    <w:p>
      <w:pPr>
        <w:spacing w:after="0" w:line="157" w:lineRule="exact"/>
        <w:rPr>
          <w:sz w:val="20"/>
          <w:szCs w:val="20"/>
          <w:color w:val="auto"/>
        </w:rPr>
      </w:pPr>
    </w:p>
    <w:p>
      <w:pPr>
        <w:ind w:right="120" w:firstLine="1304"/>
        <w:spacing w:after="0" w:line="225" w:lineRule="auto"/>
        <w:tabs>
          <w:tab w:leader="none" w:pos="193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Requirement of Timely Notice of Stockholder Business</w:t>
      </w:r>
      <w:r>
        <w:rPr>
          <w:rFonts w:ascii="Times New Roman" w:cs="Times New Roman" w:eastAsia="Times New Roman" w:hAnsi="Times New Roman"/>
          <w:sz w:val="17"/>
          <w:szCs w:val="17"/>
          <w:color w:val="auto"/>
        </w:rPr>
        <w:t xml:space="preserve">.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1.13.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 twenty (120) days prior to the one year anniversary of the preceding year’s annual meeting;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if the date of the annual meeting is more than thirty</w:t>
      </w:r>
    </w:p>
    <w:p>
      <w:pPr>
        <w:ind w:left="360" w:hanging="352"/>
        <w:spacing w:after="0" w:line="219"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or more than sixty (60) days after such anniversary date, notice by the stockholder to be timely must be so delivered, or mailed and</w:t>
      </w:r>
    </w:p>
    <w:p>
      <w:pPr>
        <w:jc w:val="both"/>
        <w:spacing w:after="0" w:line="220" w:lineRule="auto"/>
        <w:rPr>
          <w:sz w:val="20"/>
          <w:szCs w:val="20"/>
          <w:color w:val="auto"/>
        </w:rPr>
      </w:pPr>
      <w:r>
        <w:rPr>
          <w:rFonts w:ascii="Times New Roman" w:cs="Times New Roman" w:eastAsia="Times New Roman" w:hAnsi="Times New Roman"/>
          <w:sz w:val="17"/>
          <w:szCs w:val="17"/>
          <w:color w:val="auto"/>
        </w:rPr>
        <w:t>received, not earlier than the one hundred twentieth (120th) day prior to such annual meeting and not later than the ninetieth (90th) day prior to such annual meeting or, if later, the tenth (10th) day following the day on which public disclosure of the date of such annual meeting was first made (such notice within such time periods, “</w:t>
      </w:r>
      <w:r>
        <w:rPr>
          <w:rFonts w:ascii="Times New Roman" w:cs="Times New Roman" w:eastAsia="Times New Roman" w:hAnsi="Times New Roman"/>
          <w:sz w:val="17"/>
          <w:szCs w:val="17"/>
          <w:i w:val="1"/>
          <w:iCs w:val="1"/>
          <w:color w:val="auto"/>
        </w:rPr>
        <w:t>Timely Notice</w:t>
      </w:r>
      <w:r>
        <w:rPr>
          <w:rFonts w:ascii="Times New Roman" w:cs="Times New Roman" w:eastAsia="Times New Roman" w:hAnsi="Times New Roman"/>
          <w:sz w:val="17"/>
          <w:szCs w:val="17"/>
          <w:color w:val="auto"/>
        </w:rPr>
        <w:t>”). In no event shall any adjournment or postponement of an annual meeting or the announcement thereof commence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time period for the giving of Timely Notice as described above.</w:t>
      </w:r>
    </w:p>
    <w:p>
      <w:pPr>
        <w:spacing w:after="0" w:line="153" w:lineRule="exact"/>
        <w:rPr>
          <w:sz w:val="20"/>
          <w:szCs w:val="20"/>
          <w:color w:val="auto"/>
        </w:rPr>
      </w:pPr>
    </w:p>
    <w:p>
      <w:pPr>
        <w:ind w:left="1940" w:hanging="636"/>
        <w:spacing w:after="0"/>
        <w:tabs>
          <w:tab w:leader="none" w:pos="1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Proper Form of Stockholder Notice of Proposed Business</w:t>
      </w:r>
      <w:r>
        <w:rPr>
          <w:rFonts w:ascii="Times New Roman" w:cs="Times New Roman" w:eastAsia="Times New Roman" w:hAnsi="Times New Roman"/>
          <w:sz w:val="18"/>
          <w:szCs w:val="18"/>
          <w:color w:val="auto"/>
        </w:rPr>
        <w:t>. To be in proper form for purposes of this 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a stockholder’s notice to the Secretary shall set forth:</w:t>
      </w:r>
    </w:p>
    <w:p>
      <w:pPr>
        <w:spacing w:after="0" w:line="178" w:lineRule="exact"/>
        <w:rPr>
          <w:rFonts w:ascii="Times New Roman" w:cs="Times New Roman" w:eastAsia="Times New Roman" w:hAnsi="Times New Roman"/>
          <w:sz w:val="18"/>
          <w:szCs w:val="18"/>
          <w:color w:val="auto"/>
        </w:rPr>
      </w:pPr>
    </w:p>
    <w:p>
      <w:pPr>
        <w:ind w:right="20" w:firstLine="1952"/>
        <w:spacing w:after="0" w:line="217" w:lineRule="auto"/>
        <w:tabs>
          <w:tab w:leader="none" w:pos="25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and (C) a representation whether such Proposing Person intends or is part of a group that intends (x) to deliver a proxy statement and/or form of proxy to holders of at least the percentage of the Corporation’s outstanding stock required to approve or adopt the proposal or (y) otherwise to solicit proxies from stockholders in support of such proposal;</w:t>
      </w:r>
    </w:p>
    <w:p>
      <w:pPr>
        <w:spacing w:after="0" w:line="161" w:lineRule="exact"/>
        <w:rPr>
          <w:rFonts w:ascii="Times New Roman" w:cs="Times New Roman" w:eastAsia="Times New Roman" w:hAnsi="Times New Roman"/>
          <w:sz w:val="18"/>
          <w:szCs w:val="18"/>
          <w:color w:val="auto"/>
        </w:rPr>
      </w:pPr>
    </w:p>
    <w:p>
      <w:pPr>
        <w:ind w:right="60" w:firstLine="1952"/>
        <w:spacing w:after="0" w:line="211" w:lineRule="auto"/>
        <w:tabs>
          <w:tab w:leader="none" w:pos="258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Disclosable Interests</w:t>
      </w:r>
      <w:r>
        <w:rPr>
          <w:rFonts w:ascii="Times New Roman" w:cs="Times New Roman" w:eastAsia="Times New Roman" w:hAnsi="Times New Roman"/>
          <w:sz w:val="18"/>
          <w:szCs w:val="18"/>
          <w:color w:val="auto"/>
        </w:rPr>
        <w:t>.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18"/>
          <w:szCs w:val="18"/>
          <w:i w:val="1"/>
          <w:iCs w:val="1"/>
          <w:color w:val="auto"/>
        </w:rPr>
        <w:t>Synthetic Equity Interest</w:t>
      </w:r>
      <w:r>
        <w:rPr>
          <w:rFonts w:ascii="Times New Roman" w:cs="Times New Roman" w:eastAsia="Times New Roman" w:hAnsi="Times New Roman"/>
          <w:sz w:val="18"/>
          <w:szCs w:val="18"/>
          <w:color w:val="auto"/>
        </w:rPr>
        <w:t>”), which such Synthetic Equity Interests shall be disclosed without regard to whether (x) such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18"/>
          <w:szCs w:val="18"/>
          <w:i w:val="1"/>
          <w:iCs w:val="1"/>
          <w:color w:val="auto"/>
        </w:rPr>
        <w:t>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(D) any rights to dividends on the shares of any class or series of the Corporation owned beneficially by such Proposing Person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separated or separable from the underlying shares of the Corporation, (E) any performance related fees (other than an asset based fee) that such Proposing Person is entitled to base on any increase or decrease in the price or value of shares of any class or series of the Corporation, or any Synthetic Equity Interests or Short Interests, if any, and (F) any other information relating to such Proposing Person that would be required to be disclosed in a proxy statement or other filing required to be made in connection with solicitations of proxies or consents by such Proposing Person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440" w:right="379" w:bottom="1440" w:gutter="0" w:footer="0" w:header="0"/>
        </w:sectPr>
      </w:pPr>
    </w:p>
    <w:bookmarkStart w:id="8" w:name="page9"/>
    <w:bookmarkEnd w:id="8"/>
    <w:p>
      <w:pPr>
        <w:spacing w:after="0" w:line="180"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support of the business proposed to be brought before the meeting pursuant to Section 14(a) of the Exchange Act (the disclosures to be made pursuant to the foregoing clauses (A) through (F) are referred to as “</w:t>
      </w:r>
      <w:r>
        <w:rPr>
          <w:rFonts w:ascii="Times New Roman" w:cs="Times New Roman" w:eastAsia="Times New Roman" w:hAnsi="Times New Roman"/>
          <w:sz w:val="17"/>
          <w:szCs w:val="17"/>
          <w:i w:val="1"/>
          <w:iCs w:val="1"/>
          <w:color w:val="auto"/>
        </w:rPr>
        <w:t>Disclosable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Disclosable Interests shall not include any such</w:t>
      </w:r>
    </w:p>
    <w:p>
      <w:pPr>
        <w:ind w:right="300"/>
        <w:spacing w:after="0" w:line="218" w:lineRule="auto"/>
        <w:rPr>
          <w:sz w:val="20"/>
          <w:szCs w:val="20"/>
          <w:color w:val="auto"/>
        </w:rPr>
      </w:pPr>
      <w:r>
        <w:rPr>
          <w:rFonts w:ascii="Times New Roman" w:cs="Times New Roman" w:eastAsia="Times New Roman" w:hAnsi="Times New Roman"/>
          <w:sz w:val="18"/>
          <w:szCs w:val="18"/>
          <w:color w:val="auto"/>
        </w:rPr>
        <w:t>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72" w:lineRule="exact"/>
        <w:rPr>
          <w:sz w:val="20"/>
          <w:szCs w:val="20"/>
          <w:color w:val="auto"/>
        </w:rPr>
      </w:pPr>
    </w:p>
    <w:p>
      <w:pPr>
        <w:ind w:right="60" w:firstLine="1952"/>
        <w:spacing w:after="0" w:line="217" w:lineRule="auto"/>
        <w:tabs>
          <w:tab w:leader="none" w:pos="259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Proposed Business</w:t>
      </w:r>
      <w:r>
        <w:rPr>
          <w:rFonts w:ascii="Times New Roman" w:cs="Times New Roman" w:eastAsia="Times New Roman" w:hAnsi="Times New Roman"/>
          <w:sz w:val="18"/>
          <w:szCs w:val="18"/>
          <w:color w:val="auto"/>
        </w:rPr>
        <w:t>. As to each item of business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w:t>
      </w:r>
    </w:p>
    <w:p>
      <w:pPr>
        <w:spacing w:after="0" w:line="171" w:lineRule="exact"/>
        <w:rPr>
          <w:rFonts w:ascii="Times New Roman" w:cs="Times New Roman" w:eastAsia="Times New Roman" w:hAnsi="Times New Roman"/>
          <w:sz w:val="18"/>
          <w:szCs w:val="18"/>
          <w:color w:val="auto"/>
        </w:rPr>
      </w:pPr>
    </w:p>
    <w:p>
      <w:pPr>
        <w:ind w:right="280" w:firstLine="1952"/>
        <w:spacing w:after="0" w:line="220" w:lineRule="auto"/>
        <w:tabs>
          <w:tab w:leader="none" w:pos="258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Proposing Person</w:t>
      </w:r>
      <w:r>
        <w:rPr>
          <w:rFonts w:ascii="Times New Roman" w:cs="Times New Roman" w:eastAsia="Times New Roman" w:hAnsi="Times New Roman"/>
          <w:sz w:val="18"/>
          <w:szCs w:val="18"/>
          <w:color w:val="auto"/>
        </w:rPr>
        <w:t>. For purposes of this Section 1.13, the term “</w:t>
      </w:r>
      <w:r>
        <w:rPr>
          <w:rFonts w:ascii="Times New Roman" w:cs="Times New Roman" w:eastAsia="Times New Roman" w:hAnsi="Times New Roman"/>
          <w:sz w:val="18"/>
          <w:szCs w:val="18"/>
          <w:i w:val="1"/>
          <w:iCs w:val="1"/>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pursuant to this Section 1.13, (ii) the beneficial owner or beneficial owners, if different, on whose behalf the notice of the business proposed to be brought before the annual meeting is made, (iii) any affiliate or associate of such stockholder or beneficial owner and (iv) any other person with whom such stockholder or beneficial owner (or any of their respective affiliates or associates) is acting in concert.</w:t>
      </w:r>
    </w:p>
    <w:p>
      <w:pPr>
        <w:spacing w:after="0" w:line="160" w:lineRule="exact"/>
        <w:rPr>
          <w:rFonts w:ascii="Times New Roman" w:cs="Times New Roman" w:eastAsia="Times New Roman" w:hAnsi="Times New Roman"/>
          <w:sz w:val="18"/>
          <w:szCs w:val="18"/>
          <w:color w:val="auto"/>
        </w:rPr>
      </w:pPr>
    </w:p>
    <w:p>
      <w:pPr>
        <w:ind w:firstLine="1304"/>
        <w:spacing w:after="0" w:line="214" w:lineRule="auto"/>
        <w:tabs>
          <w:tab w:leader="none" w:pos="19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Update and Supplement of Stockholder Notice of Proposed Business</w:t>
      </w:r>
      <w:r>
        <w:rPr>
          <w:rFonts w:ascii="Times New Roman" w:cs="Times New Roman" w:eastAsia="Times New Roman" w:hAnsi="Times New Roman"/>
          <w:sz w:val="18"/>
          <w:szCs w:val="18"/>
          <w:color w:val="auto"/>
        </w:rPr>
        <w:t>. A stockholder providing notice of business proposed to be brought before an annual or special meeting shall further update and supplement such notice, if necessary, so that the information provided or required to be provided in such notice pursuant to this Section 1.13 shall be true and correct as of (i) the record date for the meeting, (ii) the date that is ten (10) business days prior to the meeting, and (iii) the date that is ten (10) business days prior to any adjournment or postponement thereof, and such update and supplement shall be delivered to, or mailed and received by, the Secretary at the principal executive offices of the Corporation not later than five</w:t>
      </w:r>
    </w:p>
    <w:p>
      <w:pPr>
        <w:spacing w:after="0" w:line="1" w:lineRule="exact"/>
        <w:rPr>
          <w:rFonts w:ascii="Times New Roman" w:cs="Times New Roman" w:eastAsia="Times New Roman" w:hAnsi="Times New Roman"/>
          <w:sz w:val="18"/>
          <w:szCs w:val="18"/>
          <w:color w:val="auto"/>
        </w:rPr>
      </w:pPr>
    </w:p>
    <w:p>
      <w:pPr>
        <w:ind w:right="80" w:firstLine="8"/>
        <w:spacing w:after="0" w:line="21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previously delivered, permit a change in the proposal, business or resolution proposed to be brought before a meeting of the stockholders, or limit the Corporation’s rights in connection therewith.</w:t>
      </w:r>
    </w:p>
    <w:p>
      <w:pPr>
        <w:spacing w:after="0" w:line="158" w:lineRule="exact"/>
        <w:rPr>
          <w:rFonts w:ascii="Times New Roman" w:cs="Times New Roman" w:eastAsia="Times New Roman" w:hAnsi="Times New Roman"/>
          <w:sz w:val="18"/>
          <w:szCs w:val="18"/>
          <w:color w:val="auto"/>
        </w:rPr>
      </w:pPr>
    </w:p>
    <w:p>
      <w:pPr>
        <w:ind w:right="120" w:firstLine="1304"/>
        <w:spacing w:after="0" w:line="218" w:lineRule="auto"/>
        <w:tabs>
          <w:tab w:leader="none" w:pos="19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Not Properly Brought Before a Meeting</w:t>
      </w:r>
      <w:r>
        <w:rPr>
          <w:rFonts w:ascii="Times New Roman" w:cs="Times New Roman" w:eastAsia="Times New Roman" w:hAnsi="Times New Roman"/>
          <w:sz w:val="18"/>
          <w:szCs w:val="18"/>
          <w:color w:val="auto"/>
        </w:rPr>
        <w:t>. Notwithstanding anything in these Bylaws to the contrary, no business shall be conducted at an annual or special meeting except in accordance with this Section 1.13. The presiding officer of the meeting shall, if the facts warrant, determine that the business was not properly brought before the meeting in accordance with this Section 1.13, and if he or she should so determine, he or she shall so declare to the meeting, and any such business not properly brought before the meeting shall not be transacted. If the Board of Directors or any authorized committee thereof determines that (i) any information required to be provided by or on behalf any stockholder pursuant to these Bylaws in connection with any proposed business of such stockholder pursuant to this Section 1.13 is inaccurate or incomplete in any material respect, or (ii) any stockholder (including any Proposing Persons of such stockholder), in connection with any proposed business of such stockholder pursuant to the this Section 1.13 has not complied with all applicable requirements set forth in, and acted in accordance with all representations made pursuant to, these Bylaws, then the business proposed by any such stockholder shall be deemed not to have been proposed in accordance with the provisions of this Section 1.13 and shall not be transacted.</w:t>
      </w:r>
    </w:p>
    <w:p>
      <w:pPr>
        <w:spacing w:after="0" w:line="171" w:lineRule="exact"/>
        <w:rPr>
          <w:rFonts w:ascii="Times New Roman" w:cs="Times New Roman" w:eastAsia="Times New Roman" w:hAnsi="Times New Roman"/>
          <w:sz w:val="18"/>
          <w:szCs w:val="18"/>
          <w:color w:val="auto"/>
        </w:rPr>
      </w:pPr>
    </w:p>
    <w:p>
      <w:pPr>
        <w:ind w:right="100" w:firstLine="1304"/>
        <w:spacing w:after="0" w:line="220" w:lineRule="auto"/>
        <w:tabs>
          <w:tab w:leader="none" w:pos="19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This Section 1.13 is expressly intended to apply to any business proposed to be brought before an annual or special meeting of stockholders other than any proposal made pursuant to Rule 14a-8 under the Exchange Act. In addition to the requirements of this Section 1.13 with respect to any business proposed to be brought before an annual or special meeting, each Proposing Person shall comply with all applicable requirements of the Exchange Act with respect to any such business. Nothing in this Section 1.13 shall be deemed to affect the rights of stockholders to request inclusion of proposals in the Corporation’s proxy statement pursuant to Rule 14a-8 under the Exchange Act.</w:t>
      </w:r>
    </w:p>
    <w:p>
      <w:pPr>
        <w:spacing w:after="0" w:line="156" w:lineRule="exact"/>
        <w:rPr>
          <w:rFonts w:ascii="Times New Roman" w:cs="Times New Roman" w:eastAsia="Times New Roman" w:hAnsi="Times New Roman"/>
          <w:sz w:val="18"/>
          <w:szCs w:val="18"/>
          <w:color w:val="auto"/>
        </w:rPr>
      </w:pPr>
    </w:p>
    <w:p>
      <w:pPr>
        <w:ind w:right="480" w:firstLine="1304"/>
        <w:spacing w:after="0" w:line="253" w:lineRule="auto"/>
        <w:tabs>
          <w:tab w:leader="none" w:pos="193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Public Disclosure</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with the Securities and Exchange Commission pursuant to Sections 13, 14 or 15(d) of the Exchange Act.</w:t>
      </w:r>
    </w:p>
    <w:p>
      <w:pPr>
        <w:spacing w:after="0" w:line="185" w:lineRule="exact"/>
        <w:rPr>
          <w:sz w:val="20"/>
          <w:szCs w:val="20"/>
          <w:color w:val="auto"/>
        </w:rPr>
      </w:pPr>
    </w:p>
    <w:p>
      <w:pPr>
        <w:ind w:right="240" w:firstLine="1304"/>
        <w:spacing w:after="0" w:line="217" w:lineRule="auto"/>
        <w:tabs>
          <w:tab w:leader="none" w:pos="19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Appearance at Annual Meeting</w:t>
      </w:r>
      <w:r>
        <w:rPr>
          <w:rFonts w:ascii="Times New Roman" w:cs="Times New Roman" w:eastAsia="Times New Roman" w:hAnsi="Times New Roman"/>
          <w:sz w:val="18"/>
          <w:szCs w:val="18"/>
          <w:color w:val="auto"/>
        </w:rPr>
        <w:t>. Notwithstanding the foregoing provisions of this Section 1.13, if the stockholder submitting such notice of proposed business (or a qualified representative of such shareholder) does not appear at the applicable meeting of stockholders of the Corporation to present such proposal pursuant to this Section 1.13, such proposal shall not be considered, notwithstanding that proxies in respect of such vote may have been received by the Corporation. In order to be considered a qualified representative of a stockholder for purposes of these Bylaws, a person must be a duly authorized officer, manager or partner of such stockholder or must be authorized by a writing executed by such shareholder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7"/>
          <w:szCs w:val="17"/>
          <w:u w:val="single" w:color="auto"/>
          <w:color w:val="auto"/>
        </w:rPr>
        <w:t>Nominations</w:t>
      </w:r>
      <w:r>
        <w:rPr>
          <w:rFonts w:ascii="Times New Roman" w:cs="Times New Roman" w:eastAsia="Times New Roman" w:hAnsi="Times New Roman"/>
          <w:sz w:val="17"/>
          <w:szCs w:val="17"/>
          <w:color w:val="auto"/>
        </w:rPr>
        <w:t>.</w:t>
      </w:r>
    </w:p>
    <w:p>
      <w:pPr>
        <w:spacing w:after="0" w:line="185" w:lineRule="exact"/>
        <w:rPr>
          <w:sz w:val="20"/>
          <w:szCs w:val="20"/>
          <w:color w:val="auto"/>
        </w:rPr>
      </w:pPr>
    </w:p>
    <w:p>
      <w:pPr>
        <w:jc w:val="both"/>
        <w:ind w:firstLine="1304"/>
        <w:spacing w:after="0" w:line="215" w:lineRule="auto"/>
        <w:tabs>
          <w:tab w:leader="none" w:pos="19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 May Make Nominations</w:t>
      </w:r>
      <w:r>
        <w:rPr>
          <w:rFonts w:ascii="Times New Roman" w:cs="Times New Roman" w:eastAsia="Times New Roman" w:hAnsi="Times New Roman"/>
          <w:sz w:val="18"/>
          <w:szCs w:val="18"/>
          <w:color w:val="auto"/>
        </w:rPr>
        <w:t>.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appointed by the Board of Directors,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1.14 and at the time of the meeting, (B) is entitled to vote at the meeting, and (C) has complied with this Section 1.14 as to such nomination. The foregoing clause (ii) shall be the exclusive means for a stockholder to make any nomination of a person or persons for election to the Board of Directors at an annual meeting or special meeting.</w:t>
      </w:r>
    </w:p>
    <w:p>
      <w:pPr>
        <w:spacing w:after="0" w:line="177" w:lineRule="exact"/>
        <w:rPr>
          <w:rFonts w:ascii="Times New Roman" w:cs="Times New Roman" w:eastAsia="Times New Roman" w:hAnsi="Times New Roman"/>
          <w:sz w:val="18"/>
          <w:szCs w:val="18"/>
          <w:color w:val="auto"/>
        </w:rPr>
      </w:pPr>
    </w:p>
    <w:p>
      <w:pPr>
        <w:ind w:firstLine="1304"/>
        <w:spacing w:after="0" w:line="212" w:lineRule="auto"/>
        <w:tabs>
          <w:tab w:leader="none" w:pos="19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of Timely Notice of Stockholder Nominations</w:t>
      </w:r>
      <w:r>
        <w:rPr>
          <w:rFonts w:ascii="Times New Roman" w:cs="Times New Roman" w:eastAsia="Times New Roman" w:hAnsi="Times New Roman"/>
          <w:sz w:val="18"/>
          <w:szCs w:val="18"/>
          <w:color w:val="auto"/>
        </w:rPr>
        <w:t>. Without qualification, for a stockholder to make any nomination of a person or persons for election to the Board of Directors at an annual meeting, the stockholder must (i) provide Timely Notice (as defined in Section 1.13 of these Bylaws) thereof in writing and in proper form to the Secretary of the Corporation and (ii) provide any updates or supplements to such notice at the times and in the forms required by this Section 1.14. Without qualification, if the election of directors is a matter specified in the notice of meeting given by or at the direction of the person calling such special meeting,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1.14.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1.13 of these Bylaws) of the date of such special meeting was first made. In no event shall any adjournment or postponement of an annual meeting or special meeting or the announcement thereof commence a new time period for the giving of a stockholder’s notice as described above. In addition, (x) the number of proposed nominees that a stockholder (including Nominating Persons (as defined below) of such stockholder) may nominate for election at any annual meeting, or a special meeting, at which directors are to be elected pursuant to this Section 1.14 shall not exceed the number of directors to be elected at such meeting, and (y) no stockholder (including any Nominating Persons with respect to such stockholder) nominating any proposed nominees pursuant to this Section 1.14 will be entitled to make any additional or substitute nominations of proposed nominees following the expiration of applicable time periods set forth in this Section 1.14.</w:t>
      </w:r>
    </w:p>
    <w:p>
      <w:pPr>
        <w:spacing w:after="0" w:line="158" w:lineRule="exact"/>
        <w:rPr>
          <w:rFonts w:ascii="Times New Roman" w:cs="Times New Roman" w:eastAsia="Times New Roman" w:hAnsi="Times New Roman"/>
          <w:sz w:val="18"/>
          <w:szCs w:val="18"/>
          <w:color w:val="auto"/>
        </w:rPr>
      </w:pPr>
    </w:p>
    <w:p>
      <w:pPr>
        <w:ind w:right="140" w:firstLine="1304"/>
        <w:spacing w:after="0" w:line="237" w:lineRule="auto"/>
        <w:tabs>
          <w:tab w:leader="none" w:pos="19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for Proper Form of Notice of Stockholder Nominations</w:t>
      </w:r>
      <w:r>
        <w:rPr>
          <w:rFonts w:ascii="Times New Roman" w:cs="Times New Roman" w:eastAsia="Times New Roman" w:hAnsi="Times New Roman"/>
          <w:sz w:val="18"/>
          <w:szCs w:val="18"/>
          <w:color w:val="auto"/>
        </w:rPr>
        <w:t>. To be in proper form for purposes of this Section 1.14, a stockholder’s notice to the Secretary shall set forth:</w:t>
      </w:r>
    </w:p>
    <w:p>
      <w:pPr>
        <w:spacing w:after="0" w:line="171" w:lineRule="exact"/>
        <w:rPr>
          <w:rFonts w:ascii="Times New Roman" w:cs="Times New Roman" w:eastAsia="Times New Roman" w:hAnsi="Times New Roman"/>
          <w:sz w:val="18"/>
          <w:szCs w:val="18"/>
          <w:color w:val="auto"/>
        </w:rPr>
      </w:pPr>
    </w:p>
    <w:p>
      <w:pPr>
        <w:ind w:firstLine="1952"/>
        <w:spacing w:after="0" w:line="215" w:lineRule="auto"/>
        <w:tabs>
          <w:tab w:leader="none" w:pos="258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 As to each Nominating Person, (A) the name and address of such Nominating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Nominating Person, except that such Nominating Person shall in all events be deemed to beneficially own any shares of any class or series of the Corporation as to which such Nominating Person has a right to acquire beneficial ownership at any time in the future and (C) a representation whether such Nominating Person intends or is part of a group that intends (x) to deliver a proxy statement and/or form of proxy to holders of at least the percentage of the Corporation’s outstanding stock reasonably believed by the Nominating Person to be sufficient to elect the nominee or nominees proposed to be nominated by the Nominating Person,(y) otherwise to solicit proxies in support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nomination, or (z) to solicit proxies in support of any Proposed Nominee (as defined below) other than the Corporation’s director nominees in accordance with Rule 14a-19 under the Exchange Act (including Rule 14a-19(a)(2) and Rule 14a-19(a)(3);</w:t>
      </w:r>
    </w:p>
    <w:p>
      <w:pPr>
        <w:spacing w:after="0" w:line="172" w:lineRule="exact"/>
        <w:rPr>
          <w:sz w:val="20"/>
          <w:szCs w:val="20"/>
          <w:color w:val="auto"/>
        </w:rPr>
      </w:pPr>
    </w:p>
    <w:p>
      <w:pPr>
        <w:jc w:val="both"/>
        <w:ind w:right="200" w:firstLine="1952"/>
        <w:spacing w:after="0" w:line="224" w:lineRule="auto"/>
        <w:tabs>
          <w:tab w:leader="none" w:pos="25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Disclosable Interests</w:t>
      </w:r>
      <w:r>
        <w:rPr>
          <w:rFonts w:ascii="Times New Roman" w:cs="Times New Roman" w:eastAsia="Times New Roman" w:hAnsi="Times New Roman"/>
          <w:sz w:val="18"/>
          <w:szCs w:val="18"/>
          <w:color w:val="auto"/>
        </w:rPr>
        <w:t>. As to each Nominating Person, any Disclosable Interests (as defined in Section 1.13(c)(ii), except that for purposes of this Section 1.14 the term “Nominating Person” shall be substituted for the term “Proposing Person” in all places it appears in Section 1.13(c)(ii)), and the disclosure in clause (F) of Section 1.13(c)(ii) shall be made with respect to the election of directors at the meeting;</w:t>
      </w:r>
    </w:p>
    <w:p>
      <w:pPr>
        <w:spacing w:after="0" w:line="158" w:lineRule="exact"/>
        <w:rPr>
          <w:rFonts w:ascii="Times New Roman" w:cs="Times New Roman" w:eastAsia="Times New Roman" w:hAnsi="Times New Roman"/>
          <w:sz w:val="18"/>
          <w:szCs w:val="18"/>
          <w:color w:val="auto"/>
        </w:rPr>
      </w:pPr>
    </w:p>
    <w:p>
      <w:pPr>
        <w:ind w:firstLine="1952"/>
        <w:spacing w:after="0" w:line="214" w:lineRule="auto"/>
        <w:tabs>
          <w:tab w:leader="none" w:pos="2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Regarding Proposed Nominees</w:t>
      </w:r>
      <w:r>
        <w:rPr>
          <w:rFonts w:ascii="Times New Roman" w:cs="Times New Roman" w:eastAsia="Times New Roman" w:hAnsi="Times New Roman"/>
          <w:sz w:val="18"/>
          <w:szCs w:val="18"/>
          <w:color w:val="auto"/>
        </w:rPr>
        <w:t>. As to each person whom a Nominating Person proposes to nominate for election as a director, (A) all information with respect to such proposed nominee that would be required to be set forth in a stockholder’s notice pursuant to this Section 1.14 if such proposed nominee were a Nominating Person (provided that the representations set forth in paragraph (c)(i)(C) of this Section 1.14 need not be provided with respect to the proposed nominee), (B) all information relating to such proposed nominee that is required to be disclosed in a proxy statement or other filings required to be made in connection with solicitations of proxies for election of directors in a contested election pursuant to</w:t>
      </w:r>
    </w:p>
    <w:p>
      <w:pPr>
        <w:spacing w:after="0" w:line="2"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7"/>
          <w:szCs w:val="17"/>
          <w:color w:val="auto"/>
        </w:rPr>
        <w:t>Section 14 under the Exchange Act (including such proposed nominee’s written consent to being named in the proxy statement and accompanying proxy card as a nominee and to serving as a director if elected) and the rules and regulations promulgated thereunder (including pursuant to Rule 14a-19), and</w:t>
      </w:r>
    </w:p>
    <w:p>
      <w:pPr>
        <w:spacing w:after="0" w:line="1" w:lineRule="exact"/>
        <w:rPr>
          <w:sz w:val="20"/>
          <w:szCs w:val="20"/>
          <w:color w:val="auto"/>
        </w:rPr>
      </w:pPr>
    </w:p>
    <w:p>
      <w:pPr>
        <w:ind w:right="40" w:firstLine="8"/>
        <w:spacing w:after="0" w:line="218" w:lineRule="auto"/>
        <w:tabs>
          <w:tab w:leader="none" w:pos="2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years, and any other material relationships, between or among any Nominating Person, on the one hand, and each proposed nominee,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w:t>
      </w:r>
    </w:p>
    <w:p>
      <w:pPr>
        <w:spacing w:after="0" w:line="160" w:lineRule="exact"/>
        <w:rPr>
          <w:rFonts w:ascii="Times New Roman" w:cs="Times New Roman" w:eastAsia="Times New Roman" w:hAnsi="Times New Roman"/>
          <w:sz w:val="18"/>
          <w:szCs w:val="18"/>
          <w:color w:val="auto"/>
        </w:rPr>
      </w:pPr>
    </w:p>
    <w:p>
      <w:pPr>
        <w:ind w:right="40" w:firstLine="1952"/>
        <w:spacing w:after="0" w:line="215" w:lineRule="auto"/>
        <w:tabs>
          <w:tab w:leader="none" w:pos="258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 to be Furnished by Proposed Nominees</w:t>
      </w:r>
      <w:r>
        <w:rPr>
          <w:rFonts w:ascii="Times New Roman" w:cs="Times New Roman" w:eastAsia="Times New Roman" w:hAnsi="Times New Roman"/>
          <w:sz w:val="18"/>
          <w:szCs w:val="18"/>
          <w:color w:val="auto"/>
        </w:rPr>
        <w:t>. The Corporation may require any proposed nominee to furnish such other information (A) as may reasonably be required by the Corporation to determine the eligibility of such proposed nominee to serve as an independent director of the Corporation in accordance with the Corporation’s Governance Guidelines or (B) that could be material to a reasonable stockholder’s understanding of the independence or lack of independence of such proposed nominee. As a condition to being a proposed nominee, each proposed nominee shall submit to interviews with the Board of Directors or a committee thereof, if requested by the Board of Directors, and each proposed nominee shall make himself or herself available for any such interviews on or prior to the later of (x) ten (10) days following any reasonable request therefor from the Board of Directors (or any committee thereof) and (y) the 30th day prior to the meeting of stockholders at which such proposed nominee is nominated to be elected to the Board of Directors.</w:t>
      </w:r>
    </w:p>
    <w:p>
      <w:pPr>
        <w:spacing w:after="0" w:line="177" w:lineRule="exact"/>
        <w:rPr>
          <w:rFonts w:ascii="Times New Roman" w:cs="Times New Roman" w:eastAsia="Times New Roman" w:hAnsi="Times New Roman"/>
          <w:sz w:val="18"/>
          <w:szCs w:val="18"/>
          <w:color w:val="auto"/>
        </w:rPr>
      </w:pPr>
    </w:p>
    <w:p>
      <w:pPr>
        <w:ind w:right="200" w:firstLine="1952"/>
        <w:spacing w:after="0" w:line="224" w:lineRule="auto"/>
        <w:tabs>
          <w:tab w:leader="none" w:pos="258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Nominating Person</w:t>
      </w:r>
      <w:r>
        <w:rPr>
          <w:rFonts w:ascii="Times New Roman" w:cs="Times New Roman" w:eastAsia="Times New Roman" w:hAnsi="Times New Roman"/>
          <w:sz w:val="18"/>
          <w:szCs w:val="18"/>
          <w:color w:val="auto"/>
        </w:rPr>
        <w:t>. For purposes of this Section 1.14, the term “Nominating Person” shall mean (i) the stockholder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with whom such stockholder or beneficial owner (or any of their respective affiliates or associates) is acting in concert.</w:t>
      </w:r>
    </w:p>
    <w:p>
      <w:pPr>
        <w:spacing w:after="0" w:line="158" w:lineRule="exact"/>
        <w:rPr>
          <w:rFonts w:ascii="Times New Roman" w:cs="Times New Roman" w:eastAsia="Times New Roman" w:hAnsi="Times New Roman"/>
          <w:sz w:val="18"/>
          <w:szCs w:val="18"/>
          <w:color w:val="auto"/>
        </w:rPr>
      </w:pPr>
    </w:p>
    <w:p>
      <w:pPr>
        <w:ind w:right="20" w:firstLine="1304"/>
        <w:spacing w:after="0" w:line="215" w:lineRule="auto"/>
        <w:tabs>
          <w:tab w:leader="none" w:pos="193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Update and Supplement of Stockholder Notice of Nominations</w:t>
      </w:r>
      <w:r>
        <w:rPr>
          <w:rFonts w:ascii="Times New Roman" w:cs="Times New Roman" w:eastAsia="Times New Roman" w:hAnsi="Times New Roman"/>
          <w:sz w:val="18"/>
          <w:szCs w:val="18"/>
          <w:color w:val="auto"/>
        </w:rPr>
        <w:t>. A stockholder providing notice of any nomination proposed to be made at a meeting shall further update and supplement such notice, if necessary, so that the information provided or required to be provided in such notice pursuant to this Section 1.14 shall be true and correct as of (i) the record date for the meeting, (ii) the date that is ten (10) business days prior to the meeting, and (iii) the date that is ten (10) business days prior to any adjournment or postponement thereof, and such update and supplement shall be delivered to, or mailed and received by,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previously delivered, permit a change in the nominees or nominations proposed to be made at a meeting of the stockholders, or limit the Corporation’s rights in connection therewith.</w:t>
      </w:r>
    </w:p>
    <w:p>
      <w:pPr>
        <w:spacing w:after="0" w:line="157" w:lineRule="exact"/>
        <w:rPr>
          <w:rFonts w:ascii="Times New Roman" w:cs="Times New Roman" w:eastAsia="Times New Roman" w:hAnsi="Times New Roman"/>
          <w:sz w:val="18"/>
          <w:szCs w:val="18"/>
          <w:color w:val="auto"/>
        </w:rPr>
      </w:pPr>
    </w:p>
    <w:p>
      <w:pPr>
        <w:ind w:right="20" w:firstLine="1304"/>
        <w:spacing w:after="0" w:line="231" w:lineRule="auto"/>
        <w:tabs>
          <w:tab w:leader="none" w:pos="19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Defective Nominations</w:t>
      </w:r>
      <w:r>
        <w:rPr>
          <w:rFonts w:ascii="Times New Roman" w:cs="Times New Roman" w:eastAsia="Times New Roman" w:hAnsi="Times New Roman"/>
          <w:sz w:val="18"/>
          <w:szCs w:val="18"/>
          <w:color w:val="auto"/>
        </w:rPr>
        <w:t>. Notwithstanding anything in these Bylaws to the contrary, no person shall be eligible for election as a director of the Corporation unless nominated in accordance with this Section 1.14. The presiding officer at the meeting shall, if the facts warrant, determine that a nomination was not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80"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made in accordance with this Section 1.14, and if he or she should so determine, he or she shall so declare such determination to the meeting and the defective nomination shall be disregarded. If the Board of Directors or any authorized committee thereof determines that (i) any information required to be</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provided by or on behalf any stockholder pursuant to these Bylaws in connection with any nomination by or on behalf of such stockholder pursuant to this Section 1.14 is inaccurate or incomplete in any material respect, or (ii) any stockholder (including any Nominating Persons of such stockholder), in connection with any nomination of a proposed nominee of such stockholder pursuant to the this Section 1.14 has not complied with all applicable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requirements set forth in, and acted in accordance with all representations made pursuant to, these Bylaws, then the nomination or nominations proposed by any such stockholder shall be deemed not to have been deemed made in accordance with the provisions of this Section 1.14.</w:t>
      </w:r>
    </w:p>
    <w:p>
      <w:pPr>
        <w:spacing w:after="0" w:line="157" w:lineRule="exact"/>
        <w:rPr>
          <w:sz w:val="20"/>
          <w:szCs w:val="20"/>
          <w:color w:val="auto"/>
        </w:rPr>
      </w:pPr>
    </w:p>
    <w:p>
      <w:pPr>
        <w:ind w:firstLine="1304"/>
        <w:spacing w:after="0" w:line="225" w:lineRule="auto"/>
        <w:tabs>
          <w:tab w:leader="none" w:pos="1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Exchange Act</w:t>
      </w:r>
      <w:r>
        <w:rPr>
          <w:rFonts w:ascii="Times New Roman" w:cs="Times New Roman" w:eastAsia="Times New Roman" w:hAnsi="Times New Roman"/>
          <w:sz w:val="17"/>
          <w:szCs w:val="17"/>
          <w:color w:val="auto"/>
        </w:rPr>
        <w:t>. In addition to the requirements of this Section 1.14 with respect to any nomination proposed to be made at a meeting, each Nominating Person shall comply with all applicable requirements of the Exchange Act with respect to any such nominations. Notwithstanding anything contained herein to contrary in these Bylaws, if any stockholder making any director nomination pursuant to the terms of this Section 1.14 provides notice of any nomination pursuant to pursuant to Rule 14a-19(b) under the Exchange Act (any such stockholder, a “Rule 14a-19 Stockholder”) and subsequently either (i) notifies the Corporation that such Rule 14a-19 Stockholder (including any Nominating Persons of such Rule 14a-19 Stockholder) no longer intends to solicit proxies in support of the election of any proposed nominee in accordance with such rule, or (ii) such Rule 14a-19 Stockholder (including any Nominating Persons of such Rule 14a-19 Stockholder) fails to comply with the requirements of Rule 14a-19 under the Exchange Act (including Rule 14a-19(a)(2) and/or Rule 14a-19(a)(3) thereunder), then the Corporation shall disregard any proxies or votes solicited for the proposed nominee(s) of such Rule 14a-19 Stockholder, and no vote with respect to the election of such proposed nominee(s) shall occur (notwithstanding the fact that proxies in respect of such vote may have been received by the Corporation). Upon request by the Corporation, any Rule 14a-19 Stockholder shall deliver to the Corporation, not later than five (5) business days prior to the applicable meeting of stockholders of the Corporation, documentation reasonably satisfactory to the Corporation demonstrating that such Rule 14a-19 Stockholder (including any Nominating Persons of such Rule 14a-19 Stockholder) has met the requirements of Rule 14a-19(a)(3) under the Exchange Act. Any Rule 14a-19 Stockholder shall notify the Corporation’s Secretary in writing within two (2) business days after becoming aware that such Rule 14a-19 Stockholder (including any Nominating Persons of such Rule 14a-19 Stockholder) no longer intends to solicit proxies in support of the proposed nominee(s) of such Rule 14a-19 Stockholder in accordance with Rule 14a-19.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98"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Number; Qualifications</w:t>
      </w:r>
      <w:r>
        <w:rPr>
          <w:rFonts w:ascii="Times New Roman" w:cs="Times New Roman" w:eastAsia="Times New Roman" w:hAnsi="Times New Roman"/>
          <w:sz w:val="18"/>
          <w:szCs w:val="18"/>
          <w:color w:val="auto"/>
        </w:rPr>
        <w:t>. The Board of Directors shall consist of one or more members, the number of which shall be fixed from time to time by resolution of the Board of Directors. At each annual meeting of stockholders, all directors shall be elected for a one-year term expiring at the next annual meeting of stockholders, with each director to hold office until his or her successor shall have been duly elected and qualified. No decrease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number of directors constituting the Board of Directors shall shorten the term of any incumbent director.</w:t>
      </w:r>
    </w:p>
    <w:p>
      <w:pPr>
        <w:spacing w:after="0" w:line="192"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1304"/>
        <w:spacing w:after="0" w:line="216" w:lineRule="auto"/>
        <w:tabs>
          <w:tab w:leader="none" w:pos="19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For purposes of these Bylaws, a “majority of votes” cast shall mean that the number of shares voted “for” a director’s election must exceed the number of votes cast “against” the election of that director. Votes cast shall include direction to withhold authority in each case and exclude abstentions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these Bylaws, a “contested election” shall mean any election of directors where, as of the tenth (10th) day preceding the date on which the Corporation first mails its notice of meeting, for the meeting at which directors are being elected, the number of nominees for director exceeds the number of directors to be elected. Except as otherwise provided by law, the Certificate of Incorporation, or these Bylaws, in all matters other than the election of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8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affirmative vote of a majority of the shares present in person or represented by proxy at the meeting and entitled to vote on the matter shall be the act of the stockholders.</w:t>
      </w:r>
    </w:p>
    <w:p>
      <w:pPr>
        <w:spacing w:after="0" w:line="172" w:lineRule="exact"/>
        <w:rPr>
          <w:sz w:val="20"/>
          <w:szCs w:val="20"/>
          <w:color w:val="auto"/>
        </w:rPr>
      </w:pPr>
    </w:p>
    <w:p>
      <w:pPr>
        <w:ind w:right="220" w:firstLine="1304"/>
        <w:spacing w:after="0" w:line="213"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nominee for director who is an incumbent director is not elected and no successor has been elected at such meeting, the director shall promptly tender his or her resignation to the Board of Directors. The Governance Committee shall make a recommendation to the Board of Directors as to whether to accept or reject the tendered resignation, or whether other action should be taken. The Board of Directors shall act on the tendered resignation, taking into account the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Governance Committee or the decision of the Board of Directors with respect to his or her resignation. If such incumbent director’s resignation is not accepted by the Board of Directors, such director shall continue to serve until his or her successor is duly elected, or his or her earlier resignation or removal. If a director’s resignation is accepted by the Board of Directors pursuant to these Bylaws, or if a nominee for director is not elected and the nominee is not an incumbent director, then the Board of Directors, in its sole discretion, may fill any resulting vacancy or may decrease the size of the Board of Directors pursuant to the provisions of these Bylaws.</w:t>
      </w:r>
    </w:p>
    <w:p>
      <w:pPr>
        <w:spacing w:after="0" w:line="163"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Resignation; Removal; Vacancies</w:t>
      </w:r>
      <w:r>
        <w:rPr>
          <w:rFonts w:ascii="Times New Roman" w:cs="Times New Roman" w:eastAsia="Times New Roman" w:hAnsi="Times New Roman"/>
          <w:sz w:val="17"/>
          <w:szCs w:val="17"/>
          <w:color w:val="auto"/>
        </w:rPr>
        <w:t>. Subject to the provisions of the Certificate of Incorporation, each director shall serve until his or her successor is duly elected and qualified, or until his or her earlier death, resignation, retirement or removal from service as a director. Any director may</w:t>
      </w:r>
    </w:p>
    <w:p>
      <w:pPr>
        <w:jc w:val="both"/>
        <w:ind w:right="220"/>
        <w:spacing w:after="0" w:line="208" w:lineRule="auto"/>
        <w:rPr>
          <w:sz w:val="20"/>
          <w:szCs w:val="20"/>
          <w:color w:val="auto"/>
        </w:rPr>
      </w:pPr>
      <w:r>
        <w:rPr>
          <w:rFonts w:ascii="Times New Roman" w:cs="Times New Roman" w:eastAsia="Times New Roman" w:hAnsi="Times New Roman"/>
          <w:sz w:val="18"/>
          <w:szCs w:val="18"/>
          <w:color w:val="auto"/>
        </w:rPr>
        <w:t>resign at any time upon notice given in writing or by electronic transmission to the Corporation, pursuant to the Corporation’s resignation policy then in effect. Subject to the rights of any holders of Preferred Stock then outstanding and the Certificate of Incorporation any vacancy occurring in the Board of Directors for any reason, and any newly created directorship resulting from any increase in the authorized number of directors to be elected by all</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stockholders having the right to vote as a single class, shall be filled only by (a) a majority of the directors then in office, although less than a quorum, or by a sole remaining director, or (b) by a plurality of the votes cast at a meeting of the stockholders. Subject to the rights of the holders of any series of Preferred Stock with respect to such series of Preferred Stock, any director, or the entire Board of Directors, may be removed from office at any time, with</w:t>
      </w:r>
    </w:p>
    <w:p>
      <w:pPr>
        <w:spacing w:after="0" w:line="2" w:lineRule="exact"/>
        <w:rPr>
          <w:sz w:val="20"/>
          <w:szCs w:val="20"/>
          <w:color w:val="auto"/>
        </w:rPr>
      </w:pPr>
    </w:p>
    <w:p>
      <w:pPr>
        <w:ind w:right="540"/>
        <w:spacing w:after="0" w:line="226" w:lineRule="auto"/>
        <w:rPr>
          <w:sz w:val="20"/>
          <w:szCs w:val="20"/>
          <w:color w:val="auto"/>
        </w:rPr>
      </w:pPr>
      <w:r>
        <w:rPr>
          <w:rFonts w:ascii="Times New Roman" w:cs="Times New Roman" w:eastAsia="Times New Roman" w:hAnsi="Times New Roman"/>
          <w:sz w:val="18"/>
          <w:szCs w:val="18"/>
          <w:color w:val="auto"/>
        </w:rPr>
        <w:t>or without cause, by the affirmative vote of the holders of a majority of the voting power of all of the then-outstanding shares of voting stock, voting together as a single class.</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at such places, within or without the State of Delaware,</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and at such times as the Board of Directors may from time to time determine. Notice of regular meetings need not be given if the date, times and places thereof are fixed by resolution of the Board of Directors.</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Special meetings of the Board of Directors may be called by the Chairman of the Board, the Chief Executive</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Officer or a majority of the members of the Board of Directors then in office and may be held at any time, date or place, within or without the State of Delaware, as the person or persons calling the meeting shall fix. Notice of the time, date and place of such meeting shall be given, orally or in writing, by the person or persons calling the meeting to all directors at least four (4) days before the meeting if the notice is mailed, or at least twelve (12) hours before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meeting if such notice is given by telephone, hand delivery, overnight express courier, facsimile, electronic mail or other electronic transmission. Unless otherwise indicated in the notice, any and all business may be transacted at a special meeting. The notice shall be deemed given:</w:t>
      </w:r>
    </w:p>
    <w:p>
      <w:pPr>
        <w:spacing w:after="0" w:line="157" w:lineRule="exact"/>
        <w:rPr>
          <w:sz w:val="20"/>
          <w:szCs w:val="20"/>
          <w:color w:val="auto"/>
        </w:rPr>
      </w:pPr>
    </w:p>
    <w:p>
      <w:pPr>
        <w:ind w:firstLine="1304"/>
        <w:spacing w:after="0" w:line="237" w:lineRule="auto"/>
        <w:tabs>
          <w:tab w:leader="none" w:pos="19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hand delivery or notice by telephone, when received by the director to whom notice is to be given or by any person accepting such notice on behalf of such director,</w:t>
      </w:r>
    </w:p>
    <w:p>
      <w:pPr>
        <w:spacing w:after="0" w:line="171" w:lineRule="exact"/>
        <w:rPr>
          <w:rFonts w:ascii="Times New Roman" w:cs="Times New Roman" w:eastAsia="Times New Roman" w:hAnsi="Times New Roman"/>
          <w:sz w:val="18"/>
          <w:szCs w:val="18"/>
          <w:color w:val="auto"/>
        </w:rPr>
      </w:pPr>
    </w:p>
    <w:p>
      <w:pPr>
        <w:ind w:right="160" w:firstLine="1304"/>
        <w:spacing w:after="0" w:line="237" w:lineRule="auto"/>
        <w:tabs>
          <w:tab w:leader="none" w:pos="19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overnight express courier, on the first business day after such notice is dispatched, and</w:t>
      </w:r>
    </w:p>
    <w:p>
      <w:pPr>
        <w:spacing w:after="0" w:line="19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facsimile, electronic mail or other electronic transmission, when sent to the director to whom notice is to be given or by any person accepting such notice on behalf of such director at such director’s facsimile number or electronic mail address, as the case may be, as it appears on the Corporation’s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0" w:lineRule="exact"/>
        <w:rPr>
          <w:sz w:val="20"/>
          <w:szCs w:val="20"/>
          <w:color w:val="auto"/>
        </w:rPr>
      </w:pPr>
    </w:p>
    <w:p>
      <w:pPr>
        <w:jc w:val="both"/>
        <w:ind w:right="1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Telephonic Meetings Permitted</w:t>
      </w:r>
      <w:r>
        <w:rPr>
          <w:rFonts w:ascii="Times New Roman" w:cs="Times New Roman" w:eastAsia="Times New Roman" w:hAnsi="Times New Roman"/>
          <w:sz w:val="18"/>
          <w:szCs w:val="18"/>
          <w:color w:val="auto"/>
        </w:rPr>
        <w:t>. Members of the Board of Directors, or any committee of the Board of Directors, may participate in a meeting of the Board of Directors or such committee by means of conference telephone or similar communications equipment by means of which all</w:t>
      </w:r>
    </w:p>
    <w:p>
      <w:pPr>
        <w:spacing w:after="0" w:line="2" w:lineRule="exact"/>
        <w:rPr>
          <w:sz w:val="20"/>
          <w:szCs w:val="20"/>
          <w:color w:val="auto"/>
        </w:rPr>
      </w:pPr>
    </w:p>
    <w:p>
      <w:pPr>
        <w:ind w:right="580"/>
        <w:spacing w:after="0" w:line="226" w:lineRule="auto"/>
        <w:rPr>
          <w:sz w:val="20"/>
          <w:szCs w:val="20"/>
          <w:color w:val="auto"/>
        </w:rPr>
      </w:pPr>
      <w:r>
        <w:rPr>
          <w:rFonts w:ascii="Times New Roman" w:cs="Times New Roman" w:eastAsia="Times New Roman" w:hAnsi="Times New Roman"/>
          <w:sz w:val="18"/>
          <w:szCs w:val="18"/>
          <w:color w:val="auto"/>
        </w:rPr>
        <w:t>persons participating in the meeting can hear each other, and participation in a meeting pursuant to conference telephone or similar communications equipment shall constitute presence in person at such meeting.</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u w:val="single" w:color="auto"/>
          <w:color w:val="auto"/>
        </w:rPr>
        <w:t>Quorum; Vote Required for Action</w:t>
      </w:r>
      <w:r>
        <w:rPr>
          <w:rFonts w:ascii="Times New Roman" w:cs="Times New Roman" w:eastAsia="Times New Roman" w:hAnsi="Times New Roman"/>
          <w:sz w:val="17"/>
          <w:szCs w:val="17"/>
          <w:color w:val="auto"/>
        </w:rPr>
        <w:t>. At all meetings of the Board of Directors a majority of the total number of authorized directors</w:t>
      </w:r>
    </w:p>
    <w:p>
      <w:pPr>
        <w:spacing w:after="0" w:line="2"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shall constitute a quorum for the transaction of business. Except as otherwise provided herein or in the Certificate of Incorporation, or required by law, the vote of a majority of the directors present at a meeting at which a quorum is present shall be the act of the Board of Directors. If a quorum is not present at any meeting of the Board of Directors, then the directors present thereat may adjourn the meeting from time to time, without notice other than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at the meeting, until a quorum is present.</w:t>
      </w:r>
    </w:p>
    <w:p>
      <w:pPr>
        <w:spacing w:after="0" w:line="165"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shall have the power to elect the Chairman of the Board from among the members of the Board of Directors. The Chairman of the Board shall have the power to preside at all meetings of the Board of Directors and shall have such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powers and duties as provided in these Bylaws and as the Board of Directors may from time to time prescribe.</w:t>
      </w:r>
    </w:p>
    <w:p>
      <w:pPr>
        <w:spacing w:after="0" w:line="165"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the Board of Directors shall be presided over by the Chairman of the Board, or in his or her absence by the Chief Executive Officer, or in his or her absence by a chairman chosen at the meeting. The Secretary shall act as secretary of the meeting, but in his or</w:t>
      </w:r>
    </w:p>
    <w:p>
      <w:pPr>
        <w:spacing w:after="0"/>
        <w:rPr>
          <w:sz w:val="20"/>
          <w:szCs w:val="20"/>
          <w:color w:val="auto"/>
        </w:rPr>
      </w:pPr>
      <w:r>
        <w:rPr>
          <w:rFonts w:ascii="Times New Roman" w:cs="Times New Roman" w:eastAsia="Times New Roman" w:hAnsi="Times New Roman"/>
          <w:sz w:val="18"/>
          <w:szCs w:val="18"/>
          <w:color w:val="auto"/>
        </w:rPr>
        <w:t>her absence the chairman of the meeting may appoint any person to act as secretary of the meeting.</w:t>
      </w:r>
    </w:p>
    <w:p>
      <w:pPr>
        <w:spacing w:after="0" w:line="165" w:lineRule="exact"/>
        <w:rPr>
          <w:sz w:val="20"/>
          <w:szCs w:val="20"/>
          <w:color w:val="auto"/>
        </w:rPr>
      </w:pPr>
    </w:p>
    <w:p>
      <w:pPr>
        <w:jc w:val="both"/>
        <w:ind w:right="300" w:firstLine="648"/>
        <w:spacing w:after="0" w:line="236"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Written Action by Directors</w:t>
      </w:r>
      <w:r>
        <w:rPr>
          <w:rFonts w:ascii="Times New Roman" w:cs="Times New Roman" w:eastAsia="Times New Roman" w:hAnsi="Times New Roman"/>
          <w:sz w:val="17"/>
          <w:szCs w:val="17"/>
          <w:color w:val="auto"/>
        </w:rPr>
        <w:t>. Any action required or permitted to be taken at any meeting of the Board of Directors, or of any committee thereof, may be taken without a meeting if all members of the Board or such committee, as the case may be, consent thereto in writing, or by</w:t>
      </w:r>
    </w:p>
    <w:p>
      <w:pPr>
        <w:jc w:val="both"/>
        <w:ind w:right="320"/>
        <w:spacing w:after="0" w:line="218" w:lineRule="auto"/>
        <w:rPr>
          <w:sz w:val="20"/>
          <w:szCs w:val="20"/>
          <w:color w:val="auto"/>
        </w:rPr>
      </w:pPr>
      <w:r>
        <w:rPr>
          <w:rFonts w:ascii="Times New Roman" w:cs="Times New Roman" w:eastAsia="Times New Roman" w:hAnsi="Times New Roman"/>
          <w:sz w:val="18"/>
          <w:szCs w:val="18"/>
          <w:color w:val="auto"/>
        </w:rPr>
        <w:t>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72" w:lineRule="exact"/>
        <w:rPr>
          <w:sz w:val="20"/>
          <w:szCs w:val="20"/>
          <w:color w:val="auto"/>
        </w:rPr>
      </w:pPr>
    </w:p>
    <w:p>
      <w:pPr>
        <w:ind w:right="44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Board of Directors may, except as otherwise required by law or the Certificate of Incorporation, exercise all such powers and do all such acts and things as may be exercised or done by the Corporation.</w:t>
      </w:r>
    </w:p>
    <w:p>
      <w:pPr>
        <w:spacing w:after="0" w:line="158" w:lineRule="exact"/>
        <w:rPr>
          <w:sz w:val="20"/>
          <w:szCs w:val="20"/>
          <w:color w:val="auto"/>
        </w:rPr>
      </w:pPr>
    </w:p>
    <w:p>
      <w:pPr>
        <w:ind w:right="4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as such, may receive, pursuant to a resolution of the Board of Directors, fees and other compensation for their services as directors, including without limitation their services as members of committees of the Board of Directors.</w:t>
      </w:r>
    </w:p>
    <w:p>
      <w:pPr>
        <w:spacing w:after="0" w:line="1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COMMITTEES</w:t>
      </w:r>
    </w:p>
    <w:p>
      <w:pPr>
        <w:spacing w:after="0" w:line="198" w:lineRule="exact"/>
        <w:rPr>
          <w:sz w:val="20"/>
          <w:szCs w:val="20"/>
          <w:color w:val="auto"/>
        </w:rPr>
      </w:pPr>
    </w:p>
    <w:p>
      <w:pPr>
        <w:jc w:val="both"/>
        <w:ind w:right="40" w:firstLine="648"/>
        <w:spacing w:after="0" w:line="229"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of Directors may, by resolution passed by a majority of the authorized number of directors,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w:t>
      </w: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member of the committee, the member or members thereof present at any meeting of such committee who are not disqualified from voting, whether or not he, she or they constitute a quorum, may unanimously appoint another member of the Board of Directors to act at the meeting in place of any such absent or disqualified member. Any such committee, to the extent provided in a resolution of the Board of Directors, shall have and may exercise all the powers</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and authority of the Board of Directors in the management of the business and affairs of the Corporation and may authorize the seal of the Corporation to be affixed to all papers that may require it.</w:t>
      </w:r>
    </w:p>
    <w:p>
      <w:pPr>
        <w:spacing w:after="0" w:line="15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conducts its business pursuant to Article II of these Bylaws.</w:t>
      </w:r>
    </w:p>
    <w:p>
      <w:pPr>
        <w:spacing w:after="0" w:line="16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officers of the Corporation shall consist of a Chief Executive Officer and/or a President, one or more Vice Presidents, a Secretary, a Treasurer and such other officers, including a Chief Financial Officer, as may from time to time be appointed by the Board of Directors. All</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 xml:space="preserve">officers shall be elected by the Board of Directors;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 that the Board of Directors may empower the Chief Executive Officer of the Corporation to appoint officers other than the Chief Executive Officer, the President, the Chief Financial Officer or the Treasurer. Each officer shall hold office until his or her successor is elected and qualified or until his or her earlier resignation or removal. Any number of offices may be held by the same</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person. Any officer may resign at any time upon written notice to the Corporation. Any vacancy occurring in any office of the Corporation by death, resignation, removal or otherwise may be filled by the Board of Directors.</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Subject to the control of the Board of Directors and such supervisory powers, if any, as may be given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the powers and duties of the Chief Executive Officer of the Corporation are:</w:t>
      </w:r>
    </w:p>
    <w:p>
      <w:pPr>
        <w:spacing w:after="0" w:line="165" w:lineRule="exact"/>
        <w:rPr>
          <w:sz w:val="20"/>
          <w:szCs w:val="20"/>
          <w:color w:val="auto"/>
        </w:rPr>
      </w:pPr>
    </w:p>
    <w:p>
      <w:pPr>
        <w:ind w:right="280" w:firstLine="1304"/>
        <w:spacing w:after="0" w:line="237" w:lineRule="auto"/>
        <w:tabs>
          <w:tab w:leader="none" w:pos="19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as the general manager and, subject to the control of the Board of Directors, to have general supervision, direction and control of the business and affairs of the Corporation;</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the Chairman of the Board, to preside at all meetings of the stockholders;</w:t>
      </w:r>
    </w:p>
    <w:p>
      <w:pPr>
        <w:spacing w:after="0" w:line="184" w:lineRule="exact"/>
        <w:rPr>
          <w:rFonts w:ascii="Times New Roman" w:cs="Times New Roman" w:eastAsia="Times New Roman" w:hAnsi="Times New Roman"/>
          <w:sz w:val="18"/>
          <w:szCs w:val="18"/>
          <w:color w:val="auto"/>
        </w:rPr>
      </w:pPr>
    </w:p>
    <w:p>
      <w:pPr>
        <w:ind w:right="600" w:firstLine="1304"/>
        <w:spacing w:after="0" w:line="237" w:lineRule="auto"/>
        <w:tabs>
          <w:tab w:leader="none" w:pos="19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call meetings of the stockholders to be held at such times and, subject to the limitations prescribed by law or by these Bylaws, at such places as he or she shall deem proper; and</w:t>
      </w:r>
    </w:p>
    <w:p>
      <w:pPr>
        <w:spacing w:after="0" w:line="171" w:lineRule="exact"/>
        <w:rPr>
          <w:rFonts w:ascii="Times New Roman" w:cs="Times New Roman" w:eastAsia="Times New Roman" w:hAnsi="Times New Roman"/>
          <w:sz w:val="18"/>
          <w:szCs w:val="18"/>
          <w:color w:val="auto"/>
        </w:rPr>
      </w:pPr>
    </w:p>
    <w:p>
      <w:pPr>
        <w:ind w:right="140" w:firstLine="1304"/>
        <w:spacing w:after="0" w:line="220" w:lineRule="auto"/>
        <w:tabs>
          <w:tab w:leader="none" w:pos="19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of Directors or which, in the judgment of the Chief Executive Officer,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w:t>
      </w:r>
    </w:p>
    <w:p>
      <w:pPr>
        <w:spacing w:after="0" w:line="15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The President shall be the Chief Executive Officer of the Corporation unless the Board of Directors shall have designated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another officer as the Chief Executive Officer of the Corporation. Subject to the provisions of these Bylaws and to the direction of the Board of Directors, and subject to the supervisory powers of the Chief Executive Officer (if the Chief Executive Officer is an officer other than the President), and subject to such supervisory powers and authority as may be given by the Board of Directors to the Chairman of the Board, and/or to any other officer, the President</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shall have the responsibility for the general management and the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by the Board of Directors.</w:t>
      </w:r>
    </w:p>
    <w:p>
      <w:pPr>
        <w:spacing w:after="0" w:line="165" w:lineRule="exact"/>
        <w:rPr>
          <w:sz w:val="20"/>
          <w:szCs w:val="20"/>
          <w:color w:val="auto"/>
        </w:rPr>
      </w:pPr>
    </w:p>
    <w:p>
      <w:pPr>
        <w:ind w:right="14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all such powers and duties as are commonly incident to the office of Vice President, or that are delegated to him or her by the Board of Directors or the Chief Executive Officer. A Vice President may be designated by the Board to perform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duties and exercise the powers of the Chief Executive Officer in the event of the Chief Executive Officer’s absence or disability.</w:t>
      </w:r>
    </w:p>
    <w:p>
      <w:pPr>
        <w:spacing w:after="0" w:line="165" w:lineRule="exact"/>
        <w:rPr>
          <w:sz w:val="20"/>
          <w:szCs w:val="20"/>
          <w:color w:val="auto"/>
        </w:rPr>
      </w:pPr>
    </w:p>
    <w:p>
      <w:pPr>
        <w:ind w:right="48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Subject to the direction of the Board of Directors and the Chief Executive Officer, the Chief Financial Officer shall perform all duties and have all powers that are commonly incident to the office of chief financial officer.</w:t>
      </w:r>
    </w:p>
    <w:p>
      <w:pPr>
        <w:spacing w:after="0" w:line="17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of Directors or the President may from time to time prescribe.</w:t>
      </w:r>
    </w:p>
    <w:p>
      <w:pPr>
        <w:spacing w:after="0" w:line="173"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Assistant Treasurer</w:t>
      </w:r>
      <w:r>
        <w:rPr>
          <w:rFonts w:ascii="Times New Roman" w:cs="Times New Roman" w:eastAsia="Times New Roman" w:hAnsi="Times New Roman"/>
          <w:sz w:val="18"/>
          <w:szCs w:val="18"/>
          <w:color w:val="auto"/>
        </w:rPr>
        <w:t>. The Assistant Treasurer, if any, or if there be more than one, the Assistant Treasurers in the order determined by the Board of Directors (or if there be no such determination, then in the order of their election), shall, in the absence of the Treasurer for any reason, including the failure of the Board of Directors to elect a Treasurer or in the event of the Treasurer’s inability or refusal to act, perform the duties and</w:t>
      </w:r>
    </w:p>
    <w:p>
      <w:pPr>
        <w:spacing w:after="0" w:line="1"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exercise the powers of the Treasurer and perform such other duties and have such other powers as the Board of Directors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80"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issue or cause to be issued all authorized notices for, and shall keep, or cause to be kept, minutes of all meetings of the stockholders and the Board of Directors. The Secretary shall have charge of the corporate minute books and similar records and shall</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perform such other duties and have such other powers as are commonly incident to the office of Secretary, or as the Board of Directors or the President may from time to time prescribe.</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u w:val="single" w:color="auto"/>
          <w:color w:val="auto"/>
        </w:rPr>
        <w:t>Assistant Secretary</w:t>
      </w:r>
      <w:r>
        <w:rPr>
          <w:rFonts w:ascii="Times New Roman" w:cs="Times New Roman" w:eastAsia="Times New Roman" w:hAnsi="Times New Roman"/>
          <w:sz w:val="17"/>
          <w:szCs w:val="17"/>
          <w:color w:val="auto"/>
        </w:rPr>
        <w:t>. The Assistant Secretary, if any, or if there be more than one, the Assistant Secretaries in the order determined by</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the Board of Directors (or if there be no such determination, then in the order of their election), shall, in the absence of the Secretary for any reason, including the failure of the Board of Directors to elect a Secretary or in the event of the Secretary’s inability or refusal to act, perform the duties and exercise the powers of the Secretary and perform such other duties and have such other powers as the Board of Directors or the Chief Executive Officer</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may from time to time prescribe. Any Assistant Secretary shall have authority to affix the corporate seal and attest the same by his signature to the same extent as the Secretary.</w:t>
      </w:r>
    </w:p>
    <w:p>
      <w:pPr>
        <w:spacing w:after="0" w:line="15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of Directors may from time to time delegate the powers or duties of any officer to any other officers or agents, notwithstanding any provision hereof.</w:t>
      </w:r>
    </w:p>
    <w:p>
      <w:pPr>
        <w:spacing w:after="0" w:line="14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of the Corporation shall serve at the pleasure of the Board of Directors and may be removed at any time, with or without cause, by the Board of Directors. Such removal shall be without prejudice to the contractual rights of such officer, if any, with the Corporation.</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w:t>
      </w:r>
    </w:p>
    <w:p>
      <w:pPr>
        <w:spacing w:after="0" w:line="18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The shares of the Corporation shall be represented by certificates, provided that the Board of Directors may provide by</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Vice-Chairman of the Board of Directors, or the</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President or a Vice President, and by the Treasurer or an Assistant Treasurer, or the Secretary or an Assistant Secretary, of the Corporation, representing the number of shares registered in certificate form. Any or all of the signatures on the certificate may be a facsimile.</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color w:val="auto"/>
        </w:rPr>
        <w:t>. The Corporation may issue a</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destruction of any such certificate or the issuance of such new certificate or uncertificated shares.</w:t>
      </w:r>
    </w:p>
    <w:p>
      <w:pPr>
        <w:spacing w:after="0" w:line="165"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Other Regulations</w:t>
      </w:r>
      <w:r>
        <w:rPr>
          <w:rFonts w:ascii="Times New Roman" w:cs="Times New Roman" w:eastAsia="Times New Roman" w:hAnsi="Times New Roman"/>
          <w:sz w:val="18"/>
          <w:szCs w:val="18"/>
          <w:color w:val="auto"/>
        </w:rPr>
        <w:t>. The issue, transfer, conversion and registration of stock certificates or uncertificated shares shall be governed by such other regulations as the Board of Directors may establish.</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185" w:lineRule="exact"/>
        <w:rPr>
          <w:sz w:val="20"/>
          <w:szCs w:val="20"/>
          <w:color w:val="auto"/>
        </w:rPr>
      </w:pPr>
    </w:p>
    <w:p>
      <w:pPr>
        <w:ind w:right="6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Indemnification rights shall be as set forth in the Corporation’s Certificate of Incorporation, as such shall be amended from time to time, and shall extend to the fullest extent permitted by Delaware law from time to time in effect.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NOTICES</w:t>
      </w:r>
    </w:p>
    <w:p>
      <w:pPr>
        <w:spacing w:after="0" w:line="185"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Except as otherwise specifically provided herein or required by law, all notices required to be given pursuant to these Bylaws</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shall be in writing and may in every instance be effectively given by hand delivery (including use of a delivery service), by depositing such notice in the mail, postage prepaid, or by sending such notice by prepaid overnight express courier or facsimile. Any such notice shall be addressed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person to whom notice is to be given at such person’s address or facsimile number, as the case may be, as it appears on the records of the Corporation. The notice shall be deemed given:</w:t>
      </w:r>
    </w:p>
    <w:p>
      <w:pPr>
        <w:spacing w:after="0" w:line="160"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hand delivery, when received by the person to whom notice is to be given or by any person accepting such notice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such person;</w:t>
      </w:r>
    </w:p>
    <w:p>
      <w:pPr>
        <w:spacing w:after="0" w:line="164" w:lineRule="exact"/>
        <w:rPr>
          <w:rFonts w:ascii="Times New Roman" w:cs="Times New Roman" w:eastAsia="Times New Roman" w:hAnsi="Times New Roman"/>
          <w:sz w:val="18"/>
          <w:szCs w:val="18"/>
          <w:color w:val="auto"/>
        </w:rPr>
      </w:pPr>
    </w:p>
    <w:p>
      <w:pPr>
        <w:ind w:right="80" w:firstLine="1304"/>
        <w:spacing w:after="0" w:line="250" w:lineRule="auto"/>
        <w:tabs>
          <w:tab w:leader="none" w:pos="19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mail, upon deposit in the United States mail, postage prepaid, directed to the person to whom notice is being given at such person’s address as it appears on the records of the Corporation;</w:t>
      </w:r>
    </w:p>
    <w:p>
      <w:pPr>
        <w:spacing w:after="0" w:line="14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overnight express courier, on the first business day after such notice is dispatched; and</w:t>
      </w:r>
    </w:p>
    <w:p>
      <w:pPr>
        <w:spacing w:after="0" w:line="184" w:lineRule="exact"/>
        <w:rPr>
          <w:rFonts w:ascii="Times New Roman" w:cs="Times New Roman" w:eastAsia="Times New Roman" w:hAnsi="Times New Roman"/>
          <w:sz w:val="18"/>
          <w:szCs w:val="18"/>
          <w:color w:val="auto"/>
        </w:rPr>
      </w:pPr>
    </w:p>
    <w:p>
      <w:pPr>
        <w:ind w:right="120" w:firstLine="1304"/>
        <w:spacing w:after="0" w:line="250" w:lineRule="auto"/>
        <w:tabs>
          <w:tab w:leader="none" w:pos="19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via facsimile, when directed to the person to whom notice is to be given or by any person accepting such notice on behalf of such person.</w:t>
      </w:r>
    </w:p>
    <w:p>
      <w:pPr>
        <w:spacing w:after="0" w:line="149"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these Bylaws, a written waiver of notice, signed by the person entitled to notice, or a waiver by electronic transmission by the person entitled to notice, whether before or after the time stated therein, shall</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of directors need be specified in any written waiver of notice or any waiver by electronic transmission.</w:t>
      </w:r>
    </w:p>
    <w:p>
      <w:pPr>
        <w:spacing w:after="0" w:line="16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INTERESTED DIRECTORS</w:t>
      </w:r>
    </w:p>
    <w:p>
      <w:pPr>
        <w:spacing w:after="0" w:line="198" w:lineRule="exact"/>
        <w:rPr>
          <w:sz w:val="20"/>
          <w:szCs w:val="20"/>
          <w:color w:val="auto"/>
        </w:rPr>
      </w:pPr>
    </w:p>
    <w:p>
      <w:pPr>
        <w:ind w:right="360"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Interested Directors; Quorum</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participates in the meeting of the Board of Directors or committee thereof that authorizes the contract or transaction, or solely because his, her or their votes are counted for such purpose, if:</w:t>
      </w:r>
    </w:p>
    <w:p>
      <w:pPr>
        <w:spacing w:after="0" w:line="157" w:lineRule="exact"/>
        <w:rPr>
          <w:sz w:val="20"/>
          <w:szCs w:val="20"/>
          <w:color w:val="auto"/>
        </w:rPr>
      </w:pPr>
    </w:p>
    <w:p>
      <w:pPr>
        <w:ind w:right="100" w:firstLine="1304"/>
        <w:spacing w:after="0" w:line="231" w:lineRule="auto"/>
        <w:tabs>
          <w:tab w:leader="none" w:pos="19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w:t>
      </w:r>
    </w:p>
    <w:p>
      <w:pPr>
        <w:spacing w:after="0" w:line="158" w:lineRule="exact"/>
        <w:rPr>
          <w:rFonts w:ascii="Times New Roman" w:cs="Times New Roman" w:eastAsia="Times New Roman" w:hAnsi="Times New Roman"/>
          <w:sz w:val="18"/>
          <w:szCs w:val="18"/>
          <w:color w:val="auto"/>
        </w:rPr>
      </w:pPr>
    </w:p>
    <w:p>
      <w:pPr>
        <w:ind w:right="100" w:firstLine="1304"/>
        <w:spacing w:after="0" w:line="250" w:lineRule="auto"/>
        <w:tabs>
          <w:tab w:leader="none" w:pos="19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interest and as to the contract or transaction are disclosed or are known to the stockholders entitled to vote thereon, and the contract or transaction is specifically approved in good faith by vote of the stockholders; or</w:t>
      </w:r>
    </w:p>
    <w:p>
      <w:pPr>
        <w:spacing w:after="0" w:line="149" w:lineRule="exact"/>
        <w:rPr>
          <w:rFonts w:ascii="Times New Roman" w:cs="Times New Roman" w:eastAsia="Times New Roman" w:hAnsi="Times New Roman"/>
          <w:sz w:val="18"/>
          <w:szCs w:val="18"/>
          <w:color w:val="auto"/>
        </w:rPr>
      </w:pPr>
    </w:p>
    <w:p>
      <w:pPr>
        <w:ind w:right="120" w:firstLine="1304"/>
        <w:spacing w:after="0" w:line="231" w:lineRule="auto"/>
        <w:tabs>
          <w:tab w:leader="none" w:pos="19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198"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begin on the first day of January and end on the last day of December.</w:t>
      </w:r>
    </w:p>
    <w:p>
      <w:pPr>
        <w:spacing w:after="0" w:line="185"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provide for a corporate seal, which shall have the name of the Corporation inscribed thereon and shall otherwise be in such form as may be approved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0"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Form of Records</w:t>
      </w:r>
      <w:r>
        <w:rPr>
          <w:rFonts w:ascii="Times New Roman" w:cs="Times New Roman" w:eastAsia="Times New Roman" w:hAnsi="Times New Roman"/>
          <w:sz w:val="17"/>
          <w:szCs w:val="17"/>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w:t>
      </w:r>
    </w:p>
    <w:p>
      <w:pPr>
        <w:ind w:right="240"/>
        <w:spacing w:after="0" w:line="226" w:lineRule="auto"/>
        <w:rPr>
          <w:sz w:val="20"/>
          <w:szCs w:val="20"/>
          <w:color w:val="auto"/>
        </w:rPr>
      </w:pPr>
      <w:r>
        <w:rPr>
          <w:rFonts w:ascii="Times New Roman" w:cs="Times New Roman" w:eastAsia="Times New Roman" w:hAnsi="Times New Roman"/>
          <w:sz w:val="18"/>
          <w:szCs w:val="18"/>
          <w:color w:val="auto"/>
        </w:rPr>
        <w:t>kept can be converted into clearly legible paper form within a reasonable time. The Corporation shall so convert any records so kept upon the request of any person entitled to inspect such records pursuant to any provision of the Delaware General Corporation Law.</w:t>
      </w:r>
    </w:p>
    <w:p>
      <w:pPr>
        <w:spacing w:after="0" w:line="157"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8"/>
          <w:szCs w:val="18"/>
          <w:u w:val="single" w:color="auto"/>
          <w:color w:val="auto"/>
        </w:rPr>
        <w:t>Reliance Upon Books and Records</w:t>
      </w:r>
      <w:r>
        <w:rPr>
          <w:rFonts w:ascii="Times New Roman" w:cs="Times New Roman" w:eastAsia="Times New Roman" w:hAnsi="Times New Roman"/>
          <w:sz w:val="18"/>
          <w:szCs w:val="18"/>
          <w:color w:val="auto"/>
        </w:rPr>
        <w:t>. A member of the Board of Directors, or a member of any committee designated by the Board of</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Directors shall, in the performance of his or her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selected with reasonable care by or on behalf of the Corporation.</w:t>
      </w:r>
    </w:p>
    <w:p>
      <w:pPr>
        <w:spacing w:after="0" w:line="165" w:lineRule="exact"/>
        <w:rPr>
          <w:sz w:val="20"/>
          <w:szCs w:val="20"/>
          <w:color w:val="auto"/>
        </w:rPr>
      </w:pPr>
    </w:p>
    <w:p>
      <w:pPr>
        <w:ind w:right="700" w:firstLine="648"/>
        <w:spacing w:after="0" w:line="237"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Certificate of Incorporation Governs</w:t>
      </w:r>
      <w:r>
        <w:rPr>
          <w:rFonts w:ascii="Times New Roman" w:cs="Times New Roman" w:eastAsia="Times New Roman" w:hAnsi="Times New Roman"/>
          <w:sz w:val="18"/>
          <w:szCs w:val="18"/>
          <w:color w:val="auto"/>
        </w:rPr>
        <w:t>. In the event of any conflict between the provisions of the Corporation’s Certificate of Incorporation and Bylaws, the provisions of the Certificate of Incorporation shall govern.</w:t>
      </w:r>
    </w:p>
    <w:p>
      <w:pPr>
        <w:spacing w:after="0" w:line="172"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these Bylaws shall be held to be invalid, illegal, unenforceable or in conflict with the provisions of the Corporation’s Certificate of Incorporation, then such provision shall nonetheless be enforced to the maximum extent possible consistent with such holding and the remaining provisions of these Bylaws (including without limitation, all portions of any section of these Bylaws containing any such</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w:t>
      </w:r>
    </w:p>
    <w:p>
      <w:pPr>
        <w:spacing w:after="0" w:line="185"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Stockholders of the Corporation holding at least two-thirds of the Corporation’s outstanding voting stock shall have the power to adopt, amend or repeal Bylaws. The Board of Directors of the Corporation shall also have the power to adopt, amend or repeal Bylaws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lowerLetter"/>
      <w:start w:val="4"/>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decimal"/>
      <w:start w:val="10"/>
    </w:lvl>
    <w:lvl w:ilvl="1">
      <w:lvlJc w:val="left"/>
      <w:lvlText w:val="(%2)"/>
      <w:numFmt w:val="lowerLetter"/>
      <w:start w:val="1"/>
    </w:lvl>
  </w:abstractNum>
  <w:abstractNum w:abstractNumId="5">
    <w:nsid w:val="6B68079A"/>
    <w:multiLevelType w:val="hybridMultilevel"/>
    <w:lvl w:ilvl="0">
      <w:lvlJc w:val="left"/>
      <w:lvlText w:val="(%1)"/>
      <w:numFmt w:val="lowerLetter"/>
      <w:start w:val="61"/>
    </w:lvl>
    <w:lvl w:ilvl="1">
      <w:lvlJc w:val="left"/>
      <w:lvlText w:val="(%2)"/>
      <w:numFmt w:val="lowerLetter"/>
      <w:start w:val="3"/>
    </w:lvl>
  </w:abstractNum>
  <w:abstractNum w:abstractNumId="6">
    <w:nsid w:val="4E6AFB66"/>
    <w:multiLevelType w:val="hybridMultilevel"/>
    <w:lvl w:ilvl="0">
      <w:lvlJc w:val="left"/>
      <w:lvlText w:val="(%1)"/>
      <w:numFmt w:val="lowerLetter"/>
      <w:start w:val="1"/>
    </w:lvl>
    <w:lvl w:ilvl="1">
      <w:lvlJc w:val="left"/>
      <w:lvlText w:val="(%2)"/>
      <w:numFmt w:val="lowerRoman"/>
      <w:start w:val="1"/>
    </w:lvl>
  </w:abstractNum>
  <w:abstractNum w:abstractNumId="7">
    <w:nsid w:val="25E45D32"/>
    <w:multiLevelType w:val="hybridMultilevel"/>
    <w:lvl w:ilvl="0">
      <w:lvlJc w:val="left"/>
      <w:lvlText w:val="(%1)"/>
      <w:numFmt w:val="lowerLetter"/>
      <w:start w:val="2"/>
    </w:lvl>
    <w:lvl w:ilvl="1">
      <w:lvlJc w:val="left"/>
      <w:lvlText w:val="(%2)"/>
      <w:numFmt w:val="lowerRoman"/>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decimal"/>
      <w:start w:val="1"/>
    </w:lvl>
    <w:lvl w:ilvl="1">
      <w:lvlJc w:val="left"/>
      <w:lvlText w:val="(%2)"/>
      <w:numFmt w:val="lowerLetter"/>
      <w:start w:val="2"/>
    </w:lvl>
  </w:abstractNum>
  <w:abstractNum w:abstractNumId="10">
    <w:nsid w:val="3F2DBA31"/>
    <w:multiLevelType w:val="hybridMultilevel"/>
    <w:lvl w:ilvl="0">
      <w:lvlJc w:val="left"/>
      <w:lvlText w:val="(%1)"/>
      <w:numFmt w:val="decimal"/>
      <w:start w:val="30"/>
    </w:lvl>
    <w:lvl w:ilvl="1">
      <w:lvlJc w:val="left"/>
      <w:lvlText w:val="%2"/>
      <w:numFmt w:val="lowerLetter"/>
      <w:start w:val="1"/>
    </w:lvl>
  </w:abstractNum>
  <w:abstractNum w:abstractNumId="11">
    <w:nsid w:val="7C83E458"/>
    <w:multiLevelType w:val="hybridMultilevel"/>
    <w:lvl w:ilvl="0">
      <w:lvlJc w:val="left"/>
      <w:lvlText w:val="(%1)"/>
      <w:numFmt w:val="lowerLetter"/>
      <w:start w:val="3"/>
    </w:lvl>
    <w:lvl w:ilvl="1">
      <w:lvlJc w:val="left"/>
      <w:lvlText w:val="(%2)"/>
      <w:numFmt w:val="lowerRoman"/>
      <w:start w:val="1"/>
    </w:lvl>
  </w:abstractNum>
  <w:abstractNum w:abstractNumId="12">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
    <w:nsid w:val="62BBD9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
    <w:nsid w:val="436C6125"/>
    <w:multiLevelType w:val="hybridMultilevel"/>
    <w:lvl w:ilvl="0">
      <w:lvlJc w:val="left"/>
      <w:lvlText w:val="(%1)"/>
      <w:numFmt w:val="decimal"/>
      <w:start w:val="5"/>
    </w:lvl>
    <w:lvl w:ilvl="1">
      <w:lvlJc w:val="left"/>
      <w:lvlText w:val="(%2)"/>
      <w:numFmt w:val="lowerLetter"/>
      <w:start w:val="5"/>
    </w:lvl>
    <w:lvl w:ilvl="2">
      <w:lvlJc w:val="left"/>
      <w:lvlText w:val="%3"/>
      <w:numFmt w:val="lowerRoman"/>
      <w:start w:val="1"/>
    </w:lvl>
  </w:abstractNum>
  <w:abstractNum w:abstractNumId="15">
    <w:nsid w:val="628C895D"/>
    <w:multiLevelType w:val="hybridMultilevel"/>
    <w:lvl w:ilvl="0">
      <w:lvlJc w:val="left"/>
      <w:lvlText w:val="(%1)"/>
      <w:numFmt w:val="lowerLetter"/>
      <w:start w:val="8"/>
    </w:lvl>
  </w:abstractNum>
  <w:abstractNum w:abstractNumId="16">
    <w:nsid w:val="333AB105"/>
    <w:multiLevelType w:val="hybridMultilevel"/>
    <w:lvl w:ilvl="0">
      <w:lvlJc w:val="left"/>
      <w:lvlText w:val="(%1)"/>
      <w:numFmt w:val="lowerLetter"/>
      <w:start w:val="1"/>
    </w:lvl>
    <w:lvl w:ilvl="1">
      <w:lvlJc w:val="left"/>
      <w:lvlText w:val="(%2)"/>
      <w:numFmt w:val="lowerLetter"/>
      <w:start w:val="9"/>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4"/>
    </w:lvl>
  </w:abstractNum>
  <w:abstractNum w:abstractNumId="19">
    <w:nsid w:val="2D1D5AE9"/>
    <w:multiLevelType w:val="hybridMultilevel"/>
    <w:lvl w:ilvl="0">
      <w:lvlJc w:val="left"/>
      <w:lvlText w:val="(%1)"/>
      <w:numFmt w:val="lowerLetter"/>
      <w:start w:val="6"/>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2023-01-20T15:28:05Z</dcterms:created>
  <dcterms:modified xsi:type="dcterms:W3CDTF">2023-01-20T15:28:05Z</dcterms:modified>
</cp:coreProperties>
</file>