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800"/>
        <w:spacing w:after="0"/>
        <w:rPr>
          <w:sz w:val="20"/>
          <w:szCs w:val="20"/>
          <w:color w:val="auto"/>
        </w:rPr>
      </w:pPr>
      <w:r>
        <w:rPr>
          <w:rFonts w:ascii="Arial" w:cs="Arial" w:eastAsia="Arial" w:hAnsi="Arial"/>
          <w:sz w:val="19"/>
          <w:szCs w:val="19"/>
          <w:b w:val="1"/>
          <w:bCs w:val="1"/>
          <w:color w:val="auto"/>
        </w:rPr>
        <w:t>Date of Report (Date of earliest event reported): October 20, 2015 (October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444500</wp:posOffset>
            </wp:positionV>
            <wp:extent cx="60007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207 Mockingbird Lane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October 19, 2015 (the “Closing Date”), NN, Inc., a Delaware corporation (“NN”), completed its previously announced acquisition (the “Acquisition”) of all of the outstanding capital stock of Precision Engineered Products Holdings, Inc., a Delaware corporation (“PEP”), pursuant to that certain Stock Purchase Agreement, dated as of August 17, 2015 (the “Stock Purchase Agreement”), by and among NN, PEP and PEP Industries, LLC, a Delaware limited liability company (“Seller”).</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Acquisition, on the Closing Date, NN completed its previously announced private offering (the “Offering”) of $300.0 million aggregate principal amount of its 10.25% Senior Notes due 2020 (the “Notes”), and entered into new senior secured credit facilities consisting of a $525.0 million term loan credit facility (the “New Term Loan Credit Facility”) and a $100.0 million revolving loan credit facility (the “New Revolving Loan Credit Facility” and, together with the New Term Loan Credit Facility, the “New Senior Credit Facilities”).</w:t>
      </w:r>
    </w:p>
    <w:p>
      <w:pPr>
        <w:spacing w:after="0" w:line="187" w:lineRule="exact"/>
        <w:rPr>
          <w:sz w:val="20"/>
          <w:szCs w:val="20"/>
          <w:color w:val="auto"/>
        </w:rPr>
      </w:pPr>
    </w:p>
    <w:p>
      <w:pPr>
        <w:jc w:val="both"/>
        <w:ind w:right="540" w:firstLine="464"/>
        <w:spacing w:after="0" w:line="342" w:lineRule="auto"/>
        <w:tabs>
          <w:tab w:leader="none" w:pos="761" w:val="left"/>
        </w:tabs>
        <w:numPr>
          <w:ilvl w:val="0"/>
          <w:numId w:val="2"/>
        </w:numPr>
        <w:rPr>
          <w:rFonts w:ascii="Arial" w:cs="Arial" w:eastAsia="Arial" w:hAnsi="Arial"/>
          <w:sz w:val="16"/>
          <w:szCs w:val="16"/>
          <w:color w:val="auto"/>
        </w:rPr>
      </w:pPr>
      <w:r>
        <w:rPr>
          <w:rFonts w:ascii="Arial" w:cs="Arial" w:eastAsia="Arial" w:hAnsi="Arial"/>
          <w:sz w:val="16"/>
          <w:szCs w:val="16"/>
          <w:color w:val="auto"/>
        </w:rPr>
        <w:t>utilized the net proceeds from the Offering, together with borrowings under the New Term Loan Credit Facility and cash on hand, to pay the purchase price for the Acquisition, to refinance certain indebtedness of NN (as described below) and to pay fees and expenses related to the foregoing.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Agreement</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On October 16, 2015, NN and certain of its subsidiaries entered into a purchase agreement (the “Purchase Agreement”) with SunTrust Robinson Humphrey, Inc., as representative of the several initial purchasers listed on Schedule A attached to the Purchase Agreement (the “Initial Purchasers”), in connection with the Offering of the Notes.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October 19, 2015, the Notes were offered and sold to qualified institutional buyers inside the United States pursuant to Rule 144A under the Securities Act of 1933, as amended (the “Securities Act”). The Notes have not been registered under the Securities Act or the securities laws of any other jurisdiction, and may not be offered or sold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foregoing description of the Purchase Agreement is qualified in its entirety by reference to the Purchase Agreement, a copy of which is filed as Exhibit 10.1 hereto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Indenture and Supplemental Indenture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terms of the Notes are governed by an indenture, dated as of the Closing Date (the “Indenture”), by and among NN, the subsidiary guarantors party thereto (the “NN Guarantors”) and U.S. Bank National Association, as trustee (the “Trustee”).</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Interest and Maturity</w:t>
      </w:r>
      <w:r>
        <w:rPr>
          <w:rFonts w:ascii="Arial" w:cs="Arial" w:eastAsia="Arial" w:hAnsi="Arial"/>
          <w:sz w:val="18"/>
          <w:szCs w:val="18"/>
          <w:color w:val="auto"/>
        </w:rPr>
        <w:t>. The Notes bear interest at a rate of 10.25% per annum and mature on November 1, 2020. Interest is payable on the Notes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1 and November 1 of each year, commencing on May 1, 2016.</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 NN’s obligations under the Notes are guaranteed by the NN Guarantors and PEP and certain direct and indirect domestic subsidiaries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PEP (collectively, the “PEP Guarantors” and, together with the NN Guarantors, the “Guarantors”).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Ranking</w:t>
      </w:r>
      <w:r>
        <w:rPr>
          <w:rFonts w:ascii="Arial" w:cs="Arial" w:eastAsia="Arial" w:hAnsi="Arial"/>
          <w:sz w:val="18"/>
          <w:szCs w:val="18"/>
          <w:color w:val="auto"/>
        </w:rPr>
        <w:t>. The Notes and related guarantees are senior unsecured obligations and rank equally in right of payment with all of NN’s existing and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debt, senior in right of payment to all of NN’s existing and future subordinated debt, and effectively subordinated to all of NN’s existing and future secured debt.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color w:val="auto"/>
        </w:rPr>
        <w:t>. The Indenture contains restrictive covenants that limit the ability of NN and its restricted subsidiaries to, among other things, incur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indebtedness or issue certain preferred shares; pay dividends, redeem stock or make other distributions; make certain investments; create liens; enter into agreements restricting its subsidiaries’ ability to pay dividends; and consolidate, merge, sell or otherwise dispose of all or substantially all of its or their assets. These covenants are subject to certain exceptions and qualifications as set forth in the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ind w:right="180" w:firstLine="456"/>
        <w:spacing w:after="0" w:line="30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Events of Default</w:t>
      </w:r>
      <w:r>
        <w:rPr>
          <w:rFonts w:ascii="Arial" w:cs="Arial" w:eastAsia="Arial" w:hAnsi="Arial"/>
          <w:sz w:val="16"/>
          <w:szCs w:val="16"/>
          <w:color w:val="auto"/>
        </w:rPr>
        <w:t>. The Indenture provides for events of default (subject in certain cases to customary grace and cure periods), which include,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nonpayment of principal or interest when due, breach of covenants or other agreements in the Indenture, defaults in payment of certain other indebtedness and certain events of bankruptcy or insolvency. Generally, if an event of default occurs, the Trustee or the holders of at least 25% in principal amount of the outstanding Notes may declare the principal of, and accrued but unpaid interest on, all of the Notes to be due and payable immediately.</w:t>
      </w:r>
    </w:p>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At any time prior to November 1, 2017, NN may redeem the Notes in whole or in part at a redemption price equal to 100%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amount of the Notes plus the “applicable premium” set forth in the Indenture and the Notes. At any time on or after November 1, 2017, NN may redeem the Notes at the redemption prices set forth in the Indenture and the Notes, plus accrued and unpaid interest, if any, to the redemption date. In addition, at any time prior to November 1, 2017, NN may redeem up to 35% of the original aggregate principal amount of the Notes in an amount not exceeding the net proceeds of one or more equity offerings, as described in the Indenture, at a redemption price equal to 110.250% of the principal amount thereof, plus accrued and unpaid interest, if any, to the redemption date. If NN experiences certain change of control events, NN must offer to repurchase all of the Notes (unless otherwise redeemed) at a price equal to 101% of the principal amount thereof, plus accrued and unpaid interest, if any, to the repurchase date.</w:t>
      </w:r>
    </w:p>
    <w:p>
      <w:pPr>
        <w:spacing w:after="0" w:line="192"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foregoing description of the Indenture and the Notes and related guarantees is qualified in its entirety by reference to the Indenture and the Notes and related guarantees, copies of which are filed as Exhibits 4.1 and 4.2, respectively, hereto and are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Agreement Joinder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Subsequent to the completion of the Acquisition, on the Closing Date, the PEP Guarantors entered into a joinder to the Purchase Agreement (the “Joinder Agreement”), pursuant to which the PEP Guarantors became parties to the Purchase Agreement.</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foregoing description of the Joinder Agreement is qualified in its entirety by reference to the Joinder Agreement, a copy of which is filed as Exhibit 10.2 hereto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Indenture</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Subsequent to the completion of the Acquisition, on the Closing Date, the PEP Guarantors entered into a supplemental indenture (the “Supplemental Indenture”) with NN and the Trustee, pursuant to which the PEP Guarantors became guarantors of the Notes under the Indenture.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of the Supplemental Indenture is qualified in its entirety by reference to the Supplemental Indenture, a copy of which is filed as Exhibit 4.3 hereto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Senior Credit Facilities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Acquisition, on the Closing Date, NN entered into a new credit agreement (the “Credit Agreement”) with KeyBank National Association, as administrative agent (“KeyBank”), Regions Bank, as syndication agent, SunTrust Bank, as documentation agent, and KeyBanc Capital Markets, Inc., SunTrust Robinson Humphrey, Inc. and Regions Capital Markets as joint lead arrangers and joint bookrunners, providing for the New Senior Credit Facilities.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color w:val="auto"/>
        </w:rPr>
        <w:t>. The interest rates applicable to borrowings under the New Senior Credit Facilities are based on a fluctuating rate of interest measured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reference to either, at NN’s option, (i) a base rate, plus an applicable margin, or (ii) the greater of the London Interbank Offered Rate (“LIBOR”) or 1.0%, plus an applicable margin. The initial applicable margin for all borrowings under the New Term Loan Credit Facility is 3.75% per annum with respect to base rate borrowings and 4.75% per annum with respect to</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 w:name="page4"/>
    <w:bookmarkEnd w:id="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LIBOR borrowings. The initial applicable margin for New Revolving Loan Credit Facility borrowings is 2.50% per annum with respect to base rate borrowings and 3.50% per annum with respect to LIBOR borrowings, which shall be in effect until NN provides KeyBank with a compliance certificate, as required by the Credit Agreement. Thereafter, the applicable margin shall be determined by reference to a ratio of NN’s consolidated leverage ratio, as such term is defined in the Credit Agreement.</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Prepayments</w:t>
      </w:r>
      <w:r>
        <w:rPr>
          <w:rFonts w:ascii="Arial" w:cs="Arial" w:eastAsia="Arial" w:hAnsi="Arial"/>
          <w:sz w:val="17"/>
          <w:szCs w:val="17"/>
          <w:color w:val="auto"/>
        </w:rPr>
        <w:t>. NN may voluntarily prepay outstanding loans under the New Senior Credit Facilities, in whole or in part without premium or penalty.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Credit Agreement requires NN to prepay outstanding loans, subject to certain exceptions, with: (i) a variable percentage of excess cash flow; (ii) 100% of the net cash proceeds of non-ordinary course asset sales or other dispositions of property by NN or any of its subsidiaries, and 100% of the net cash proceeds from certain insurance and condemnation events with respect to NN’s assets, subject to customary thresholds and reinvestment rights; (iii) 100% of the net cash proceeds from the issuance or incurrence of debt obligations for borrowed money not permitted by the Credit Agreement by NN or any of its subsidiaries; (iv) 100% of any cash received not in the ordinary course of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Maturity</w:t>
      </w:r>
      <w:r>
        <w:rPr>
          <w:rFonts w:ascii="Arial" w:cs="Arial" w:eastAsia="Arial" w:hAnsi="Arial"/>
          <w:sz w:val="16"/>
          <w:szCs w:val="16"/>
          <w:color w:val="auto"/>
        </w:rPr>
        <w:t>. The New Revolving Loan Credit Facility matures on October 19, 2020. The New Term Loan Credit Facility matures on October 19, 2022.</w:t>
      </w:r>
    </w:p>
    <w:p>
      <w:pPr>
        <w:spacing w:after="0" w:line="24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Guarantee and Security</w:t>
      </w:r>
      <w:r>
        <w:rPr>
          <w:rFonts w:ascii="Arial" w:cs="Arial" w:eastAsia="Arial" w:hAnsi="Arial"/>
          <w:sz w:val="18"/>
          <w:szCs w:val="18"/>
          <w:color w:val="auto"/>
        </w:rPr>
        <w:t>. NN’s obligations under the New Senior Credit Facilities are guaranteed by NN and each of NN’s direct and indirect,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future domestic subsidiaries, subject to customary exceptions and limitations. The New Senior Credit Facilities are secured by a first priority lien over substantially all of NN’s and each guarantor’s assets, subject to certain customary exceptions.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color w:val="auto"/>
        </w:rPr>
        <w:t>. The New Senior Credit Facilities are subject to negative covenants that, among other things and subject to certain exceptions, limit NN’s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and the ability of its restricted subsidiaries to: (i) incur liens; (ii) incur indebtedness; (iii) make investments and acquisitions; (iv) merge, liquidate or dissolve; (v) sell assets, including capital stock of subsidiaries; (vi) pay dividends on capital stock or redeem, repurchase or retire capital stock; (vii) alter NN’s business; (viii) engage in transactions with NN’s affiliates; and (ix) enter into agreements limiting subsidiary dividends and distributions. In the event borrowings under the New Revolving Loan Credit Facility exceed 30.0% of the aggregate commitments under such New Revolving Loan Credit Facility, NN will become subject to a financial covenant that requires NN to maintain a specified consolidated net leverage ratio, as such term is defined in the Credit Agreement.</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The Credit Agreement also contains certain customary events of default (including, among others, an event of default upon a 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control). If an event of default occurs and is not cured or waived, the lenders under the New Senior Credit Facilities are entitled to take various actions, including the acceleration of amounts due under the New Senior Credit Facilities and all actions permitted to be taken by a secured creditor.</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Incremental Facilities</w:t>
      </w:r>
      <w:r>
        <w:rPr>
          <w:rFonts w:ascii="Arial" w:cs="Arial" w:eastAsia="Arial" w:hAnsi="Arial"/>
          <w:sz w:val="18"/>
          <w:szCs w:val="18"/>
          <w:color w:val="auto"/>
        </w:rPr>
        <w:t>. The Credit Agreement provides that NN has the right at any time to request one or more increases in the revolving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or term loan commitments up to $100 million in the aggregate, provided that any such request for an incremental increase must exceed $25 million and no event of default exists at the time of such request. Such incremental increases in commitments or loans are subject to certain customary conditions precedent.</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foregoing description of the Credit Agreement is qualified in its entirety by reference to the Credit Agreement, a copy of which is filed as Exhibit 10.3 hereto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Registration Rights Agreement and Registration Rights Agreement Joinder</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On the Closing Date, NN and the NN Guarantors entered into a registration rights agreement (the “Registration Rights Agreement”) relating to the Notes with SunTrust Robinson Humphrey, Inc., for itself and as representative of the Initial Purchasers. The Registration Rights Agreement requires NN and the NN Guarantors, at their cost, to, among other things: (i) use their commercially reasonable efforts to file a registration statement under the Securities Act with respect to an offer to exchange (the “exchange offer”) the Notes and related guarantees for new, registered notes and guarantees with substantially identical terms in all material respects (except for the transfer restrictions relating to the Notes and related guarantees) and (ii) use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commercially reasonable efforts to cause the registration statement to be declared effective under the Securities Act and complete the exchange offer within 300 days after the Closing Date. In addition, under certain circumstances, NN and the NN Guarantors may be required to file a shelf registration statement to cover resales of the Notes and related guarantees.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NN fails to satisfy its obligations under the Registration Rights Agreement with respect to the registrable securities (a “registration default”), then additional interest will accrue on the principal amount of the Notes and related guarantees that are registrable securities at a rate of 0.25% per annum for the first 90-day period beginning on the day immediately following such registration default (which rate will be increased by an additional 0.25% per annum for each subsequent 90-day period until and including the date such registration default ends, up to a maximum increase of 1.0% per annum). The additional interest will cease to accrue when the registration default is cured.</w:t>
      </w:r>
    </w:p>
    <w:p>
      <w:pPr>
        <w:spacing w:after="0" w:line="18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Registration Rights Agreement defines “registrable securities” initially to mean the Notes and related guarantees. The Notes and related guarantees will cease to be registrable securities upon the earliest to occur of (i) when a registration statement with respect to such Notes and related guarantees has become effective under the Securities Act and such Notes and related guarantees have been exchanged or disposed of pursuant to such registration statement;</w:t>
      </w:r>
    </w:p>
    <w:p>
      <w:pPr>
        <w:ind w:right="420" w:firstLine="8"/>
        <w:spacing w:after="0" w:line="261"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such Notes and related guarantees cease to be outstanding; or (iii) the later of (a) October 19, 2017 and (b) the date upon which such Notes and related guarantees are sold pursuant to Rule 144 under the Securities Act.</w:t>
      </w:r>
    </w:p>
    <w:p>
      <w:pPr>
        <w:spacing w:after="0" w:line="184"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Subsequent to the completion of the Acquisition, on the Closing Date, the PEP Guarantors entered into a Registration Rights Agreement Joinder (the “Registration Rights Agreement Joinder”), pursuant to which the PEP Guarantors became parties to the Registration Rights Agreement.</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foregoing description of the Registration Rights Agreement and the Registration Rights Agreement Joinder is qualified in its entirety by reference to the Registration Rights Agreement and Registration Rights Agreement Joinder, copies of which are filed hereto as Exhibits 10.4 and 10.5, respectively, and are incorporated herein by reference.</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the Closing Date, contemporaneously with the execution and delivery of the New Credit Facilities, (i) that certain Term Loan Credit Agreement, dated as of August 29, 2014, by and among NN, Bank of America, N.A., the several lenders from time to time a party thereto, KeyBank National Association, as syndication agent, and Merrill Lynch, Pierce, Fenner &amp; Smith Incorporated and KeyBank National Association as joint lead arrangers and joint bookrunners, and (ii) that certain Credit Agreement, dated as of August 29, 2014, by and among NN, NN Netherlands B.V., the several lenders from time to time a party thereto, KeyBank National Association, and Bank of America, N.A., were terminated and all amounts outstanding thereunder were repaid.</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COMPLETION OF ACQUISITION OR DISPOSITION OF ASSETS.</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Pursuant to the Stock Purchase Agreement, on the Closing Date, NN acquired all of the outstanding capital stock of PEP from the Seller. The aggregate purchase price (the “Purchase Price”) for the Acquisition was $615.0 million in cash, adjusted to account for PEP’s indebtedness, working capital and cash balance at the Closing Date. The Purchase Price was also adjusted for certain Acquisition-related expenses and tax benefits. The Purchase Price includes:</w:t>
      </w:r>
    </w:p>
    <w:p>
      <w:pPr>
        <w:ind w:right="320" w:firstLine="8"/>
        <w:spacing w:after="0" w:line="277" w:lineRule="auto"/>
        <w:tabs>
          <w:tab w:leader="none" w:pos="215" w:val="left"/>
        </w:tabs>
        <w:numPr>
          <w:ilvl w:val="0"/>
          <w:numId w:val="4"/>
        </w:numPr>
        <w:rPr>
          <w:rFonts w:ascii="Arial" w:cs="Arial" w:eastAsia="Arial" w:hAnsi="Arial"/>
          <w:sz w:val="17"/>
          <w:szCs w:val="17"/>
          <w:color w:val="auto"/>
        </w:rPr>
      </w:pPr>
      <w:r>
        <w:rPr>
          <w:rFonts w:ascii="Arial" w:cs="Arial" w:eastAsia="Arial" w:hAnsi="Arial"/>
          <w:sz w:val="17"/>
          <w:szCs w:val="17"/>
          <w:color w:val="auto"/>
        </w:rPr>
        <w:t>$2.0 million, which is being held in escrow to satisfy any potential working capital adjustments; (ii) $6.15 million, which is being held in escrow for twelve months following the Closing Date to satisfy any potential indemnification claims; and (iii) $5.0 million, which is being held in escrow to satisfy a portion of certain earnout obligations of Seller and/or PEP owed to certain persons that had previously sold certain business units to PEP.</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foregoing description of the Stock Purchase Agreement and the transactions contemplated thereby does not purport to be complete and is qualified in its entirety by reference to the Stock Purchase Agreement, a copy of which was previously filed as Exhibit 2.1 to NN’s Current Report on Form 8-K filed on August 18, 2015, which is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12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CREATION OF A DIRECT FINANCIAL OBLIGATION OR AN OBLIGATION UNDER AN OFF-BALANCE SHEET ARRANGEMENT OF A REGISTRANT</w:t>
      </w:r>
    </w:p>
    <w:p>
      <w:pPr>
        <w:spacing w:after="0" w:line="5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information regarding the Indenture, Supplemental Indenture, Purchase Agreement, Purchase Agreement Joinder and the New Senior Credit Facilities set forth in Item 1.01 above is incorporated herein by reference. On the Closing Date, NN borrowed $525.0 million under the New Term Loan Credit Facility. NN used the borrowings under the New Senior Credit Facilities, together with net proceeds from the Offering and cash on hand, to pay the Purchase Price for the Acquisition, to refinance certain indebtedness of NN and to pay fees and expenses related to the foregoing.</w:t>
      </w: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October 20, 2015, NN issued a press release announcing the completion of the Acquisition. A copy of the press release is attached hereto as Exhibit 99.1 and is incorporated herein by reference.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information furnished pursuant to Item 7.01 of this Current Report on Form 8-K does not constitute an offer to sell or the solicitation of an offer to buy the Notes. Any offers of the Notes will be made only by means of a private offering memorandum.</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rules and regulations of the U.S. Securities and Exchange Commission, the information furnished pursuant to Item 7.01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NN, whether made before or after the date hereof, regardless of any general incorporation language in such filing.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Statements about the effects of the Acquisition and the other transactions contemplated by the Stock Purchase Agreement and all other statements herein and therein, other than historical facts, constitute forward-looking statements within the meaning of the safe harbor provisions of the Private Securities Litigation Reform Act of 1995. Readers are cautioned not to place undue reliance on these forward-looking statements and any such forward-looking statements are qualified in their entirety by reference to the following cautionary statements.</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forward-looking statements speak only as of the date hereof and are based on current expectations and involve a number of assumptions, risks and uncertainties that could cause the actual results to differ materially from such forward-looking statements. Actual results may differ materially from those indicated by such forward-looking statements. In addition, the forward-looking statements represent NN’s views as of the date on which such statements were made. NN anticipates that subsequent events and developments may cause its views to change. These forward-looking statements should not be relied upon as representing NN’s views as of any date subsequent to the date hereof. Additional factors that may affect the business or financial results of NN are described in the risk factors included in NN’s filings with the SEC, including NN’s Annual Report on Form 10-K for the fiscal year ended December 31, 2014 and the risk factors included in Exhibit 99.1 to NN’s Current Report on Form 8-K filed on September 22, 2015. NN expressly disclaims a duty to provide updates to forward-looking statements, whether as a result of new information, future events or other occurrences, except as required by law.</w:t>
      </w:r>
    </w:p>
    <w:p>
      <w:pPr>
        <w:spacing w:after="0" w:line="31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Businesses Acquired</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Financial statements of the business acquired will be filed by amendment to this Current Report on Form 8-K (this “Report”) no later than 71 days following the date that this Report is required to be filed.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Pro Forma Financial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 forma financial information will be filed by amendment to this Report no later than 71 days following the date that this Report is required to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Stock Purchase Agreement, dated as of August 17, 2015, by and among NN, Inc., Precision Engineered Products Holdings, Inc. and PEP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Industries, LLC (incorporated by reference to Exhibit 2.1 to NN, Inc.’s Current Report on Form 8-K, filed on August 18, 2015).</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Indenture, dated as of October 19, 2015, by and among NN, Inc., the subsidiary guarantors party thereto, and U.S. Bank National Association,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as trustee.</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Form of the NN, Inc. 10.25% Senior Notes due 2020 (included as Exhibit A to the Indenture filed herewith as Exhibit 4.1).</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Supplemental Indenture, dated as of October 19, 2015, by and among NN, Inc., certain direct and indirect subsidiaries of NN, Inc., as additional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subsidiary guarantors, and U.S. Bank National Association, as trustee.</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Purchase Agreement, dated as of October 16, 2015, by and among NN, Inc., the subsidiary guarantors party thereto and SunTrust Robinson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Humphrey, Inc., acting on behalf of itself and as the representative of the several initial purchasers identified therein.</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6"/>
              </w:rPr>
              <w:t>Joinder to the Purchase Agreement, dated as of October 19, 2015, by and among certain direct and indirect subsidiaries of NN, Inc.,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additional parties to the Purchase Agreement filed herewith as Exhibit 10.1.</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Credit Agreement, dated as of October 19, 2015, by and among NN, Inc., KeyBank National Association, as administrative agent, Regions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Bank, a syndication agent and SunTrust Bank as documentation agent, and KeyBanc Capital Markets, Inc., SunTrust Robinson Humphrey, Inc.</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and Regions Capital Markets as joint lead arrangers and joint bookrunners.</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10.4</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Registration Rights Agreement, dated as of October 19, 2015, by and among NN, Inc., the subsidiary guarantors party thereto and SunTrust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Robinson Humphrey, Inc.</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10.5</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Registration Rights Agreement Joinder, dated as of October 19, 2015, by and among certain direct and indirect subsidiaries of NN, Inc.,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additional parties to the Registration Rights Agreement filed herewith as Exhibit 10.4.</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October 20,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62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 and exhibits are omitted pursuant to Item 601(b)(2) of Regulation S-K. NN, Inc. agrees to furnish supplementally a copy of any omitted schedules or exhibits to the Securities and Exchange Commission upon request.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Stock Purchase Agreement, dated as of August 17, 2015, by and among NN, Inc., Precision Engineered Products Holdings, Inc. and PEP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Industries, LLC (incorporated by reference to Exhibit 2.1 to NN, Inc.’s Current Report on Form 8-K, filed on August 18, 2015).</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Indenture, dated as of October 19, 2015, by and among NN, Inc., the subsidiary guarantors party thereto, and U.S. Bank National Association,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as trustee.</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Form of the NN, Inc. 10.25% Senior Notes due 2020 (included as Exhibit A to the Indenture filed herewith as Exhibit 4.1).</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Supplemental Indenture, dated as of October 19, 2015, by and among NN, Inc., certain direct and indirect subsidiaries of NN, Inc., as additional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subsidiary guarantors, and U.S. Bank National Association, as trustee.</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Purchase Agreement, dated as of October 16, 2015, by and among NN, Inc., the subsidiary guarantors party thereto and SunTrust Robinson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Humphrey, Inc., acting on behalf of itself and as the representative of the several initial purchasers identified therein.</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6"/>
              </w:rPr>
              <w:t>Joinder to the Purchase Agreement, dated as of October 19, 2015, by and among certain direct and indirect subsidiaries of NN, Inc.,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additional parties to the Purchase Agreement filed herewith as Exhibit 10.1.</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Credit Agreement, dated as of October 19, 2015, by and among NN, Inc., KeyBank National Association, as administrative agent, Regions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Bank, a syndication agent and SunTrust Bank as documentation agent, and KeyBanc Capital Markets, Inc., SunTrust Robinson Humphrey, Inc.</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and Regions Capital Markets as joint lead arrangers and joint bookrunners.</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10.4</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Registration Rights Agreement, dated as of October 19, 2015, by and among NN, Inc., the subsidiary guarantors party thereto and SunTrust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Robinson Humphrey, Inc.</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10.5</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Registration Rights Agreement Joinder, dated as of October 19, 2015, by and among certain direct and indirect subsidiaries of NN, Inc.,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additional parties to the Registration Rights Agreement filed herewith as Exhibit 10.4.</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October 20,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620" w:hanging="212"/>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Schedules and exhibits are omitted pursuant to Item 601(b)(2) of Regulation S-K. NN, Inc. agrees to furnish supplementally a copy of any omitted schedules or exhibits to the Securities and Exchange Commission upon request.</w:t>
      </w:r>
    </w:p>
    <w:p>
      <w:pPr>
        <w:sectPr>
          <w:pgSz w:w="11900" w:h="16838" w:orient="portrait"/>
          <w:cols w:equalWidth="0" w:num="1">
            <w:col w:w="11400"/>
          </w:cols>
          <w:pgMar w:left="240" w:top="270"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197485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10.25% SENIOR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443230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260" w:type="dxa"/>
            <w:vAlign w:val="bottom"/>
          </w:tcPr>
          <w:p>
            <w:pPr>
              <w:ind w:left="1500"/>
              <w:spacing w:after="0"/>
              <w:rPr>
                <w:sz w:val="20"/>
                <w:szCs w:val="20"/>
                <w:color w:val="auto"/>
              </w:rPr>
            </w:pPr>
            <w:r>
              <w:rPr>
                <w:rFonts w:ascii="Arial" w:cs="Arial" w:eastAsia="Arial" w:hAnsi="Arial"/>
                <w:sz w:val="18"/>
                <w:szCs w:val="18"/>
                <w:color w:val="auto"/>
              </w:rPr>
              <w:t>CROSS-REFERENCE TABLE*</w:t>
            </w:r>
          </w:p>
        </w:tc>
      </w:tr>
      <w:tr>
        <w:trPr>
          <w:trHeight w:val="373"/>
        </w:trPr>
        <w:tc>
          <w:tcPr>
            <w:tcW w:w="3040" w:type="dxa"/>
            <w:vAlign w:val="bottom"/>
          </w:tcPr>
          <w:p>
            <w:pPr>
              <w:spacing w:after="0"/>
              <w:rPr>
                <w:sz w:val="20"/>
                <w:szCs w:val="20"/>
                <w:color w:val="auto"/>
              </w:rPr>
            </w:pPr>
            <w:r>
              <w:rPr>
                <w:rFonts w:ascii="Arial" w:cs="Arial" w:eastAsia="Arial" w:hAnsi="Arial"/>
                <w:sz w:val="14"/>
                <w:szCs w:val="14"/>
                <w:i w:val="1"/>
                <w:iCs w:val="1"/>
                <w:color w:val="auto"/>
              </w:rPr>
              <w:t>Trust Indenture</w:t>
            </w:r>
          </w:p>
        </w:tc>
        <w:tc>
          <w:tcPr>
            <w:tcW w:w="8260" w:type="dxa"/>
            <w:vAlign w:val="bottom"/>
          </w:tcPr>
          <w:p>
            <w:pPr>
              <w:spacing w:after="0"/>
              <w:rPr>
                <w:sz w:val="24"/>
                <w:szCs w:val="24"/>
                <w:color w:val="auto"/>
              </w:rPr>
            </w:pPr>
          </w:p>
        </w:tc>
      </w:tr>
      <w:tr>
        <w:trPr>
          <w:trHeight w:val="166"/>
        </w:trPr>
        <w:tc>
          <w:tcPr>
            <w:tcW w:w="3040" w:type="dxa"/>
            <w:vAlign w:val="bottom"/>
          </w:tcPr>
          <w:p>
            <w:pPr>
              <w:spacing w:after="0"/>
              <w:rPr>
                <w:sz w:val="20"/>
                <w:szCs w:val="20"/>
                <w:color w:val="auto"/>
              </w:rPr>
            </w:pPr>
            <w:r>
              <w:rPr>
                <w:rFonts w:ascii="Arial" w:cs="Arial" w:eastAsia="Arial" w:hAnsi="Arial"/>
                <w:sz w:val="14"/>
                <w:szCs w:val="14"/>
                <w:i w:val="1"/>
                <w:iCs w:val="1"/>
                <w:color w:val="auto"/>
              </w:rPr>
              <w:t>Act Section</w:t>
            </w:r>
          </w:p>
        </w:tc>
        <w:tc>
          <w:tcPr>
            <w:tcW w:w="8260" w:type="dxa"/>
            <w:vAlign w:val="bottom"/>
          </w:tcPr>
          <w:p>
            <w:pPr>
              <w:jc w:val="center"/>
              <w:ind w:left="6450"/>
              <w:spacing w:after="0"/>
              <w:rPr>
                <w:sz w:val="20"/>
                <w:szCs w:val="20"/>
                <w:color w:val="auto"/>
              </w:rPr>
            </w:pPr>
            <w:r>
              <w:rPr>
                <w:rFonts w:ascii="Arial" w:cs="Arial" w:eastAsia="Arial" w:hAnsi="Arial"/>
                <w:sz w:val="14"/>
                <w:szCs w:val="14"/>
                <w:i w:val="1"/>
                <w:iCs w:val="1"/>
                <w:color w:val="auto"/>
                <w:w w:val="91"/>
              </w:rPr>
              <w:t>Indenture Section</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310(a)(1)</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(a)(3)</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(a)(4)</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(a)(5)</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9"/>
              </w:rPr>
              <w:t>7.03; 7.10</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311(a)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7.11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7.11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312(a)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2.05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13.03</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313(a)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7.06</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(b)(2)</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9"/>
              </w:rPr>
              <w:t>7.06; 7.07</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9"/>
              </w:rPr>
              <w:t>7.06;13.02</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7.06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314(a)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0"/>
              </w:rPr>
              <w:t>4.03; 4.04; 13.02; 13.05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(c)(1)</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13.04</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(c)(2)</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13.04</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(c)(3)</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(e)</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(f)</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315(a)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7.05; 13.02</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7.01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(d)</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9"/>
              </w:rPr>
              <w:t>6.05; 7.01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(e)</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6.11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316(a) (last sentence)</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2.09</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(a)(1)(A)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6.05</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(a)(1)(B)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6.04</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6.07</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9"/>
              </w:rPr>
              <w:t>2.12; 9.03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317(a)(1)</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6.08</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(a)(2)</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6.09</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91"/>
              </w:rPr>
              <w:t>2.04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318(a)</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13.01</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(b)</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rPr>
              <w:t>N.A.</w:t>
            </w: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(c)</w:t>
            </w:r>
          </w:p>
        </w:tc>
        <w:tc>
          <w:tcPr>
            <w:tcW w:w="8260" w:type="dxa"/>
            <w:vAlign w:val="bottom"/>
          </w:tcPr>
          <w:p>
            <w:pPr>
              <w:jc w:val="center"/>
              <w:ind w:left="6450"/>
              <w:spacing w:after="0"/>
              <w:rPr>
                <w:sz w:val="20"/>
                <w:szCs w:val="20"/>
                <w:color w:val="auto"/>
              </w:rPr>
            </w:pPr>
            <w:r>
              <w:rPr>
                <w:rFonts w:ascii="Arial" w:cs="Arial" w:eastAsia="Arial" w:hAnsi="Arial"/>
                <w:sz w:val="18"/>
                <w:szCs w:val="18"/>
                <w:color w:val="auto"/>
                <w:w w:val="88"/>
              </w:rPr>
              <w:t>13.01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this Indenture.</w:t>
      </w:r>
    </w:p>
    <w:p>
      <w:pPr>
        <w:sectPr>
          <w:pgSz w:w="11900" w:h="16838" w:orient="portrait"/>
          <w:cols w:equalWidth="0" w:num="1">
            <w:col w:w="11300"/>
          </w:cols>
          <w:pgMar w:left="240" w:top="274"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40" w:type="dxa"/>
            <w:vAlign w:val="bottom"/>
          </w:tcPr>
          <w:p>
            <w:pPr>
              <w:spacing w:after="0"/>
              <w:rPr>
                <w:sz w:val="24"/>
                <w:szCs w:val="24"/>
                <w:color w:val="auto"/>
              </w:rPr>
            </w:pPr>
          </w:p>
        </w:tc>
        <w:tc>
          <w:tcPr>
            <w:tcW w:w="9800" w:type="dxa"/>
            <w:vAlign w:val="bottom"/>
            <w:vMerge w:val="restart"/>
          </w:tcPr>
          <w:p>
            <w:pPr>
              <w:jc w:val="center"/>
              <w:ind w:right="870"/>
              <w:spacing w:after="0"/>
              <w:rPr>
                <w:sz w:val="20"/>
                <w:szCs w:val="20"/>
                <w:color w:val="auto"/>
              </w:rPr>
            </w:pPr>
            <w:r>
              <w:rPr>
                <w:rFonts w:ascii="Arial" w:cs="Arial" w:eastAsia="Arial" w:hAnsi="Arial"/>
                <w:sz w:val="18"/>
                <w:szCs w:val="18"/>
                <w:color w:val="auto"/>
                <w:w w:val="96"/>
              </w:rPr>
              <w:t>ARTICLE 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6"/>
              </w:rPr>
              <w:t>DEFINITIONS AND INCORPORATION BY REFERENCE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980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9800" w:type="dxa"/>
            <w:vAlign w:val="bottom"/>
          </w:tcPr>
          <w:p>
            <w:pPr>
              <w:ind w:left="320"/>
              <w:spacing w:after="0"/>
              <w:rPr>
                <w:sz w:val="20"/>
                <w:szCs w:val="20"/>
                <w:color w:val="auto"/>
              </w:rPr>
            </w:pPr>
            <w:r>
              <w:rPr>
                <w:rFonts w:ascii="Arial" w:cs="Arial" w:eastAsia="Arial" w:hAnsi="Arial"/>
                <w:sz w:val="18"/>
                <w:szCs w:val="18"/>
                <w:color w:val="auto"/>
              </w:rPr>
              <w:t>Other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1.03</w:t>
            </w:r>
          </w:p>
        </w:tc>
        <w:tc>
          <w:tcPr>
            <w:tcW w:w="9800" w:type="dxa"/>
            <w:vAlign w:val="bottom"/>
          </w:tcPr>
          <w:p>
            <w:pPr>
              <w:ind w:left="320"/>
              <w:spacing w:after="0"/>
              <w:rPr>
                <w:sz w:val="20"/>
                <w:szCs w:val="20"/>
                <w:color w:val="auto"/>
              </w:rPr>
            </w:pPr>
            <w:r>
              <w:rPr>
                <w:rFonts w:ascii="Arial" w:cs="Arial" w:eastAsia="Arial" w:hAnsi="Arial"/>
                <w:sz w:val="18"/>
                <w:szCs w:val="18"/>
                <w:color w:val="auto"/>
              </w:rPr>
              <w:t>Incorporation by Reference of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1.04</w:t>
            </w:r>
          </w:p>
        </w:tc>
        <w:tc>
          <w:tcPr>
            <w:tcW w:w="9800" w:type="dxa"/>
            <w:vAlign w:val="bottom"/>
          </w:tcPr>
          <w:p>
            <w:pPr>
              <w:ind w:left="320"/>
              <w:spacing w:after="0"/>
              <w:rPr>
                <w:sz w:val="20"/>
                <w:szCs w:val="20"/>
                <w:color w:val="auto"/>
              </w:rPr>
            </w:pPr>
            <w:r>
              <w:rPr>
                <w:rFonts w:ascii="Arial" w:cs="Arial" w:eastAsia="Arial" w:hAnsi="Arial"/>
                <w:sz w:val="18"/>
                <w:szCs w:val="18"/>
                <w:color w:val="auto"/>
              </w:rPr>
              <w:t>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70"/>
              <w:spacing w:after="0"/>
              <w:rPr>
                <w:sz w:val="20"/>
                <w:szCs w:val="20"/>
                <w:color w:val="auto"/>
              </w:rPr>
            </w:pPr>
            <w:r>
              <w:rPr>
                <w:rFonts w:ascii="Arial" w:cs="Arial" w:eastAsia="Arial" w:hAnsi="Arial"/>
                <w:sz w:val="18"/>
                <w:szCs w:val="18"/>
                <w:color w:val="auto"/>
                <w:w w:val="96"/>
              </w:rPr>
              <w:t>ARTICLE 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5"/>
              </w:rPr>
              <w:t>THE NOTES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9800" w:type="dxa"/>
            <w:vAlign w:val="bottom"/>
          </w:tcPr>
          <w:p>
            <w:pPr>
              <w:ind w:left="320"/>
              <w:spacing w:after="0"/>
              <w:rPr>
                <w:sz w:val="20"/>
                <w:szCs w:val="20"/>
                <w:color w:val="auto"/>
              </w:rPr>
            </w:pPr>
            <w:r>
              <w:rPr>
                <w:rFonts w:ascii="Arial" w:cs="Arial" w:eastAsia="Arial" w:hAnsi="Arial"/>
                <w:sz w:val="18"/>
                <w:szCs w:val="18"/>
                <w:color w:val="auto"/>
              </w:rPr>
              <w:t>Form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9800" w:type="dxa"/>
            <w:vAlign w:val="bottom"/>
          </w:tcPr>
          <w:p>
            <w:pPr>
              <w:ind w:left="320"/>
              <w:spacing w:after="0"/>
              <w:rPr>
                <w:sz w:val="20"/>
                <w:szCs w:val="20"/>
                <w:color w:val="auto"/>
              </w:rPr>
            </w:pPr>
            <w:r>
              <w:rPr>
                <w:rFonts w:ascii="Arial" w:cs="Arial" w:eastAsia="Arial" w:hAnsi="Arial"/>
                <w:sz w:val="18"/>
                <w:szCs w:val="18"/>
                <w:color w:val="auto"/>
              </w:rPr>
              <w:t>Execution and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9800" w:type="dxa"/>
            <w:vAlign w:val="bottom"/>
          </w:tcPr>
          <w:p>
            <w:pPr>
              <w:ind w:left="320"/>
              <w:spacing w:after="0"/>
              <w:rPr>
                <w:sz w:val="20"/>
                <w:szCs w:val="20"/>
                <w:color w:val="auto"/>
              </w:rPr>
            </w:pPr>
            <w:r>
              <w:rPr>
                <w:rFonts w:ascii="Arial" w:cs="Arial" w:eastAsia="Arial" w:hAnsi="Arial"/>
                <w:sz w:val="18"/>
                <w:szCs w:val="18"/>
                <w:color w:val="auto"/>
              </w:rPr>
              <w:t>Registrar and 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9800" w:type="dxa"/>
            <w:vAlign w:val="bottom"/>
          </w:tcPr>
          <w:p>
            <w:pPr>
              <w:ind w:left="320"/>
              <w:spacing w:after="0"/>
              <w:rPr>
                <w:sz w:val="20"/>
                <w:szCs w:val="20"/>
                <w:color w:val="auto"/>
              </w:rPr>
            </w:pPr>
            <w:r>
              <w:rPr>
                <w:rFonts w:ascii="Arial" w:cs="Arial" w:eastAsia="Arial" w:hAnsi="Arial"/>
                <w:sz w:val="18"/>
                <w:szCs w:val="18"/>
                <w:color w:val="auto"/>
              </w:rPr>
              <w:t>Paying Agent to Hold Money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9800" w:type="dxa"/>
            <w:vAlign w:val="bottom"/>
          </w:tcPr>
          <w:p>
            <w:pPr>
              <w:ind w:left="320"/>
              <w:spacing w:after="0"/>
              <w:rPr>
                <w:sz w:val="20"/>
                <w:szCs w:val="20"/>
                <w:color w:val="auto"/>
              </w:rPr>
            </w:pPr>
            <w:r>
              <w:rPr>
                <w:rFonts w:ascii="Arial" w:cs="Arial" w:eastAsia="Arial" w:hAnsi="Arial"/>
                <w:sz w:val="18"/>
                <w:szCs w:val="18"/>
                <w:color w:val="auto"/>
              </w:rPr>
              <w:t>Holder Lists.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9800" w:type="dxa"/>
            <w:vAlign w:val="bottom"/>
          </w:tcPr>
          <w:p>
            <w:pPr>
              <w:ind w:left="320"/>
              <w:spacing w:after="0"/>
              <w:rPr>
                <w:sz w:val="20"/>
                <w:szCs w:val="20"/>
                <w:color w:val="auto"/>
              </w:rPr>
            </w:pPr>
            <w:r>
              <w:rPr>
                <w:rFonts w:ascii="Arial" w:cs="Arial" w:eastAsia="Arial" w:hAnsi="Arial"/>
                <w:sz w:val="18"/>
                <w:szCs w:val="18"/>
                <w:color w:val="auto"/>
              </w:rPr>
              <w:t>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9800" w:type="dxa"/>
            <w:vAlign w:val="bottom"/>
          </w:tcPr>
          <w:p>
            <w:pPr>
              <w:ind w:left="320"/>
              <w:spacing w:after="0"/>
              <w:rPr>
                <w:sz w:val="20"/>
                <w:szCs w:val="20"/>
                <w:color w:val="auto"/>
              </w:rPr>
            </w:pPr>
            <w:r>
              <w:rPr>
                <w:rFonts w:ascii="Arial" w:cs="Arial" w:eastAsia="Arial" w:hAnsi="Arial"/>
                <w:sz w:val="18"/>
                <w:szCs w:val="18"/>
                <w:color w:val="auto"/>
              </w:rPr>
              <w:t>Replacement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2.08</w:t>
            </w:r>
          </w:p>
        </w:tc>
        <w:tc>
          <w:tcPr>
            <w:tcW w:w="9800" w:type="dxa"/>
            <w:vAlign w:val="bottom"/>
          </w:tcPr>
          <w:p>
            <w:pPr>
              <w:ind w:left="320"/>
              <w:spacing w:after="0"/>
              <w:rPr>
                <w:sz w:val="20"/>
                <w:szCs w:val="20"/>
                <w:color w:val="auto"/>
              </w:rPr>
            </w:pPr>
            <w:r>
              <w:rPr>
                <w:rFonts w:ascii="Arial" w:cs="Arial" w:eastAsia="Arial" w:hAnsi="Arial"/>
                <w:sz w:val="18"/>
                <w:szCs w:val="18"/>
                <w:color w:val="auto"/>
              </w:rPr>
              <w:t>Outstanding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2.09</w:t>
            </w:r>
          </w:p>
        </w:tc>
        <w:tc>
          <w:tcPr>
            <w:tcW w:w="9800" w:type="dxa"/>
            <w:vAlign w:val="bottom"/>
          </w:tcPr>
          <w:p>
            <w:pPr>
              <w:ind w:left="320"/>
              <w:spacing w:after="0"/>
              <w:rPr>
                <w:sz w:val="20"/>
                <w:szCs w:val="20"/>
                <w:color w:val="auto"/>
              </w:rPr>
            </w:pPr>
            <w:r>
              <w:rPr>
                <w:rFonts w:ascii="Arial" w:cs="Arial" w:eastAsia="Arial" w:hAnsi="Arial"/>
                <w:sz w:val="18"/>
                <w:szCs w:val="18"/>
                <w:color w:val="auto"/>
              </w:rPr>
              <w:t>Treasury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9800" w:type="dxa"/>
            <w:vAlign w:val="bottom"/>
          </w:tcPr>
          <w:p>
            <w:pPr>
              <w:ind w:left="320"/>
              <w:spacing w:after="0"/>
              <w:rPr>
                <w:sz w:val="20"/>
                <w:szCs w:val="20"/>
                <w:color w:val="auto"/>
              </w:rPr>
            </w:pPr>
            <w:r>
              <w:rPr>
                <w:rFonts w:ascii="Arial" w:cs="Arial" w:eastAsia="Arial" w:hAnsi="Arial"/>
                <w:sz w:val="18"/>
                <w:szCs w:val="18"/>
                <w:color w:val="auto"/>
              </w:rPr>
              <w:t>Temporary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9800" w:type="dxa"/>
            <w:vAlign w:val="bottom"/>
          </w:tcPr>
          <w:p>
            <w:pPr>
              <w:ind w:left="32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2.12</w:t>
            </w:r>
          </w:p>
        </w:tc>
        <w:tc>
          <w:tcPr>
            <w:tcW w:w="9800" w:type="dxa"/>
            <w:vAlign w:val="bottom"/>
          </w:tcPr>
          <w:p>
            <w:pPr>
              <w:ind w:left="320"/>
              <w:spacing w:after="0"/>
              <w:rPr>
                <w:sz w:val="20"/>
                <w:szCs w:val="20"/>
                <w:color w:val="auto"/>
              </w:rPr>
            </w:pPr>
            <w:r>
              <w:rPr>
                <w:rFonts w:ascii="Arial" w:cs="Arial" w:eastAsia="Arial" w:hAnsi="Arial"/>
                <w:sz w:val="18"/>
                <w:szCs w:val="18"/>
                <w:color w:val="auto"/>
              </w:rPr>
              <w:t>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2.13</w:t>
            </w:r>
          </w:p>
        </w:tc>
        <w:tc>
          <w:tcPr>
            <w:tcW w:w="9800" w:type="dxa"/>
            <w:vAlign w:val="bottom"/>
          </w:tcPr>
          <w:p>
            <w:pPr>
              <w:ind w:left="32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70"/>
              <w:spacing w:after="0"/>
              <w:rPr>
                <w:sz w:val="20"/>
                <w:szCs w:val="20"/>
                <w:color w:val="auto"/>
              </w:rPr>
            </w:pPr>
            <w:r>
              <w:rPr>
                <w:rFonts w:ascii="Arial" w:cs="Arial" w:eastAsia="Arial" w:hAnsi="Arial"/>
                <w:sz w:val="18"/>
                <w:szCs w:val="18"/>
                <w:color w:val="auto"/>
                <w:w w:val="96"/>
              </w:rPr>
              <w:t>ARTICLE 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6"/>
              </w:rPr>
              <w:t>REDEMPTION AND PREPAYMENT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9800" w:type="dxa"/>
            <w:vAlign w:val="bottom"/>
          </w:tcPr>
          <w:p>
            <w:pPr>
              <w:ind w:left="320"/>
              <w:spacing w:after="0"/>
              <w:rPr>
                <w:sz w:val="20"/>
                <w:szCs w:val="20"/>
                <w:color w:val="auto"/>
              </w:rPr>
            </w:pPr>
            <w:r>
              <w:rPr>
                <w:rFonts w:ascii="Arial" w:cs="Arial" w:eastAsia="Arial" w:hAnsi="Arial"/>
                <w:sz w:val="18"/>
                <w:szCs w:val="18"/>
                <w:color w:val="auto"/>
              </w:rPr>
              <w:t>Notices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9800" w:type="dxa"/>
            <w:vAlign w:val="bottom"/>
          </w:tcPr>
          <w:p>
            <w:pPr>
              <w:ind w:left="320"/>
              <w:spacing w:after="0"/>
              <w:rPr>
                <w:sz w:val="20"/>
                <w:szCs w:val="20"/>
                <w:color w:val="auto"/>
              </w:rPr>
            </w:pPr>
            <w:r>
              <w:rPr>
                <w:rFonts w:ascii="Arial" w:cs="Arial" w:eastAsia="Arial" w:hAnsi="Arial"/>
                <w:sz w:val="18"/>
                <w:szCs w:val="18"/>
                <w:color w:val="auto"/>
              </w:rPr>
              <w:t>Selection of Notes to Be Redeemed or Purchased.</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9800" w:type="dxa"/>
            <w:vAlign w:val="bottom"/>
          </w:tcPr>
          <w:p>
            <w:pPr>
              <w:ind w:left="32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9800" w:type="dxa"/>
            <w:vAlign w:val="bottom"/>
          </w:tcPr>
          <w:p>
            <w:pPr>
              <w:ind w:left="320"/>
              <w:spacing w:after="0"/>
              <w:rPr>
                <w:sz w:val="20"/>
                <w:szCs w:val="20"/>
                <w:color w:val="auto"/>
              </w:rPr>
            </w:pPr>
            <w:r>
              <w:rPr>
                <w:rFonts w:ascii="Arial" w:cs="Arial" w:eastAsia="Arial" w:hAnsi="Arial"/>
                <w:sz w:val="18"/>
                <w:szCs w:val="18"/>
                <w:color w:val="auto"/>
              </w:rPr>
              <w:t>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3.05</w:t>
            </w:r>
          </w:p>
        </w:tc>
        <w:tc>
          <w:tcPr>
            <w:tcW w:w="9800" w:type="dxa"/>
            <w:vAlign w:val="bottom"/>
          </w:tcPr>
          <w:p>
            <w:pPr>
              <w:ind w:left="320"/>
              <w:spacing w:after="0"/>
              <w:rPr>
                <w:sz w:val="20"/>
                <w:szCs w:val="20"/>
                <w:color w:val="auto"/>
              </w:rPr>
            </w:pPr>
            <w:r>
              <w:rPr>
                <w:rFonts w:ascii="Arial" w:cs="Arial" w:eastAsia="Arial" w:hAnsi="Arial"/>
                <w:sz w:val="18"/>
                <w:szCs w:val="18"/>
                <w:color w:val="auto"/>
              </w:rPr>
              <w:t>Deposit of Redemption or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9800" w:type="dxa"/>
            <w:vAlign w:val="bottom"/>
          </w:tcPr>
          <w:p>
            <w:pPr>
              <w:ind w:left="320"/>
              <w:spacing w:after="0"/>
              <w:rPr>
                <w:sz w:val="20"/>
                <w:szCs w:val="20"/>
                <w:color w:val="auto"/>
              </w:rPr>
            </w:pPr>
            <w:r>
              <w:rPr>
                <w:rFonts w:ascii="Arial" w:cs="Arial" w:eastAsia="Arial" w:hAnsi="Arial"/>
                <w:sz w:val="18"/>
                <w:szCs w:val="18"/>
                <w:color w:val="auto"/>
              </w:rPr>
              <w:t>Notes Redeemed or Purchased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3.07</w:t>
            </w:r>
          </w:p>
        </w:tc>
        <w:tc>
          <w:tcPr>
            <w:tcW w:w="9800" w:type="dxa"/>
            <w:vAlign w:val="bottom"/>
          </w:tcPr>
          <w:p>
            <w:pPr>
              <w:ind w:left="320"/>
              <w:spacing w:after="0"/>
              <w:rPr>
                <w:sz w:val="20"/>
                <w:szCs w:val="20"/>
                <w:color w:val="auto"/>
              </w:rPr>
            </w:pPr>
            <w:r>
              <w:rPr>
                <w:rFonts w:ascii="Arial" w:cs="Arial" w:eastAsia="Arial" w:hAnsi="Arial"/>
                <w:sz w:val="18"/>
                <w:szCs w:val="18"/>
                <w:color w:val="auto"/>
              </w:rPr>
              <w:t>Optional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3.08</w:t>
            </w:r>
          </w:p>
        </w:tc>
        <w:tc>
          <w:tcPr>
            <w:tcW w:w="9800" w:type="dxa"/>
            <w:vAlign w:val="bottom"/>
          </w:tcPr>
          <w:p>
            <w:pPr>
              <w:ind w:left="320"/>
              <w:spacing w:after="0"/>
              <w:rPr>
                <w:sz w:val="20"/>
                <w:szCs w:val="20"/>
                <w:color w:val="auto"/>
              </w:rPr>
            </w:pPr>
            <w:r>
              <w:rPr>
                <w:rFonts w:ascii="Arial" w:cs="Arial" w:eastAsia="Arial" w:hAnsi="Arial"/>
                <w:sz w:val="18"/>
                <w:szCs w:val="18"/>
                <w:color w:val="auto"/>
              </w:rPr>
              <w:t>Mandatory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3.09</w:t>
            </w:r>
          </w:p>
        </w:tc>
        <w:tc>
          <w:tcPr>
            <w:tcW w:w="9800" w:type="dxa"/>
            <w:vAlign w:val="bottom"/>
          </w:tcPr>
          <w:p>
            <w:pPr>
              <w:ind w:left="320"/>
              <w:spacing w:after="0"/>
              <w:rPr>
                <w:sz w:val="20"/>
                <w:szCs w:val="20"/>
                <w:color w:val="auto"/>
              </w:rPr>
            </w:pPr>
            <w:r>
              <w:rPr>
                <w:rFonts w:ascii="Arial" w:cs="Arial" w:eastAsia="Arial" w:hAnsi="Arial"/>
                <w:sz w:val="18"/>
                <w:szCs w:val="18"/>
                <w:color w:val="auto"/>
              </w:rPr>
              <w:t>Offer to Purchase by Application of Excess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70"/>
              <w:spacing w:after="0"/>
              <w:rPr>
                <w:sz w:val="20"/>
                <w:szCs w:val="20"/>
                <w:color w:val="auto"/>
              </w:rPr>
            </w:pPr>
            <w:r>
              <w:rPr>
                <w:rFonts w:ascii="Arial" w:cs="Arial" w:eastAsia="Arial" w:hAnsi="Arial"/>
                <w:sz w:val="18"/>
                <w:szCs w:val="18"/>
                <w:color w:val="auto"/>
                <w:w w:val="96"/>
              </w:rPr>
              <w:t>ARTICLE 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8"/>
              </w:rPr>
              <w:t>COVENANTS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4.01</w:t>
            </w:r>
          </w:p>
        </w:tc>
        <w:tc>
          <w:tcPr>
            <w:tcW w:w="9800" w:type="dxa"/>
            <w:vAlign w:val="bottom"/>
          </w:tcPr>
          <w:p>
            <w:pPr>
              <w:ind w:left="320"/>
              <w:spacing w:after="0"/>
              <w:rPr>
                <w:sz w:val="20"/>
                <w:szCs w:val="20"/>
                <w:color w:val="auto"/>
              </w:rPr>
            </w:pPr>
            <w:r>
              <w:rPr>
                <w:rFonts w:ascii="Arial" w:cs="Arial" w:eastAsia="Arial" w:hAnsi="Arial"/>
                <w:sz w:val="18"/>
                <w:szCs w:val="18"/>
                <w:color w:val="auto"/>
              </w:rPr>
              <w:t>Payment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4.02</w:t>
            </w:r>
          </w:p>
        </w:tc>
        <w:tc>
          <w:tcPr>
            <w:tcW w:w="9800" w:type="dxa"/>
            <w:vAlign w:val="bottom"/>
          </w:tcPr>
          <w:p>
            <w:pPr>
              <w:ind w:left="320"/>
              <w:spacing w:after="0"/>
              <w:rPr>
                <w:sz w:val="20"/>
                <w:szCs w:val="20"/>
                <w:color w:val="auto"/>
              </w:rPr>
            </w:pPr>
            <w:r>
              <w:rPr>
                <w:rFonts w:ascii="Arial" w:cs="Arial" w:eastAsia="Arial" w:hAnsi="Arial"/>
                <w:sz w:val="18"/>
                <w:szCs w:val="18"/>
                <w:color w:val="auto"/>
              </w:rPr>
              <w:t>Maintenance of Office or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4.03</w:t>
            </w:r>
          </w:p>
        </w:tc>
        <w:tc>
          <w:tcPr>
            <w:tcW w:w="9800" w:type="dxa"/>
            <w:vAlign w:val="bottom"/>
          </w:tcPr>
          <w:p>
            <w:pPr>
              <w:ind w:left="32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4.04</w:t>
            </w:r>
          </w:p>
        </w:tc>
        <w:tc>
          <w:tcPr>
            <w:tcW w:w="9800" w:type="dxa"/>
            <w:vAlign w:val="bottom"/>
          </w:tcPr>
          <w:p>
            <w:pPr>
              <w:ind w:left="320"/>
              <w:spacing w:after="0"/>
              <w:rPr>
                <w:sz w:val="20"/>
                <w:szCs w:val="20"/>
                <w:color w:val="auto"/>
              </w:rPr>
            </w:pPr>
            <w:r>
              <w:rPr>
                <w:rFonts w:ascii="Arial" w:cs="Arial" w:eastAsia="Arial" w:hAnsi="Arial"/>
                <w:sz w:val="18"/>
                <w:szCs w:val="18"/>
                <w:color w:val="auto"/>
              </w:rPr>
              <w:t>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4.05</w:t>
            </w:r>
          </w:p>
        </w:tc>
        <w:tc>
          <w:tcPr>
            <w:tcW w:w="9800" w:type="dxa"/>
            <w:vAlign w:val="bottom"/>
          </w:tcPr>
          <w:p>
            <w:pPr>
              <w:ind w:left="32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4.06</w:t>
            </w:r>
          </w:p>
        </w:tc>
        <w:tc>
          <w:tcPr>
            <w:tcW w:w="9800" w:type="dxa"/>
            <w:vAlign w:val="bottom"/>
          </w:tcPr>
          <w:p>
            <w:pPr>
              <w:ind w:left="320"/>
              <w:spacing w:after="0"/>
              <w:rPr>
                <w:sz w:val="20"/>
                <w:szCs w:val="20"/>
                <w:color w:val="auto"/>
              </w:rPr>
            </w:pPr>
            <w:r>
              <w:rPr>
                <w:rFonts w:ascii="Arial" w:cs="Arial" w:eastAsia="Arial" w:hAnsi="Arial"/>
                <w:sz w:val="18"/>
                <w:szCs w:val="18"/>
                <w:color w:val="auto"/>
              </w:rPr>
              <w:t>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1240" w:type="dxa"/>
            <w:vAlign w:val="bottom"/>
            <w:vMerge w:val="restart"/>
          </w:tcPr>
          <w:p>
            <w:pPr>
              <w:spacing w:after="0"/>
              <w:rPr>
                <w:sz w:val="20"/>
                <w:szCs w:val="20"/>
                <w:color w:val="auto"/>
              </w:rPr>
            </w:pPr>
            <w:r>
              <w:rPr>
                <w:rFonts w:ascii="Arial" w:cs="Arial" w:eastAsia="Arial" w:hAnsi="Arial"/>
                <w:sz w:val="18"/>
                <w:szCs w:val="18"/>
                <w:color w:val="auto"/>
              </w:rPr>
              <w:t>Section 4.07</w:t>
            </w:r>
          </w:p>
        </w:tc>
        <w:tc>
          <w:tcPr>
            <w:tcW w:w="9800" w:type="dxa"/>
            <w:vAlign w:val="bottom"/>
            <w:vMerge w:val="restart"/>
          </w:tcPr>
          <w:p>
            <w:pPr>
              <w:ind w:left="320"/>
              <w:spacing w:after="0"/>
              <w:rPr>
                <w:sz w:val="20"/>
                <w:szCs w:val="20"/>
                <w:color w:val="auto"/>
              </w:rPr>
            </w:pPr>
            <w:r>
              <w:rPr>
                <w:rFonts w:ascii="Arial" w:cs="Arial" w:eastAsia="Arial" w:hAnsi="Arial"/>
                <w:sz w:val="18"/>
                <w:szCs w:val="18"/>
                <w:color w:val="auto"/>
              </w:rPr>
              <w:t>Restricted Payments.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980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4.08</w:t>
            </w:r>
          </w:p>
        </w:tc>
        <w:tc>
          <w:tcPr>
            <w:tcW w:w="9800" w:type="dxa"/>
            <w:vAlign w:val="bottom"/>
          </w:tcPr>
          <w:p>
            <w:pPr>
              <w:ind w:left="32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4.09</w:t>
            </w:r>
          </w:p>
        </w:tc>
        <w:tc>
          <w:tcPr>
            <w:tcW w:w="9800" w:type="dxa"/>
            <w:vAlign w:val="bottom"/>
          </w:tcPr>
          <w:p>
            <w:pPr>
              <w:ind w:left="320"/>
              <w:spacing w:after="0"/>
              <w:rPr>
                <w:sz w:val="20"/>
                <w:szCs w:val="20"/>
                <w:color w:val="auto"/>
              </w:rPr>
            </w:pPr>
            <w:r>
              <w:rPr>
                <w:rFonts w:ascii="Arial" w:cs="Arial" w:eastAsia="Arial" w:hAnsi="Arial"/>
                <w:sz w:val="18"/>
                <w:szCs w:val="18"/>
                <w:color w:val="auto"/>
              </w:rPr>
              <w:t>Incurrence of Indebtedness and Issuance of Preferred Stock.</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9800" w:type="dxa"/>
            <w:vAlign w:val="bottom"/>
          </w:tcPr>
          <w:p>
            <w:pPr>
              <w:ind w:left="320"/>
              <w:spacing w:after="0"/>
              <w:rPr>
                <w:sz w:val="20"/>
                <w:szCs w:val="20"/>
                <w:color w:val="auto"/>
              </w:rPr>
            </w:pPr>
            <w:r>
              <w:rPr>
                <w:rFonts w:ascii="Arial" w:cs="Arial" w:eastAsia="Arial" w:hAnsi="Arial"/>
                <w:sz w:val="18"/>
                <w:szCs w:val="18"/>
                <w:color w:val="auto"/>
              </w:rPr>
              <w:t>Asset Sales.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4.11</w:t>
            </w:r>
          </w:p>
        </w:tc>
        <w:tc>
          <w:tcPr>
            <w:tcW w:w="9800" w:type="dxa"/>
            <w:vAlign w:val="bottom"/>
          </w:tcPr>
          <w:p>
            <w:pPr>
              <w:ind w:left="320"/>
              <w:spacing w:after="0"/>
              <w:rPr>
                <w:sz w:val="20"/>
                <w:szCs w:val="20"/>
                <w:color w:val="auto"/>
              </w:rPr>
            </w:pPr>
            <w:r>
              <w:rPr>
                <w:rFonts w:ascii="Arial" w:cs="Arial" w:eastAsia="Arial" w:hAnsi="Arial"/>
                <w:sz w:val="18"/>
                <w:szCs w:val="18"/>
                <w:color w:val="auto"/>
              </w:rPr>
              <w:t>Transactions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4.12</w:t>
            </w:r>
          </w:p>
        </w:tc>
        <w:tc>
          <w:tcPr>
            <w:tcW w:w="9800" w:type="dxa"/>
            <w:vAlign w:val="bottom"/>
          </w:tcPr>
          <w:p>
            <w:pPr>
              <w:ind w:left="320"/>
              <w:spacing w:after="0"/>
              <w:rPr>
                <w:sz w:val="20"/>
                <w:szCs w:val="20"/>
                <w:color w:val="auto"/>
              </w:rPr>
            </w:pPr>
            <w:r>
              <w:rPr>
                <w:rFonts w:ascii="Arial" w:cs="Arial" w:eastAsia="Arial" w:hAnsi="Arial"/>
                <w:sz w:val="18"/>
                <w:szCs w:val="18"/>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4.13</w:t>
            </w:r>
          </w:p>
        </w:tc>
        <w:tc>
          <w:tcPr>
            <w:tcW w:w="980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4.14</w:t>
            </w:r>
          </w:p>
        </w:tc>
        <w:tc>
          <w:tcPr>
            <w:tcW w:w="9800" w:type="dxa"/>
            <w:vAlign w:val="bottom"/>
          </w:tcPr>
          <w:p>
            <w:pPr>
              <w:ind w:left="320"/>
              <w:spacing w:after="0"/>
              <w:rPr>
                <w:sz w:val="20"/>
                <w:szCs w:val="20"/>
                <w:color w:val="auto"/>
              </w:rPr>
            </w:pPr>
            <w:r>
              <w:rPr>
                <w:rFonts w:ascii="Arial" w:cs="Arial" w:eastAsia="Arial" w:hAnsi="Arial"/>
                <w:sz w:val="18"/>
                <w:szCs w:val="18"/>
                <w:color w:val="auto"/>
              </w:rPr>
              <w:t>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4.15</w:t>
            </w:r>
          </w:p>
        </w:tc>
        <w:tc>
          <w:tcPr>
            <w:tcW w:w="9800" w:type="dxa"/>
            <w:vAlign w:val="bottom"/>
          </w:tcPr>
          <w:p>
            <w:pPr>
              <w:ind w:left="320"/>
              <w:spacing w:after="0"/>
              <w:rPr>
                <w:sz w:val="20"/>
                <w:szCs w:val="20"/>
                <w:color w:val="auto"/>
              </w:rPr>
            </w:pPr>
            <w:r>
              <w:rPr>
                <w:rFonts w:ascii="Arial" w:cs="Arial" w:eastAsia="Arial" w:hAnsi="Arial"/>
                <w:sz w:val="18"/>
                <w:szCs w:val="18"/>
                <w:color w:val="auto"/>
              </w:rPr>
              <w:t>Offer to Repurchase Upon 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4.16</w:t>
            </w:r>
          </w:p>
        </w:tc>
        <w:tc>
          <w:tcPr>
            <w:tcW w:w="980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4.17</w:t>
            </w:r>
          </w:p>
        </w:tc>
        <w:tc>
          <w:tcPr>
            <w:tcW w:w="9800" w:type="dxa"/>
            <w:vAlign w:val="bottom"/>
          </w:tcPr>
          <w:p>
            <w:pPr>
              <w:ind w:left="320"/>
              <w:spacing w:after="0"/>
              <w:rPr>
                <w:sz w:val="20"/>
                <w:szCs w:val="20"/>
                <w:color w:val="auto"/>
              </w:rPr>
            </w:pPr>
            <w:r>
              <w:rPr>
                <w:rFonts w:ascii="Arial" w:cs="Arial" w:eastAsia="Arial" w:hAnsi="Arial"/>
                <w:sz w:val="18"/>
                <w:szCs w:val="18"/>
                <w:color w:val="auto"/>
              </w:rPr>
              <w:t>Limitation on Sale and Leaseback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4.18</w:t>
            </w:r>
          </w:p>
        </w:tc>
        <w:tc>
          <w:tcPr>
            <w:tcW w:w="980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4.19</w:t>
            </w:r>
          </w:p>
        </w:tc>
        <w:tc>
          <w:tcPr>
            <w:tcW w:w="980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4.20</w:t>
            </w:r>
          </w:p>
        </w:tc>
        <w:tc>
          <w:tcPr>
            <w:tcW w:w="9800" w:type="dxa"/>
            <w:vAlign w:val="bottom"/>
          </w:tcPr>
          <w:p>
            <w:pPr>
              <w:ind w:left="320"/>
              <w:spacing w:after="0"/>
              <w:rPr>
                <w:sz w:val="20"/>
                <w:szCs w:val="20"/>
                <w:color w:val="auto"/>
              </w:rPr>
            </w:pPr>
            <w:r>
              <w:rPr>
                <w:rFonts w:ascii="Arial" w:cs="Arial" w:eastAsia="Arial" w:hAnsi="Arial"/>
                <w:sz w:val="18"/>
                <w:szCs w:val="18"/>
                <w:color w:val="auto"/>
              </w:rPr>
              <w:t>Additional Note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4.21</w:t>
            </w:r>
          </w:p>
        </w:tc>
        <w:tc>
          <w:tcPr>
            <w:tcW w:w="9800" w:type="dxa"/>
            <w:vAlign w:val="bottom"/>
          </w:tcPr>
          <w:p>
            <w:pPr>
              <w:ind w:left="320"/>
              <w:spacing w:after="0"/>
              <w:rPr>
                <w:sz w:val="20"/>
                <w:szCs w:val="20"/>
                <w:color w:val="auto"/>
              </w:rPr>
            </w:pPr>
            <w:r>
              <w:rPr>
                <w:rFonts w:ascii="Arial" w:cs="Arial" w:eastAsia="Arial" w:hAnsi="Arial"/>
                <w:sz w:val="18"/>
                <w:szCs w:val="18"/>
                <w:color w:val="auto"/>
              </w:rPr>
              <w:t>Designation of Restricted and Unrestricted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70"/>
              <w:spacing w:after="0"/>
              <w:rPr>
                <w:sz w:val="20"/>
                <w:szCs w:val="20"/>
                <w:color w:val="auto"/>
              </w:rPr>
            </w:pPr>
            <w:r>
              <w:rPr>
                <w:rFonts w:ascii="Arial" w:cs="Arial" w:eastAsia="Arial" w:hAnsi="Arial"/>
                <w:sz w:val="18"/>
                <w:szCs w:val="18"/>
                <w:color w:val="auto"/>
                <w:w w:val="96"/>
              </w:rPr>
              <w:t>ARTICLE 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0"/>
              </w:rPr>
              <w:t>SUCCESSORS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9800" w:type="dxa"/>
            <w:vAlign w:val="bottom"/>
          </w:tcPr>
          <w:p>
            <w:pPr>
              <w:ind w:left="320"/>
              <w:spacing w:after="0"/>
              <w:rPr>
                <w:sz w:val="20"/>
                <w:szCs w:val="20"/>
                <w:color w:val="auto"/>
              </w:rPr>
            </w:pPr>
            <w:r>
              <w:rPr>
                <w:rFonts w:ascii="Arial" w:cs="Arial" w:eastAsia="Arial" w:hAnsi="Arial"/>
                <w:sz w:val="18"/>
                <w:szCs w:val="18"/>
                <w:color w:val="auto"/>
              </w:rPr>
              <w:t>Merger, Consolidation, or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9800" w:type="dxa"/>
            <w:vAlign w:val="bottom"/>
          </w:tcPr>
          <w:p>
            <w:pPr>
              <w:ind w:left="320"/>
              <w:spacing w:after="0"/>
              <w:rPr>
                <w:sz w:val="20"/>
                <w:szCs w:val="20"/>
                <w:color w:val="auto"/>
              </w:rPr>
            </w:pPr>
            <w:r>
              <w:rPr>
                <w:rFonts w:ascii="Arial" w:cs="Arial" w:eastAsia="Arial" w:hAnsi="Arial"/>
                <w:sz w:val="18"/>
                <w:szCs w:val="18"/>
                <w:color w:val="auto"/>
              </w:rPr>
              <w:t>Successor Corporation Substituted.</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70"/>
              <w:spacing w:after="0"/>
              <w:rPr>
                <w:sz w:val="20"/>
                <w:szCs w:val="20"/>
                <w:color w:val="auto"/>
              </w:rPr>
            </w:pPr>
            <w:r>
              <w:rPr>
                <w:rFonts w:ascii="Arial" w:cs="Arial" w:eastAsia="Arial" w:hAnsi="Arial"/>
                <w:sz w:val="18"/>
                <w:szCs w:val="18"/>
                <w:color w:val="auto"/>
                <w:w w:val="96"/>
              </w:rPr>
              <w:t>ARTICLE 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5"/>
              </w:rPr>
              <w:t>DEFAULTS AND REMEDIES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980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9800" w:type="dxa"/>
            <w:vAlign w:val="bottom"/>
          </w:tcPr>
          <w:p>
            <w:pPr>
              <w:ind w:left="320"/>
              <w:spacing w:after="0"/>
              <w:rPr>
                <w:sz w:val="20"/>
                <w:szCs w:val="20"/>
                <w:color w:val="auto"/>
              </w:rPr>
            </w:pPr>
            <w:r>
              <w:rPr>
                <w:rFonts w:ascii="Arial" w:cs="Arial" w:eastAsia="Arial" w:hAnsi="Arial"/>
                <w:sz w:val="18"/>
                <w:szCs w:val="18"/>
                <w:color w:val="auto"/>
              </w:rPr>
              <w:t>Acceleration.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9800" w:type="dxa"/>
            <w:vAlign w:val="bottom"/>
          </w:tcPr>
          <w:p>
            <w:pPr>
              <w:ind w:left="320"/>
              <w:spacing w:after="0"/>
              <w:rPr>
                <w:sz w:val="20"/>
                <w:szCs w:val="20"/>
                <w:color w:val="auto"/>
              </w:rPr>
            </w:pPr>
            <w:r>
              <w:rPr>
                <w:rFonts w:ascii="Arial" w:cs="Arial" w:eastAsia="Arial" w:hAnsi="Arial"/>
                <w:sz w:val="18"/>
                <w:szCs w:val="18"/>
                <w:color w:val="auto"/>
              </w:rPr>
              <w:t>Other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9800" w:type="dxa"/>
            <w:vAlign w:val="bottom"/>
          </w:tcPr>
          <w:p>
            <w:pPr>
              <w:ind w:left="320"/>
              <w:spacing w:after="0"/>
              <w:rPr>
                <w:sz w:val="20"/>
                <w:szCs w:val="20"/>
                <w:color w:val="auto"/>
              </w:rPr>
            </w:pPr>
            <w:r>
              <w:rPr>
                <w:rFonts w:ascii="Arial" w:cs="Arial" w:eastAsia="Arial" w:hAnsi="Arial"/>
                <w:sz w:val="18"/>
                <w:szCs w:val="18"/>
                <w:color w:val="auto"/>
              </w:rPr>
              <w:t>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9800" w:type="dxa"/>
            <w:vAlign w:val="bottom"/>
          </w:tcPr>
          <w:p>
            <w:pPr>
              <w:ind w:left="320"/>
              <w:spacing w:after="0"/>
              <w:rPr>
                <w:sz w:val="20"/>
                <w:szCs w:val="20"/>
                <w:color w:val="auto"/>
              </w:rPr>
            </w:pPr>
            <w:r>
              <w:rPr>
                <w:rFonts w:ascii="Arial" w:cs="Arial" w:eastAsia="Arial" w:hAnsi="Arial"/>
                <w:sz w:val="18"/>
                <w:szCs w:val="18"/>
                <w:color w:val="auto"/>
              </w:rPr>
              <w:t>Control by Majority.</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9800" w:type="dxa"/>
            <w:vAlign w:val="bottom"/>
          </w:tcPr>
          <w:p>
            <w:pPr>
              <w:ind w:left="320"/>
              <w:spacing w:after="0"/>
              <w:rPr>
                <w:sz w:val="20"/>
                <w:szCs w:val="20"/>
                <w:color w:val="auto"/>
              </w:rPr>
            </w:pPr>
            <w:r>
              <w:rPr>
                <w:rFonts w:ascii="Arial" w:cs="Arial" w:eastAsia="Arial" w:hAnsi="Arial"/>
                <w:sz w:val="18"/>
                <w:szCs w:val="18"/>
                <w:color w:val="auto"/>
              </w:rPr>
              <w:t>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9800" w:type="dxa"/>
            <w:vAlign w:val="bottom"/>
          </w:tcPr>
          <w:p>
            <w:pPr>
              <w:ind w:left="320"/>
              <w:spacing w:after="0"/>
              <w:rPr>
                <w:sz w:val="20"/>
                <w:szCs w:val="20"/>
                <w:color w:val="auto"/>
              </w:rPr>
            </w:pPr>
            <w:r>
              <w:rPr>
                <w:rFonts w:ascii="Arial" w:cs="Arial" w:eastAsia="Arial" w:hAnsi="Arial"/>
                <w:sz w:val="18"/>
                <w:szCs w:val="18"/>
                <w:color w:val="auto"/>
              </w:rPr>
              <w:t>Rights of Holders of Notes to Receive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9800" w:type="dxa"/>
            <w:vAlign w:val="bottom"/>
          </w:tcPr>
          <w:p>
            <w:pPr>
              <w:ind w:left="320"/>
              <w:spacing w:after="0"/>
              <w:rPr>
                <w:sz w:val="20"/>
                <w:szCs w:val="20"/>
                <w:color w:val="auto"/>
              </w:rPr>
            </w:pPr>
            <w:r>
              <w:rPr>
                <w:rFonts w:ascii="Arial" w:cs="Arial" w:eastAsia="Arial" w:hAnsi="Arial"/>
                <w:sz w:val="18"/>
                <w:szCs w:val="18"/>
                <w:color w:val="auto"/>
              </w:rPr>
              <w:t>Collection Suit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9800" w:type="dxa"/>
            <w:vAlign w:val="bottom"/>
          </w:tcPr>
          <w:p>
            <w:pPr>
              <w:ind w:left="320"/>
              <w:spacing w:after="0"/>
              <w:rPr>
                <w:sz w:val="20"/>
                <w:szCs w:val="20"/>
                <w:color w:val="auto"/>
              </w:rPr>
            </w:pPr>
            <w:r>
              <w:rPr>
                <w:rFonts w:ascii="Arial" w:cs="Arial" w:eastAsia="Arial" w:hAnsi="Arial"/>
                <w:sz w:val="18"/>
                <w:szCs w:val="18"/>
                <w:color w:val="auto"/>
              </w:rPr>
              <w:t>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9800" w:type="dxa"/>
            <w:vAlign w:val="bottom"/>
          </w:tcPr>
          <w:p>
            <w:pPr>
              <w:ind w:left="320"/>
              <w:spacing w:after="0"/>
              <w:rPr>
                <w:sz w:val="20"/>
                <w:szCs w:val="20"/>
                <w:color w:val="auto"/>
              </w:rPr>
            </w:pPr>
            <w:r>
              <w:rPr>
                <w:rFonts w:ascii="Arial" w:cs="Arial" w:eastAsia="Arial" w:hAnsi="Arial"/>
                <w:sz w:val="18"/>
                <w:szCs w:val="18"/>
                <w:color w:val="auto"/>
              </w:rPr>
              <w:t>Priorities.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9800" w:type="dxa"/>
            <w:vAlign w:val="bottom"/>
          </w:tcPr>
          <w:p>
            <w:pPr>
              <w:ind w:left="320"/>
              <w:spacing w:after="0"/>
              <w:rPr>
                <w:sz w:val="20"/>
                <w:szCs w:val="20"/>
                <w:color w:val="auto"/>
              </w:rPr>
            </w:pPr>
            <w:r>
              <w:rPr>
                <w:rFonts w:ascii="Arial" w:cs="Arial" w:eastAsia="Arial" w:hAnsi="Arial"/>
                <w:sz w:val="18"/>
                <w:szCs w:val="18"/>
                <w:color w:val="auto"/>
              </w:rPr>
              <w:t>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70"/>
              <w:spacing w:after="0"/>
              <w:rPr>
                <w:sz w:val="20"/>
                <w:szCs w:val="20"/>
                <w:color w:val="auto"/>
              </w:rPr>
            </w:pPr>
            <w:r>
              <w:rPr>
                <w:rFonts w:ascii="Arial" w:cs="Arial" w:eastAsia="Arial" w:hAnsi="Arial"/>
                <w:sz w:val="18"/>
                <w:szCs w:val="18"/>
                <w:color w:val="auto"/>
                <w:w w:val="96"/>
              </w:rPr>
              <w:t>ARTICLE 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800" w:type="dxa"/>
            <w:vAlign w:val="bottom"/>
          </w:tcPr>
          <w:p>
            <w:pPr>
              <w:jc w:val="center"/>
              <w:ind w:right="850"/>
              <w:spacing w:after="0"/>
              <w:rPr>
                <w:sz w:val="20"/>
                <w:szCs w:val="20"/>
                <w:color w:val="auto"/>
              </w:rPr>
            </w:pPr>
            <w:r>
              <w:rPr>
                <w:rFonts w:ascii="Arial" w:cs="Arial" w:eastAsia="Arial" w:hAnsi="Arial"/>
                <w:sz w:val="18"/>
                <w:szCs w:val="18"/>
                <w:color w:val="auto"/>
                <w:w w:val="92"/>
              </w:rPr>
              <w:t>TRUSTEE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9800" w:type="dxa"/>
            <w:vAlign w:val="bottom"/>
          </w:tcPr>
          <w:p>
            <w:pPr>
              <w:ind w:left="320"/>
              <w:spacing w:after="0"/>
              <w:rPr>
                <w:sz w:val="20"/>
                <w:szCs w:val="20"/>
                <w:color w:val="auto"/>
              </w:rPr>
            </w:pPr>
            <w:r>
              <w:rPr>
                <w:rFonts w:ascii="Arial" w:cs="Arial" w:eastAsia="Arial" w:hAnsi="Arial"/>
                <w:sz w:val="18"/>
                <w:szCs w:val="18"/>
                <w:color w:val="auto"/>
              </w:rPr>
              <w:t>Duties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9800" w:type="dxa"/>
            <w:vAlign w:val="bottom"/>
          </w:tcPr>
          <w:p>
            <w:pPr>
              <w:ind w:left="320"/>
              <w:spacing w:after="0"/>
              <w:rPr>
                <w:sz w:val="20"/>
                <w:szCs w:val="20"/>
                <w:color w:val="auto"/>
              </w:rPr>
            </w:pPr>
            <w:r>
              <w:rPr>
                <w:rFonts w:ascii="Arial" w:cs="Arial" w:eastAsia="Arial" w:hAnsi="Arial"/>
                <w:sz w:val="18"/>
                <w:szCs w:val="18"/>
                <w:color w:val="auto"/>
              </w:rPr>
              <w:t>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9800" w:type="dxa"/>
            <w:vAlign w:val="bottom"/>
          </w:tcPr>
          <w:p>
            <w:pPr>
              <w:ind w:left="320"/>
              <w:spacing w:after="0"/>
              <w:rPr>
                <w:sz w:val="20"/>
                <w:szCs w:val="20"/>
                <w:color w:val="auto"/>
              </w:rPr>
            </w:pPr>
            <w:r>
              <w:rPr>
                <w:rFonts w:ascii="Arial" w:cs="Arial" w:eastAsia="Arial" w:hAnsi="Arial"/>
                <w:sz w:val="18"/>
                <w:szCs w:val="18"/>
                <w:color w:val="auto"/>
              </w:rPr>
              <w:t>Individual 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9800" w:type="dxa"/>
            <w:vAlign w:val="bottom"/>
          </w:tcPr>
          <w:p>
            <w:pPr>
              <w:ind w:left="320"/>
              <w:spacing w:after="0"/>
              <w:rPr>
                <w:sz w:val="20"/>
                <w:szCs w:val="20"/>
                <w:color w:val="auto"/>
              </w:rPr>
            </w:pPr>
            <w:r>
              <w:rPr>
                <w:rFonts w:ascii="Arial" w:cs="Arial" w:eastAsia="Arial" w:hAnsi="Arial"/>
                <w:sz w:val="18"/>
                <w:szCs w:val="18"/>
                <w:color w:val="auto"/>
              </w:rPr>
              <w:t>Trustee’s Disclaimer.</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9800" w:type="dxa"/>
            <w:vAlign w:val="bottom"/>
          </w:tcPr>
          <w:p>
            <w:pPr>
              <w:ind w:left="320"/>
              <w:spacing w:after="0"/>
              <w:rPr>
                <w:sz w:val="20"/>
                <w:szCs w:val="20"/>
                <w:color w:val="auto"/>
              </w:rPr>
            </w:pPr>
            <w:r>
              <w:rPr>
                <w:rFonts w:ascii="Arial" w:cs="Arial" w:eastAsia="Arial" w:hAnsi="Arial"/>
                <w:sz w:val="18"/>
                <w:szCs w:val="18"/>
                <w:color w:val="auto"/>
              </w:rPr>
              <w:t>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9800" w:type="dxa"/>
            <w:vAlign w:val="bottom"/>
          </w:tcPr>
          <w:p>
            <w:pPr>
              <w:ind w:left="320"/>
              <w:spacing w:after="0"/>
              <w:rPr>
                <w:sz w:val="20"/>
                <w:szCs w:val="20"/>
                <w:color w:val="auto"/>
              </w:rPr>
            </w:pPr>
            <w:r>
              <w:rPr>
                <w:rFonts w:ascii="Arial" w:cs="Arial" w:eastAsia="Arial" w:hAnsi="Arial"/>
                <w:sz w:val="18"/>
                <w:szCs w:val="18"/>
                <w:color w:val="auto"/>
              </w:rPr>
              <w:t>Reports by Trustee to Holders of the Notes.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9800" w:type="dxa"/>
            <w:vAlign w:val="bottom"/>
          </w:tcPr>
          <w:p>
            <w:pPr>
              <w:ind w:left="320"/>
              <w:spacing w:after="0"/>
              <w:rPr>
                <w:sz w:val="20"/>
                <w:szCs w:val="20"/>
                <w:color w:val="auto"/>
              </w:rPr>
            </w:pPr>
            <w:r>
              <w:rPr>
                <w:rFonts w:ascii="Arial" w:cs="Arial" w:eastAsia="Arial" w:hAnsi="Arial"/>
                <w:sz w:val="18"/>
                <w:szCs w:val="18"/>
                <w:color w:val="auto"/>
              </w:rPr>
              <w:t>Compensation and 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9800" w:type="dxa"/>
            <w:vAlign w:val="bottom"/>
          </w:tcPr>
          <w:p>
            <w:pPr>
              <w:ind w:left="320"/>
              <w:spacing w:after="0"/>
              <w:rPr>
                <w:sz w:val="20"/>
                <w:szCs w:val="20"/>
                <w:color w:val="auto"/>
              </w:rPr>
            </w:pPr>
            <w:r>
              <w:rPr>
                <w:rFonts w:ascii="Arial" w:cs="Arial" w:eastAsia="Arial" w:hAnsi="Arial"/>
                <w:sz w:val="18"/>
                <w:szCs w:val="18"/>
                <w:color w:val="auto"/>
              </w:rPr>
              <w:t>Replacement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9800" w:type="dxa"/>
            <w:vAlign w:val="bottom"/>
          </w:tcPr>
          <w:p>
            <w:pPr>
              <w:ind w:left="320"/>
              <w:spacing w:after="0"/>
              <w:rPr>
                <w:sz w:val="20"/>
                <w:szCs w:val="20"/>
                <w:color w:val="auto"/>
              </w:rPr>
            </w:pPr>
            <w:r>
              <w:rPr>
                <w:rFonts w:ascii="Arial" w:cs="Arial" w:eastAsia="Arial" w:hAnsi="Arial"/>
                <w:sz w:val="18"/>
                <w:szCs w:val="18"/>
                <w:color w:val="auto"/>
              </w:rPr>
              <w:t>Successor Trustee by Merger, etc.</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9800" w:type="dxa"/>
            <w:vAlign w:val="bottom"/>
          </w:tcPr>
          <w:p>
            <w:pPr>
              <w:ind w:left="320"/>
              <w:spacing w:after="0"/>
              <w:rPr>
                <w:sz w:val="20"/>
                <w:szCs w:val="20"/>
                <w:color w:val="auto"/>
              </w:rPr>
            </w:pPr>
            <w:r>
              <w:rPr>
                <w:rFonts w:ascii="Arial" w:cs="Arial" w:eastAsia="Arial" w:hAnsi="Arial"/>
                <w:sz w:val="18"/>
                <w:szCs w:val="18"/>
                <w:color w:val="auto"/>
              </w:rPr>
              <w:t>Eligibility; Disqualification.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7.11</w:t>
            </w:r>
          </w:p>
        </w:tc>
        <w:tc>
          <w:tcPr>
            <w:tcW w:w="9800" w:type="dxa"/>
            <w:vAlign w:val="bottom"/>
          </w:tcPr>
          <w:p>
            <w:pPr>
              <w:ind w:left="320"/>
              <w:spacing w:after="0"/>
              <w:rPr>
                <w:sz w:val="20"/>
                <w:szCs w:val="20"/>
                <w:color w:val="auto"/>
              </w:rPr>
            </w:pPr>
            <w:r>
              <w:rPr>
                <w:rFonts w:ascii="Arial" w:cs="Arial" w:eastAsia="Arial" w:hAnsi="Arial"/>
                <w:sz w:val="18"/>
                <w:szCs w:val="18"/>
                <w:color w:val="auto"/>
              </w:rPr>
              <w:t>Preferential Collection of Claims Against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9760" w:type="dxa"/>
            <w:vAlign w:val="bottom"/>
            <w:vMerge w:val="restart"/>
          </w:tcPr>
          <w:p>
            <w:pPr>
              <w:jc w:val="center"/>
              <w:ind w:right="910"/>
              <w:spacing w:after="0"/>
              <w:rPr>
                <w:sz w:val="20"/>
                <w:szCs w:val="20"/>
                <w:color w:val="auto"/>
              </w:rPr>
            </w:pPr>
            <w:r>
              <w:rPr>
                <w:rFonts w:ascii="Arial" w:cs="Arial" w:eastAsia="Arial" w:hAnsi="Arial"/>
                <w:sz w:val="18"/>
                <w:szCs w:val="18"/>
                <w:color w:val="auto"/>
                <w:w w:val="96"/>
              </w:rPr>
              <w:t>ARTICLE 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7"/>
              </w:rPr>
              <w:t>LEGAL DEFEASANCE AND COVENANT DEFEASANCE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8.01</w:t>
            </w:r>
          </w:p>
        </w:tc>
        <w:tc>
          <w:tcPr>
            <w:tcW w:w="9760" w:type="dxa"/>
            <w:vAlign w:val="bottom"/>
          </w:tcPr>
          <w:p>
            <w:pPr>
              <w:ind w:left="300"/>
              <w:spacing w:after="0"/>
              <w:rPr>
                <w:sz w:val="20"/>
                <w:szCs w:val="20"/>
                <w:color w:val="auto"/>
              </w:rPr>
            </w:pPr>
            <w:r>
              <w:rPr>
                <w:rFonts w:ascii="Arial" w:cs="Arial" w:eastAsia="Arial" w:hAnsi="Arial"/>
                <w:sz w:val="18"/>
                <w:szCs w:val="18"/>
                <w:color w:val="auto"/>
              </w:rPr>
              <w:t>Option to Effect Legal Defeasance or 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8.02</w:t>
            </w:r>
          </w:p>
        </w:tc>
        <w:tc>
          <w:tcPr>
            <w:tcW w:w="9760" w:type="dxa"/>
            <w:vAlign w:val="bottom"/>
          </w:tcPr>
          <w:p>
            <w:pPr>
              <w:ind w:left="300"/>
              <w:spacing w:after="0"/>
              <w:rPr>
                <w:sz w:val="20"/>
                <w:szCs w:val="20"/>
                <w:color w:val="auto"/>
              </w:rPr>
            </w:pPr>
            <w:r>
              <w:rPr>
                <w:rFonts w:ascii="Arial" w:cs="Arial" w:eastAsia="Arial" w:hAnsi="Arial"/>
                <w:sz w:val="18"/>
                <w:szCs w:val="18"/>
                <w:color w:val="auto"/>
              </w:rPr>
              <w:t>Legal Defeasance and Discharge.</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8.03</w:t>
            </w:r>
          </w:p>
        </w:tc>
        <w:tc>
          <w:tcPr>
            <w:tcW w:w="9760" w:type="dxa"/>
            <w:vAlign w:val="bottom"/>
          </w:tcPr>
          <w:p>
            <w:pPr>
              <w:ind w:left="300"/>
              <w:spacing w:after="0"/>
              <w:rPr>
                <w:sz w:val="20"/>
                <w:szCs w:val="20"/>
                <w:color w:val="auto"/>
              </w:rPr>
            </w:pPr>
            <w:r>
              <w:rPr>
                <w:rFonts w:ascii="Arial" w:cs="Arial" w:eastAsia="Arial" w:hAnsi="Arial"/>
                <w:sz w:val="18"/>
                <w:szCs w:val="18"/>
                <w:color w:val="auto"/>
              </w:rPr>
              <w:t>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8.04</w:t>
            </w:r>
          </w:p>
        </w:tc>
        <w:tc>
          <w:tcPr>
            <w:tcW w:w="9760" w:type="dxa"/>
            <w:vAlign w:val="bottom"/>
          </w:tcPr>
          <w:p>
            <w:pPr>
              <w:ind w:left="300"/>
              <w:spacing w:after="0"/>
              <w:rPr>
                <w:sz w:val="20"/>
                <w:szCs w:val="20"/>
                <w:color w:val="auto"/>
              </w:rPr>
            </w:pPr>
            <w:r>
              <w:rPr>
                <w:rFonts w:ascii="Arial" w:cs="Arial" w:eastAsia="Arial" w:hAnsi="Arial"/>
                <w:sz w:val="18"/>
                <w:szCs w:val="18"/>
                <w:color w:val="auto"/>
              </w:rPr>
              <w:t>Conditions to Legal or 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8.05</w:t>
            </w:r>
          </w:p>
        </w:tc>
        <w:tc>
          <w:tcPr>
            <w:tcW w:w="9760" w:type="dxa"/>
            <w:vAlign w:val="bottom"/>
          </w:tcPr>
          <w:p>
            <w:pPr>
              <w:ind w:left="30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8.06</w:t>
            </w:r>
          </w:p>
        </w:tc>
        <w:tc>
          <w:tcPr>
            <w:tcW w:w="9760" w:type="dxa"/>
            <w:vAlign w:val="bottom"/>
          </w:tcPr>
          <w:p>
            <w:pPr>
              <w:ind w:left="300"/>
              <w:spacing w:after="0"/>
              <w:rPr>
                <w:sz w:val="20"/>
                <w:szCs w:val="20"/>
                <w:color w:val="auto"/>
              </w:rPr>
            </w:pPr>
            <w:r>
              <w:rPr>
                <w:rFonts w:ascii="Arial" w:cs="Arial" w:eastAsia="Arial" w:hAnsi="Arial"/>
                <w:sz w:val="18"/>
                <w:szCs w:val="18"/>
                <w:color w:val="auto"/>
              </w:rPr>
              <w:t>Repayment to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8.07</w:t>
            </w:r>
          </w:p>
        </w:tc>
        <w:tc>
          <w:tcPr>
            <w:tcW w:w="9760" w:type="dxa"/>
            <w:vAlign w:val="bottom"/>
          </w:tcPr>
          <w:p>
            <w:pPr>
              <w:ind w:left="300"/>
              <w:spacing w:after="0"/>
              <w:rPr>
                <w:sz w:val="20"/>
                <w:szCs w:val="20"/>
                <w:color w:val="auto"/>
              </w:rPr>
            </w:pPr>
            <w:r>
              <w:rPr>
                <w:rFonts w:ascii="Arial" w:cs="Arial" w:eastAsia="Arial" w:hAnsi="Arial"/>
                <w:sz w:val="18"/>
                <w:szCs w:val="18"/>
                <w:color w:val="auto"/>
              </w:rPr>
              <w:t>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910"/>
              <w:spacing w:after="0"/>
              <w:rPr>
                <w:sz w:val="20"/>
                <w:szCs w:val="20"/>
                <w:color w:val="auto"/>
              </w:rPr>
            </w:pPr>
            <w:r>
              <w:rPr>
                <w:rFonts w:ascii="Arial" w:cs="Arial" w:eastAsia="Arial" w:hAnsi="Arial"/>
                <w:sz w:val="18"/>
                <w:szCs w:val="18"/>
                <w:color w:val="auto"/>
                <w:w w:val="96"/>
              </w:rPr>
              <w:t>ARTICLE 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7"/>
              </w:rPr>
              <w:t>AMENDMENT, SUPPLEMENT AND WAIVER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9.01</w:t>
            </w:r>
          </w:p>
        </w:tc>
        <w:tc>
          <w:tcPr>
            <w:tcW w:w="9760" w:type="dxa"/>
            <w:vAlign w:val="bottom"/>
          </w:tcPr>
          <w:p>
            <w:pPr>
              <w:ind w:left="300"/>
              <w:spacing w:after="0"/>
              <w:rPr>
                <w:sz w:val="20"/>
                <w:szCs w:val="20"/>
                <w:color w:val="auto"/>
              </w:rPr>
            </w:pPr>
            <w:r>
              <w:rPr>
                <w:rFonts w:ascii="Arial" w:cs="Arial" w:eastAsia="Arial" w:hAnsi="Arial"/>
                <w:sz w:val="18"/>
                <w:szCs w:val="18"/>
                <w:color w:val="auto"/>
              </w:rPr>
              <w:t>Without Consent of Holders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9.02</w:t>
            </w:r>
          </w:p>
        </w:tc>
        <w:tc>
          <w:tcPr>
            <w:tcW w:w="9760" w:type="dxa"/>
            <w:vAlign w:val="bottom"/>
          </w:tcPr>
          <w:p>
            <w:pPr>
              <w:ind w:left="300"/>
              <w:spacing w:after="0"/>
              <w:rPr>
                <w:sz w:val="20"/>
                <w:szCs w:val="20"/>
                <w:color w:val="auto"/>
              </w:rPr>
            </w:pPr>
            <w:r>
              <w:rPr>
                <w:rFonts w:ascii="Arial" w:cs="Arial" w:eastAsia="Arial" w:hAnsi="Arial"/>
                <w:sz w:val="18"/>
                <w:szCs w:val="18"/>
                <w:color w:val="auto"/>
              </w:rPr>
              <w:t>With Consent of Holders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9.03</w:t>
            </w:r>
          </w:p>
        </w:tc>
        <w:tc>
          <w:tcPr>
            <w:tcW w:w="9760" w:type="dxa"/>
            <w:vAlign w:val="bottom"/>
          </w:tcPr>
          <w:p>
            <w:pPr>
              <w:ind w:left="300"/>
              <w:spacing w:after="0"/>
              <w:rPr>
                <w:sz w:val="20"/>
                <w:szCs w:val="20"/>
                <w:color w:val="auto"/>
              </w:rPr>
            </w:pPr>
            <w:r>
              <w:rPr>
                <w:rFonts w:ascii="Arial" w:cs="Arial" w:eastAsia="Arial" w:hAnsi="Arial"/>
                <w:sz w:val="18"/>
                <w:szCs w:val="18"/>
                <w:color w:val="auto"/>
              </w:rPr>
              <w:t>Compliance with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9.04</w:t>
            </w:r>
          </w:p>
        </w:tc>
        <w:tc>
          <w:tcPr>
            <w:tcW w:w="9760" w:type="dxa"/>
            <w:vAlign w:val="bottom"/>
          </w:tcPr>
          <w:p>
            <w:pPr>
              <w:ind w:left="300"/>
              <w:spacing w:after="0"/>
              <w:rPr>
                <w:sz w:val="20"/>
                <w:szCs w:val="20"/>
                <w:color w:val="auto"/>
              </w:rPr>
            </w:pPr>
            <w:r>
              <w:rPr>
                <w:rFonts w:ascii="Arial" w:cs="Arial" w:eastAsia="Arial" w:hAnsi="Arial"/>
                <w:sz w:val="18"/>
                <w:szCs w:val="18"/>
                <w:color w:val="auto"/>
              </w:rPr>
              <w:t>Revocation and Effect of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9.05</w:t>
            </w:r>
          </w:p>
        </w:tc>
        <w:tc>
          <w:tcPr>
            <w:tcW w:w="9760" w:type="dxa"/>
            <w:vAlign w:val="bottom"/>
          </w:tcPr>
          <w:p>
            <w:pPr>
              <w:ind w:left="300"/>
              <w:spacing w:after="0"/>
              <w:rPr>
                <w:sz w:val="20"/>
                <w:szCs w:val="20"/>
                <w:color w:val="auto"/>
              </w:rPr>
            </w:pPr>
            <w:r>
              <w:rPr>
                <w:rFonts w:ascii="Arial" w:cs="Arial" w:eastAsia="Arial" w:hAnsi="Arial"/>
                <w:sz w:val="18"/>
                <w:szCs w:val="18"/>
                <w:color w:val="auto"/>
              </w:rPr>
              <w:t>Notation on or Exchange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9.06</w:t>
            </w:r>
          </w:p>
        </w:tc>
        <w:tc>
          <w:tcPr>
            <w:tcW w:w="9760" w:type="dxa"/>
            <w:vAlign w:val="bottom"/>
          </w:tcPr>
          <w:p>
            <w:pPr>
              <w:ind w:left="300"/>
              <w:spacing w:after="0"/>
              <w:rPr>
                <w:sz w:val="20"/>
                <w:szCs w:val="20"/>
                <w:color w:val="auto"/>
              </w:rPr>
            </w:pPr>
            <w:r>
              <w:rPr>
                <w:rFonts w:ascii="Arial" w:cs="Arial" w:eastAsia="Arial" w:hAnsi="Arial"/>
                <w:sz w:val="18"/>
                <w:szCs w:val="18"/>
                <w:color w:val="auto"/>
              </w:rPr>
              <w:t>Trustee to Sign Amendments,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6"/>
              </w:rPr>
              <w:t>ARTICLE 10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6"/>
              </w:rPr>
              <w:t>ARTICLE 11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910"/>
              <w:spacing w:after="0"/>
              <w:rPr>
                <w:sz w:val="20"/>
                <w:szCs w:val="20"/>
                <w:color w:val="auto"/>
              </w:rPr>
            </w:pPr>
            <w:r>
              <w:rPr>
                <w:rFonts w:ascii="Arial" w:cs="Arial" w:eastAsia="Arial" w:hAnsi="Arial"/>
                <w:sz w:val="18"/>
                <w:szCs w:val="18"/>
                <w:color w:val="auto"/>
                <w:w w:val="96"/>
              </w:rPr>
              <w:t>NOTE GUARANTEES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11.01</w:t>
            </w:r>
          </w:p>
        </w:tc>
        <w:tc>
          <w:tcPr>
            <w:tcW w:w="9760" w:type="dxa"/>
            <w:vAlign w:val="bottom"/>
          </w:tcPr>
          <w:p>
            <w:pPr>
              <w:ind w:left="30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11.02</w:t>
            </w:r>
          </w:p>
        </w:tc>
        <w:tc>
          <w:tcPr>
            <w:tcW w:w="9760" w:type="dxa"/>
            <w:vAlign w:val="bottom"/>
          </w:tcPr>
          <w:p>
            <w:pPr>
              <w:ind w:left="30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11.03</w:t>
            </w:r>
          </w:p>
        </w:tc>
        <w:tc>
          <w:tcPr>
            <w:tcW w:w="9760" w:type="dxa"/>
            <w:vAlign w:val="bottom"/>
          </w:tcPr>
          <w:p>
            <w:pPr>
              <w:ind w:left="300"/>
              <w:spacing w:after="0"/>
              <w:rPr>
                <w:sz w:val="20"/>
                <w:szCs w:val="20"/>
                <w:color w:val="auto"/>
              </w:rPr>
            </w:pPr>
            <w:r>
              <w:rPr>
                <w:rFonts w:ascii="Arial" w:cs="Arial" w:eastAsia="Arial" w:hAnsi="Arial"/>
                <w:sz w:val="18"/>
                <w:szCs w:val="18"/>
                <w:color w:val="auto"/>
              </w:rPr>
              <w:t>Limitation on Guarantor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11.04</w:t>
            </w:r>
          </w:p>
        </w:tc>
        <w:tc>
          <w:tcPr>
            <w:tcW w:w="9760" w:type="dxa"/>
            <w:vAlign w:val="bottom"/>
          </w:tcPr>
          <w:p>
            <w:pPr>
              <w:ind w:left="300"/>
              <w:spacing w:after="0"/>
              <w:rPr>
                <w:sz w:val="20"/>
                <w:szCs w:val="20"/>
                <w:color w:val="auto"/>
              </w:rPr>
            </w:pPr>
            <w:r>
              <w:rPr>
                <w:rFonts w:ascii="Arial" w:cs="Arial" w:eastAsia="Arial" w:hAnsi="Arial"/>
                <w:sz w:val="18"/>
                <w:szCs w:val="18"/>
                <w:color w:val="auto"/>
              </w:rPr>
              <w:t>Execution and Delivery of Note 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11.05</w:t>
            </w:r>
          </w:p>
        </w:tc>
        <w:tc>
          <w:tcPr>
            <w:tcW w:w="9760" w:type="dxa"/>
            <w:vAlign w:val="bottom"/>
          </w:tcPr>
          <w:p>
            <w:pPr>
              <w:ind w:left="300"/>
              <w:spacing w:after="0"/>
              <w:rPr>
                <w:sz w:val="20"/>
                <w:szCs w:val="20"/>
                <w:color w:val="auto"/>
              </w:rPr>
            </w:pPr>
            <w:r>
              <w:rPr>
                <w:rFonts w:ascii="Arial" w:cs="Arial" w:eastAsia="Arial" w:hAnsi="Arial"/>
                <w:sz w:val="18"/>
                <w:szCs w:val="18"/>
                <w:color w:val="auto"/>
              </w:rPr>
              <w:t>Guarantors May Consolidate, etc., on 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11.06</w:t>
            </w:r>
          </w:p>
        </w:tc>
        <w:tc>
          <w:tcPr>
            <w:tcW w:w="9760" w:type="dxa"/>
            <w:vAlign w:val="bottom"/>
          </w:tcPr>
          <w:p>
            <w:pPr>
              <w:ind w:left="300"/>
              <w:spacing w:after="0"/>
              <w:rPr>
                <w:sz w:val="20"/>
                <w:szCs w:val="20"/>
                <w:color w:val="auto"/>
              </w:rPr>
            </w:pPr>
            <w:r>
              <w:rPr>
                <w:rFonts w:ascii="Arial" w:cs="Arial" w:eastAsia="Arial" w:hAnsi="Arial"/>
                <w:sz w:val="18"/>
                <w:szCs w:val="18"/>
                <w:color w:val="auto"/>
              </w:rPr>
              <w:t>Releases.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6"/>
              </w:rPr>
              <w:t>ARTICLE 12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910"/>
              <w:spacing w:after="0"/>
              <w:rPr>
                <w:sz w:val="20"/>
                <w:szCs w:val="20"/>
                <w:color w:val="auto"/>
              </w:rPr>
            </w:pPr>
            <w:r>
              <w:rPr>
                <w:rFonts w:ascii="Arial" w:cs="Arial" w:eastAsia="Arial" w:hAnsi="Arial"/>
                <w:sz w:val="18"/>
                <w:szCs w:val="18"/>
                <w:color w:val="auto"/>
                <w:w w:val="96"/>
              </w:rPr>
              <w:t>SATISFACTION AND DISCHARGE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12.01</w:t>
            </w:r>
          </w:p>
        </w:tc>
        <w:tc>
          <w:tcPr>
            <w:tcW w:w="9760" w:type="dxa"/>
            <w:vAlign w:val="bottom"/>
          </w:tcPr>
          <w:p>
            <w:pPr>
              <w:ind w:left="300"/>
              <w:spacing w:after="0"/>
              <w:rPr>
                <w:sz w:val="20"/>
                <w:szCs w:val="20"/>
                <w:color w:val="auto"/>
              </w:rPr>
            </w:pPr>
            <w:r>
              <w:rPr>
                <w:rFonts w:ascii="Arial" w:cs="Arial" w:eastAsia="Arial" w:hAnsi="Arial"/>
                <w:sz w:val="18"/>
                <w:szCs w:val="18"/>
                <w:color w:val="auto"/>
              </w:rPr>
              <w:t>Satisfaction and Discharge.</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12.02</w:t>
            </w:r>
          </w:p>
        </w:tc>
        <w:tc>
          <w:tcPr>
            <w:tcW w:w="9760" w:type="dxa"/>
            <w:vAlign w:val="bottom"/>
          </w:tcPr>
          <w:p>
            <w:pPr>
              <w:ind w:left="300"/>
              <w:spacing w:after="0"/>
              <w:rPr>
                <w:sz w:val="20"/>
                <w:szCs w:val="20"/>
                <w:color w:val="auto"/>
              </w:rPr>
            </w:pPr>
            <w:r>
              <w:rPr>
                <w:rFonts w:ascii="Arial" w:cs="Arial" w:eastAsia="Arial" w:hAnsi="Arial"/>
                <w:sz w:val="18"/>
                <w:szCs w:val="18"/>
                <w:color w:val="auto"/>
              </w:rPr>
              <w:t>Application of Trust Money.</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6"/>
              </w:rPr>
              <w:t>ARTICLE 13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760" w:type="dxa"/>
            <w:vAlign w:val="bottom"/>
          </w:tcPr>
          <w:p>
            <w:pPr>
              <w:jc w:val="center"/>
              <w:ind w:right="890"/>
              <w:spacing w:after="0"/>
              <w:rPr>
                <w:sz w:val="20"/>
                <w:szCs w:val="20"/>
                <w:color w:val="auto"/>
              </w:rPr>
            </w:pPr>
            <w:r>
              <w:rPr>
                <w:rFonts w:ascii="Arial" w:cs="Arial" w:eastAsia="Arial" w:hAnsi="Arial"/>
                <w:sz w:val="18"/>
                <w:szCs w:val="18"/>
                <w:color w:val="auto"/>
                <w:w w:val="97"/>
              </w:rPr>
              <w:t>MISCELLANEOUS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13.01</w:t>
            </w:r>
          </w:p>
        </w:tc>
        <w:tc>
          <w:tcPr>
            <w:tcW w:w="9760" w:type="dxa"/>
            <w:vAlign w:val="bottom"/>
          </w:tcPr>
          <w:p>
            <w:pPr>
              <w:ind w:left="300"/>
              <w:spacing w:after="0"/>
              <w:rPr>
                <w:sz w:val="20"/>
                <w:szCs w:val="20"/>
                <w:color w:val="auto"/>
              </w:rPr>
            </w:pPr>
            <w:r>
              <w:rPr>
                <w:rFonts w:ascii="Arial" w:cs="Arial" w:eastAsia="Arial" w:hAnsi="Arial"/>
                <w:sz w:val="18"/>
                <w:szCs w:val="18"/>
                <w:color w:val="auto"/>
              </w:rPr>
              <w:t>Trust Indenture Act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13.02</w:t>
            </w:r>
          </w:p>
        </w:tc>
        <w:tc>
          <w:tcPr>
            <w:tcW w:w="9760" w:type="dxa"/>
            <w:vAlign w:val="bottom"/>
          </w:tcPr>
          <w:p>
            <w:pPr>
              <w:ind w:left="30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13.03</w:t>
            </w:r>
          </w:p>
        </w:tc>
        <w:tc>
          <w:tcPr>
            <w:tcW w:w="9760" w:type="dxa"/>
            <w:vAlign w:val="bottom"/>
          </w:tcPr>
          <w:p>
            <w:pPr>
              <w:ind w:left="300"/>
              <w:spacing w:after="0"/>
              <w:rPr>
                <w:sz w:val="20"/>
                <w:szCs w:val="20"/>
                <w:color w:val="auto"/>
              </w:rPr>
            </w:pPr>
            <w:r>
              <w:rPr>
                <w:rFonts w:ascii="Arial" w:cs="Arial" w:eastAsia="Arial" w:hAnsi="Arial"/>
                <w:sz w:val="18"/>
                <w:szCs w:val="18"/>
                <w:color w:val="auto"/>
              </w:rPr>
              <w:t>Communication by Holders of Notes with Other Holders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13.04</w:t>
            </w:r>
          </w:p>
        </w:tc>
        <w:tc>
          <w:tcPr>
            <w:tcW w:w="9760" w:type="dxa"/>
            <w:vAlign w:val="bottom"/>
          </w:tcPr>
          <w:p>
            <w:pPr>
              <w:ind w:left="300"/>
              <w:spacing w:after="0"/>
              <w:rPr>
                <w:sz w:val="20"/>
                <w:szCs w:val="20"/>
                <w:color w:val="auto"/>
              </w:rPr>
            </w:pPr>
            <w:r>
              <w:rPr>
                <w:rFonts w:ascii="Arial" w:cs="Arial" w:eastAsia="Arial" w:hAnsi="Arial"/>
                <w:sz w:val="18"/>
                <w:szCs w:val="18"/>
                <w:color w:val="auto"/>
              </w:rPr>
              <w:t>Certificate and Opinion as to 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13.05</w:t>
            </w:r>
          </w:p>
        </w:tc>
        <w:tc>
          <w:tcPr>
            <w:tcW w:w="9760" w:type="dxa"/>
            <w:vAlign w:val="bottom"/>
          </w:tcPr>
          <w:p>
            <w:pPr>
              <w:ind w:left="300"/>
              <w:spacing w:after="0"/>
              <w:rPr>
                <w:sz w:val="20"/>
                <w:szCs w:val="20"/>
                <w:color w:val="auto"/>
              </w:rPr>
            </w:pPr>
            <w:r>
              <w:rPr>
                <w:rFonts w:ascii="Arial" w:cs="Arial" w:eastAsia="Arial" w:hAnsi="Arial"/>
                <w:sz w:val="18"/>
                <w:szCs w:val="18"/>
                <w:color w:val="auto"/>
              </w:rPr>
              <w:t>Statements Required in Certificate or Opinion.</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7"/>
        </w:trPr>
        <w:tc>
          <w:tcPr>
            <w:tcW w:w="1240" w:type="dxa"/>
            <w:vAlign w:val="bottom"/>
            <w:vMerge w:val="restart"/>
          </w:tcPr>
          <w:p>
            <w:pPr>
              <w:spacing w:after="0"/>
              <w:rPr>
                <w:sz w:val="20"/>
                <w:szCs w:val="20"/>
                <w:color w:val="auto"/>
              </w:rPr>
            </w:pPr>
            <w:r>
              <w:rPr>
                <w:rFonts w:ascii="Arial" w:cs="Arial" w:eastAsia="Arial" w:hAnsi="Arial"/>
                <w:sz w:val="18"/>
                <w:szCs w:val="18"/>
                <w:color w:val="auto"/>
              </w:rPr>
              <w:t>Section 13.06</w:t>
            </w:r>
          </w:p>
        </w:tc>
        <w:tc>
          <w:tcPr>
            <w:tcW w:w="9740" w:type="dxa"/>
            <w:vAlign w:val="bottom"/>
            <w:vMerge w:val="restart"/>
          </w:tcPr>
          <w:p>
            <w:pPr>
              <w:ind w:left="220"/>
              <w:spacing w:after="0"/>
              <w:rPr>
                <w:sz w:val="20"/>
                <w:szCs w:val="20"/>
                <w:color w:val="auto"/>
              </w:rPr>
            </w:pPr>
            <w:r>
              <w:rPr>
                <w:rFonts w:ascii="Arial" w:cs="Arial" w:eastAsia="Arial" w:hAnsi="Arial"/>
                <w:sz w:val="18"/>
                <w:szCs w:val="18"/>
                <w:color w:val="auto"/>
              </w:rPr>
              <w:t>Rules by Trustee and Agents.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9740" w:type="dxa"/>
            <w:vAlign w:val="bottom"/>
            <w:vMerge w:val="continue"/>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13.07</w:t>
            </w:r>
          </w:p>
        </w:tc>
        <w:tc>
          <w:tcPr>
            <w:tcW w:w="9740" w:type="dxa"/>
            <w:vAlign w:val="bottom"/>
          </w:tcPr>
          <w:p>
            <w:pPr>
              <w:ind w:left="220"/>
              <w:spacing w:after="0"/>
              <w:rPr>
                <w:sz w:val="20"/>
                <w:szCs w:val="20"/>
                <w:color w:val="auto"/>
              </w:rPr>
            </w:pPr>
            <w:r>
              <w:rPr>
                <w:rFonts w:ascii="Arial" w:cs="Arial" w:eastAsia="Arial" w:hAnsi="Arial"/>
                <w:sz w:val="18"/>
                <w:szCs w:val="18"/>
                <w:color w:val="auto"/>
              </w:rPr>
              <w:t>No Personal Liability of Directors, Officers, Employees, Incorporators and Stockholders.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13.08</w:t>
            </w:r>
          </w:p>
        </w:tc>
        <w:tc>
          <w:tcPr>
            <w:tcW w:w="974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13.09</w:t>
            </w:r>
          </w:p>
        </w:tc>
        <w:tc>
          <w:tcPr>
            <w:tcW w:w="9740" w:type="dxa"/>
            <w:vAlign w:val="bottom"/>
          </w:tcPr>
          <w:p>
            <w:pPr>
              <w:ind w:left="220"/>
              <w:spacing w:after="0"/>
              <w:rPr>
                <w:sz w:val="20"/>
                <w:szCs w:val="20"/>
                <w:color w:val="auto"/>
              </w:rPr>
            </w:pPr>
            <w:r>
              <w:rPr>
                <w:rFonts w:ascii="Arial" w:cs="Arial" w:eastAsia="Arial" w:hAnsi="Arial"/>
                <w:sz w:val="18"/>
                <w:szCs w:val="18"/>
                <w:color w:val="auto"/>
              </w:rPr>
              <w:t>No Adverse Interpretation of Other Agreements.</w:t>
            </w: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13.10</w:t>
            </w:r>
          </w:p>
        </w:tc>
        <w:tc>
          <w:tcPr>
            <w:tcW w:w="974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13.11</w:t>
            </w:r>
          </w:p>
        </w:tc>
        <w:tc>
          <w:tcPr>
            <w:tcW w:w="97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13.12</w:t>
            </w:r>
          </w:p>
        </w:tc>
        <w:tc>
          <w:tcPr>
            <w:tcW w:w="9740" w:type="dxa"/>
            <w:vAlign w:val="bottom"/>
          </w:tcPr>
          <w:p>
            <w:pPr>
              <w:ind w:left="220"/>
              <w:spacing w:after="0"/>
              <w:rPr>
                <w:sz w:val="20"/>
                <w:szCs w:val="20"/>
                <w:color w:val="auto"/>
              </w:rPr>
            </w:pPr>
            <w:r>
              <w:rPr>
                <w:rFonts w:ascii="Arial" w:cs="Arial" w:eastAsia="Arial" w:hAnsi="Arial"/>
                <w:sz w:val="18"/>
                <w:szCs w:val="18"/>
                <w:color w:val="auto"/>
              </w:rPr>
              <w:t>Counterpart Originals.</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13.13</w:t>
            </w:r>
          </w:p>
        </w:tc>
        <w:tc>
          <w:tcPr>
            <w:tcW w:w="9740" w:type="dxa"/>
            <w:vAlign w:val="bottom"/>
          </w:tcPr>
          <w:p>
            <w:pPr>
              <w:ind w:left="220"/>
              <w:spacing w:after="0"/>
              <w:rPr>
                <w:sz w:val="20"/>
                <w:szCs w:val="20"/>
                <w:color w:val="auto"/>
              </w:rPr>
            </w:pPr>
            <w:r>
              <w:rPr>
                <w:rFonts w:ascii="Arial" w:cs="Arial" w:eastAsia="Arial" w:hAnsi="Arial"/>
                <w:sz w:val="18"/>
                <w:szCs w:val="18"/>
                <w:color w:val="auto"/>
              </w:rPr>
              <w:t>Table of Contents, Headings, etc.</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13.14</w:t>
            </w:r>
          </w:p>
        </w:tc>
        <w:tc>
          <w:tcPr>
            <w:tcW w:w="974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9740" w:type="dxa"/>
            <w:vAlign w:val="bottom"/>
          </w:tcPr>
          <w:p>
            <w:pPr>
              <w:ind w:left="4020"/>
              <w:spacing w:after="0"/>
              <w:rPr>
                <w:sz w:val="20"/>
                <w:szCs w:val="20"/>
                <w:color w:val="auto"/>
              </w:rPr>
            </w:pPr>
            <w:r>
              <w:rPr>
                <w:rFonts w:ascii="Arial" w:cs="Arial" w:eastAsia="Arial" w:hAnsi="Arial"/>
                <w:sz w:val="18"/>
                <w:szCs w:val="18"/>
                <w:color w:val="auto"/>
              </w:rPr>
              <w:t>EXHIBITS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NOTE</w:t>
            </w:r>
          </w:p>
        </w:tc>
        <w:tc>
          <w:tcPr>
            <w:tcW w:w="34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CERTIFICATE OF TRANSFER</w:t>
            </w:r>
          </w:p>
        </w:tc>
        <w:tc>
          <w:tcPr>
            <w:tcW w:w="340" w:type="dxa"/>
            <w:vAlign w:val="bottom"/>
          </w:tcPr>
          <w:p>
            <w:pPr>
              <w:jc w:val="right"/>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CERTIFICATE OF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D</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340" w:type="dxa"/>
            <w:vAlign w:val="bottom"/>
          </w:tcPr>
          <w:p>
            <w:pPr>
              <w:jc w:val="right"/>
              <w:spacing w:after="0"/>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E</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NOTATION OF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Exhibit F</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SUPPLEMENTAL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69" w:right="339" w:bottom="1440" w:gutter="0" w:footer="0" w:header="0"/>
        </w:sectPr>
      </w:pPr>
    </w:p>
    <w:bookmarkStart w:id="15" w:name="page16"/>
    <w:bookmarkEnd w:id="15"/>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October 19, 2015 among NN, Inc., a Delaware corporation, the Guarantors (as defined) and U.S. Bank National Association, as Trustee.</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 the Guarantors and the Trustee agree as follows for the benefit of each other and for the equal and ratable benefit of the Holders (as defined) of the 10.25% Senior Notes due 2020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144A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right="40" w:firstLine="443"/>
        <w:spacing w:after="0" w:line="264"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Interest</w:t>
      </w:r>
      <w:r>
        <w:rPr>
          <w:rFonts w:ascii="Arial" w:cs="Arial" w:eastAsia="Arial" w:hAnsi="Arial"/>
          <w:sz w:val="18"/>
          <w:szCs w:val="18"/>
          <w:color w:val="auto"/>
        </w:rPr>
        <w:t>” means all special interest then owing pursuant to the Registration Rights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additional Notes (other than the Initial Notes and other than issuances pursuant to Sections 2.06, 2.07, 2.10, 3.06, 3.09, 4.10, 4.15 or 9.05 hereof and other than Exchange Notes) issued under this Indenture in accordance with Sections 2.02 and 4.09 hereof, as part of the same series as the Initial Notes.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Custodian, Registrar, co-registrar, Paying Agent or additional paying agent.</w:t>
      </w:r>
    </w:p>
    <w:p>
      <w:pPr>
        <w:spacing w:after="0" w:line="225"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 Note at any Redemption Date, the greater of (i) 1.0% of the outstanding principal amount of such Note and (ii) the excess of (A) the present value at such time of (1) the redemption price of such Note at November 1, 2017 (as set forth in the table in</w:t>
      </w:r>
    </w:p>
    <w:p>
      <w:pPr>
        <w:ind w:right="300"/>
        <w:spacing w:after="0" w:line="261" w:lineRule="auto"/>
        <w:rPr>
          <w:sz w:val="20"/>
          <w:szCs w:val="20"/>
          <w:color w:val="auto"/>
        </w:rPr>
      </w:pPr>
      <w:r>
        <w:rPr>
          <w:rFonts w:ascii="Arial" w:cs="Arial" w:eastAsia="Arial" w:hAnsi="Arial"/>
          <w:sz w:val="18"/>
          <w:szCs w:val="18"/>
          <w:color w:val="auto"/>
        </w:rPr>
        <w:t>Section 3.07(d) hereof) plus (2) all required interest payments due on such Note through November 1, 2017 computed, in both cases, using a discount rate equal to the Treasury Rate plus 50 basis points, over (B) the outstanding principal amount of such Note.</w:t>
      </w:r>
    </w:p>
    <w:p>
      <w:pPr>
        <w:spacing w:after="0" w:line="184"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Procedures</w:t>
      </w:r>
      <w:r>
        <w:rPr>
          <w:rFonts w:ascii="Arial" w:cs="Arial" w:eastAsia="Arial" w:hAnsi="Arial"/>
          <w:sz w:val="17"/>
          <w:szCs w:val="17"/>
          <w:color w:val="auto"/>
        </w:rPr>
        <w:t>” means, with respect to any payment, tender, redemption, transfer or exchange of or for beneficial interests in any Global Note, the rules and procedures of the Depositary, Euroclear and Clearstream that apply to such payment, tender, redemption, transfer or exchange.</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right="60" w:firstLine="443"/>
        <w:spacing w:after="0" w:line="264"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Company and its Restricted Subsidiaries taken as a whole will be governed by the provisions of Sections 4.15 and 5.01 hereof and not by Section 4.10 hereof; or</w:t>
      </w:r>
    </w:p>
    <w:p>
      <w:pPr>
        <w:spacing w:after="0" w:line="73" w:lineRule="exact"/>
        <w:rPr>
          <w:rFonts w:ascii="Arial" w:cs="Arial" w:eastAsia="Arial" w:hAnsi="Arial"/>
          <w:sz w:val="18"/>
          <w:szCs w:val="18"/>
          <w:color w:val="auto"/>
        </w:rPr>
      </w:pPr>
    </w:p>
    <w:p>
      <w:pPr>
        <w:ind w:right="20" w:firstLine="443"/>
        <w:spacing w:after="0" w:line="264"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of Equity Interests in any of the Company’s Restricted Subsidiaries or the sale of Equity Interests in any of its Restricted Subsidiaries (other than directors’ qualifying shares and shares required by applicable law to be held by a Person other than the Company or any of its Restricted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right="100" w:firstLine="443"/>
        <w:spacing w:after="0" w:line="27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 dispositions of assets or property having a Fair Market Value of less than $25.0 million;</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transfer of assets or property between or among the Company and its Restricted Subsidiaries;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to a Restricted Subsidiary of the Company;</w:t>
      </w:r>
    </w:p>
    <w:p>
      <w:pPr>
        <w:spacing w:after="0" w:line="140" w:lineRule="exact"/>
        <w:rPr>
          <w:rFonts w:ascii="Arial" w:cs="Arial" w:eastAsia="Arial" w:hAnsi="Arial"/>
          <w:sz w:val="16"/>
          <w:szCs w:val="16"/>
          <w:color w:val="auto"/>
        </w:rPr>
      </w:pPr>
    </w:p>
    <w:p>
      <w:pPr>
        <w:ind w:firstLine="443"/>
        <w:spacing w:after="0" w:line="27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lease of inventory, products, services or accounts receivable in the ordinary course of business and any sale or other disposition of damaged, worn-out or obsolete assets in the ordinary course of business;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Restricted Payment that does not violate Section 4.07 hereof or a Permitted Investment;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in the ordinary course of business;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granting of Liens not prohibited by this Indenture and the foreclosure thereon;</w:t>
      </w:r>
    </w:p>
    <w:p>
      <w:pPr>
        <w:spacing w:after="0" w:line="117"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surrender or waiver of contract rights or the settlement release or surrender of contract, tort or other litigation claims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transfer constituting a taking, condemnation or other eminent domain proceeding for which no proceeds are received;</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creation of Liens;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transfer of the Equity Interests or assets of Unrestricted Subsidiaries;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foreclosures on assets to the extent they would not otherwise result in a Default or Event of Default;</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lease or sublease of any real or personal property in the ordinary course of business;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sales, contributions, conveyances and other transfers of Receivables in connection with any Qualified Receivables Transaction; and</w:t>
      </w:r>
    </w:p>
    <w:p>
      <w:pPr>
        <w:spacing w:after="0" w:line="16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700" w:top="274" w:right="359" w:bottom="1440" w:gutter="0" w:footer="0" w:header="0"/>
        </w:sectPr>
      </w:pPr>
    </w:p>
    <w:bookmarkStart w:id="17" w:name="page18"/>
    <w:bookmarkEnd w:id="17"/>
    <w:p>
      <w:pPr>
        <w:ind w:left="460" w:right="120" w:firstLine="443"/>
        <w:spacing w:after="0" w:line="286" w:lineRule="auto"/>
        <w:tabs>
          <w:tab w:leader="none" w:pos="1243"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sale, transfer or other disposition of fixed assets in the ordinary course of business for the purpose of replacing such fixed assets;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fixed assets are replaced within one hundred eighty (180) days of such sale, transfer or other disposition with other fixed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have a Fair Market Value not materially less than the Fair Market Value of the fixed assets sold, transferred or otherwise disposed.</w:t>
      </w:r>
    </w:p>
    <w:p>
      <w:pPr>
        <w:spacing w:after="0" w:line="16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Sale and Leaseback Transaction results in a Capital Lease Obligation, the amount of Indebtedness represented thereby will be determined in accordance with the definition of “Capital Lease Obligation.”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of the U.S. Code or any similar federal or state law for the relief of debtors.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w:t>
      </w:r>
      <w:r>
        <w:rPr>
          <w:rFonts w:ascii="Arial" w:cs="Arial" w:eastAsia="Arial" w:hAnsi="Arial"/>
          <w:sz w:val="16"/>
          <w:szCs w:val="16"/>
          <w:i w:val="1"/>
          <w:iCs w:val="1"/>
          <w:color w:val="auto"/>
        </w:rPr>
        <w:t>Beneficially Owns</w:t>
      </w:r>
      <w:r>
        <w:rPr>
          <w:rFonts w:ascii="Arial" w:cs="Arial" w:eastAsia="Arial" w:hAnsi="Arial"/>
          <w:sz w:val="16"/>
          <w:szCs w:val="16"/>
          <w:color w:val="auto"/>
        </w:rPr>
        <w:t>” and “</w:t>
      </w:r>
      <w:r>
        <w:rPr>
          <w:rFonts w:ascii="Arial" w:cs="Arial" w:eastAsia="Arial" w:hAnsi="Arial"/>
          <w:sz w:val="16"/>
          <w:szCs w:val="16"/>
          <w:i w:val="1"/>
          <w:iCs w:val="1"/>
          <w:color w:val="auto"/>
        </w:rPr>
        <w:t>Beneficially Owned</w:t>
      </w:r>
      <w:r>
        <w:rPr>
          <w:rFonts w:ascii="Arial" w:cs="Arial" w:eastAsia="Arial" w:hAnsi="Arial"/>
          <w:sz w:val="16"/>
          <w:szCs w:val="16"/>
          <w:color w:val="auto"/>
        </w:rPr>
        <w:t>” have a corresponding meaning.</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a corporation, the board of directors of the corporation or any committee thereof duly authorized to act on behalf of such</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board;</w:t>
      </w:r>
    </w:p>
    <w:p>
      <w:pPr>
        <w:spacing w:after="0" w:line="102" w:lineRule="exact"/>
        <w:rPr>
          <w:rFonts w:ascii="Arial" w:cs="Arial" w:eastAsia="Arial" w:hAnsi="Arial"/>
          <w:sz w:val="17"/>
          <w:szCs w:val="17"/>
          <w:color w:val="auto"/>
        </w:rPr>
      </w:pPr>
    </w:p>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Broker-Dealer</w:t>
      </w:r>
      <w:r>
        <w:rPr>
          <w:rFonts w:ascii="Arial" w:cs="Arial" w:eastAsia="Arial" w:hAnsi="Arial"/>
          <w:sz w:val="18"/>
          <w:szCs w:val="18"/>
          <w:color w:val="auto"/>
        </w:rPr>
        <w:t>” means a broker or dealer registered under the Exchange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Distribution</w:t>
      </w:r>
      <w:r>
        <w:rPr>
          <w:rFonts w:ascii="Arial" w:cs="Arial" w:eastAsia="Arial" w:hAnsi="Arial"/>
          <w:sz w:val="18"/>
          <w:szCs w:val="18"/>
          <w:color w:val="auto"/>
        </w:rPr>
        <w:t>” means a payment made, liability incurred or other consideration given by the Company or any of its Subsidiaries, for the purchase, acquisition, redemption, repurchase, payment, defeasance, cancellation, termination or retirement of any capital stock or other Equity Interest of the Company or such Subsidiary, as applicable, or as a dividend, return of capital or other distribution (other than any stock dividend, stock split or other equity distribution payable only in its common Capital Stock or other common Equity Interests) in respect of the Company’s or such Subsidiary’s (as the case may be) Capital Stock or other Equity Interest.</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700" w:hanging="25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firstLine="443"/>
        <w:spacing w:after="0" w:line="277"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128" w:lineRule="exact"/>
        <w:rPr>
          <w:rFonts w:ascii="Arial" w:cs="Arial" w:eastAsia="Arial" w:hAnsi="Arial"/>
          <w:sz w:val="17"/>
          <w:szCs w:val="17"/>
          <w:color w:val="auto"/>
        </w:rPr>
      </w:pPr>
    </w:p>
    <w:p>
      <w:pPr>
        <w:ind w:right="40" w:firstLine="443"/>
        <w:spacing w:after="0" w:line="264"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700" w:hanging="25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17" w:lineRule="exact"/>
        <w:rPr>
          <w:rFonts w:ascii="Arial" w:cs="Arial" w:eastAsia="Arial" w:hAnsi="Arial"/>
          <w:sz w:val="18"/>
          <w:szCs w:val="18"/>
          <w:color w:val="auto"/>
        </w:rPr>
      </w:pPr>
    </w:p>
    <w:p>
      <w:pPr>
        <w:jc w:val="both"/>
        <w:ind w:right="160" w:firstLine="443"/>
        <w:spacing w:after="0" w:line="264"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one year from the date of acquisition;</w:t>
      </w:r>
    </w:p>
    <w:p>
      <w:pPr>
        <w:spacing w:after="0" w:line="73" w:lineRule="exact"/>
        <w:rPr>
          <w:rFonts w:ascii="Arial" w:cs="Arial" w:eastAsia="Arial" w:hAnsi="Arial"/>
          <w:sz w:val="18"/>
          <w:szCs w:val="18"/>
          <w:color w:val="auto"/>
        </w:rPr>
      </w:pPr>
    </w:p>
    <w:p>
      <w:pPr>
        <w:ind w:right="20" w:firstLine="443"/>
        <w:spacing w:after="0" w:line="264"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by any state of the United States of America or any political subdivision of any such state or any public instrumentality thereof having one of the two highest ratings obtainable from Moody’s or S&amp;P and, in each case, having maturities of not more than one year after the date of acquisition;</w:t>
      </w:r>
    </w:p>
    <w:p>
      <w:pPr>
        <w:spacing w:after="0" w:line="73" w:lineRule="exact"/>
        <w:rPr>
          <w:rFonts w:ascii="Arial" w:cs="Arial" w:eastAsia="Arial" w:hAnsi="Arial"/>
          <w:sz w:val="18"/>
          <w:szCs w:val="18"/>
          <w:color w:val="auto"/>
        </w:rPr>
      </w:pPr>
    </w:p>
    <w:p>
      <w:pPr>
        <w:ind w:right="80" w:firstLine="443"/>
        <w:spacing w:after="0" w:line="312"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certificates of deposit, money market deposits and eurodollar time deposits with maturities of one year or less from the date of acquisition, bankers’ acceptances with maturities not exceeding one year and overnight bank deposits, in each case, with any lender party to the Credit Agreement or with any domestic commercial bank having capital and surplus in excess of $250.0 million and a Thomson Bank Watch Rating of “B” or better;</w:t>
      </w:r>
    </w:p>
    <w:p>
      <w:pPr>
        <w:spacing w:after="0" w:line="38" w:lineRule="exact"/>
        <w:rPr>
          <w:rFonts w:ascii="Arial" w:cs="Arial" w:eastAsia="Arial" w:hAnsi="Arial"/>
          <w:sz w:val="16"/>
          <w:szCs w:val="16"/>
          <w:color w:val="auto"/>
        </w:rPr>
      </w:pPr>
    </w:p>
    <w:p>
      <w:pPr>
        <w:ind w:right="120" w:firstLine="443"/>
        <w:spacing w:after="0" w:line="27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(3) and (4) above entered into with any financial institution meeting the qualifications specified in clause (4) above;</w:t>
      </w:r>
    </w:p>
    <w:p>
      <w:pPr>
        <w:spacing w:after="0" w:line="62" w:lineRule="exact"/>
        <w:rPr>
          <w:rFonts w:ascii="Arial" w:cs="Arial" w:eastAsia="Arial" w:hAnsi="Arial"/>
          <w:sz w:val="18"/>
          <w:szCs w:val="18"/>
          <w:color w:val="auto"/>
        </w:rPr>
      </w:pPr>
    </w:p>
    <w:p>
      <w:pPr>
        <w:ind w:right="200" w:firstLine="443"/>
        <w:spacing w:after="0" w:line="27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one year after the date of acquisition;</w:t>
      </w:r>
    </w:p>
    <w:p>
      <w:pPr>
        <w:spacing w:after="0" w:line="62" w:lineRule="exact"/>
        <w:rPr>
          <w:rFonts w:ascii="Arial" w:cs="Arial" w:eastAsia="Arial" w:hAnsi="Arial"/>
          <w:sz w:val="18"/>
          <w:szCs w:val="18"/>
          <w:color w:val="auto"/>
        </w:rPr>
      </w:pPr>
    </w:p>
    <w:p>
      <w:pPr>
        <w:ind w:right="160" w:firstLine="443"/>
        <w:spacing w:after="0" w:line="27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money market funds at least 90% of the assets of which constitute Cash Equivalents of the kinds described in clauses (1) through (6) of this definition; and</w:t>
      </w:r>
    </w:p>
    <w:p>
      <w:pPr>
        <w:spacing w:after="0" w:line="62" w:lineRule="exact"/>
        <w:rPr>
          <w:rFonts w:ascii="Arial" w:cs="Arial" w:eastAsia="Arial" w:hAnsi="Arial"/>
          <w:sz w:val="18"/>
          <w:szCs w:val="18"/>
          <w:color w:val="auto"/>
        </w:rPr>
      </w:pPr>
    </w:p>
    <w:p>
      <w:pPr>
        <w:jc w:val="both"/>
        <w:ind w:right="20" w:firstLine="443"/>
        <w:spacing w:after="0" w:line="259"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any Subsidiary organized or having its principal place of business outside the United States or any state of the United States or the District of Columbia, investments denominated in the currency of the jurisdiction in which that Subsidiary is organized or has its principal place of business which are similar to the items specified in clauses (1) through (7) above, including, without limitation, any deposit with a bank that is a lender to any Restricted Subsidiary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100" w:firstLine="443"/>
        <w:spacing w:after="0" w:line="277"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becomes the Beneficial Owner of 50% or more of the Company’s common Equity Interests;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700" w:top="274" w:right="299" w:bottom="1440" w:gutter="0" w:footer="0" w:header="0"/>
        </w:sectPr>
      </w:pPr>
    </w:p>
    <w:bookmarkStart w:id="19" w:name="page20"/>
    <w:bookmarkEnd w:id="19"/>
    <w:p>
      <w:pPr>
        <w:ind w:left="1160" w:hanging="257"/>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sale, lease, exchange or other transfer (in one transaction or a series of related transactions), but other than by way of merger or</w:t>
      </w:r>
    </w:p>
    <w:p>
      <w:pPr>
        <w:spacing w:after="0" w:line="34" w:lineRule="exact"/>
        <w:rPr>
          <w:rFonts w:ascii="Arial" w:cs="Arial" w:eastAsia="Arial" w:hAnsi="Arial"/>
          <w:sz w:val="17"/>
          <w:szCs w:val="17"/>
          <w:color w:val="auto"/>
        </w:rPr>
      </w:pPr>
    </w:p>
    <w:p>
      <w:pPr>
        <w:jc w:val="both"/>
        <w:ind w:left="460" w:right="80"/>
        <w:spacing w:after="0" w:line="255" w:lineRule="auto"/>
        <w:rPr>
          <w:rFonts w:ascii="Arial" w:cs="Arial" w:eastAsia="Arial" w:hAnsi="Arial"/>
          <w:sz w:val="17"/>
          <w:szCs w:val="17"/>
          <w:color w:val="auto"/>
        </w:rPr>
      </w:pPr>
      <w:r>
        <w:rPr>
          <w:rFonts w:ascii="Arial" w:cs="Arial" w:eastAsia="Arial" w:hAnsi="Arial"/>
          <w:sz w:val="18"/>
          <w:szCs w:val="18"/>
          <w:color w:val="auto"/>
        </w:rPr>
        <w:t>consolidation, of all or substantially all of the assets of the Company to any “person” or “group” (as such terms are used in Sections 13(d) and 14(d) of the Exchange Act) (other than a Restricted Subsidiary of the Company) (whether or not otherwise in compliance with the provisions of this Indenture); or</w:t>
      </w:r>
    </w:p>
    <w:p>
      <w:pPr>
        <w:spacing w:after="0" w:line="82" w:lineRule="exact"/>
        <w:rPr>
          <w:rFonts w:ascii="Arial" w:cs="Arial" w:eastAsia="Arial" w:hAnsi="Arial"/>
          <w:sz w:val="17"/>
          <w:szCs w:val="17"/>
          <w:color w:val="auto"/>
        </w:rPr>
      </w:pPr>
    </w:p>
    <w:p>
      <w:pPr>
        <w:ind w:left="460" w:right="58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by the holders of Capital Stock of the Company of any plan or proposal for the liquidation or dissolution of the Company (whether or not otherwise in compliance with the provisions of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NN, Inc., and any and all successors thereto.</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62" w:lineRule="exact"/>
        <w:rPr>
          <w:sz w:val="20"/>
          <w:szCs w:val="20"/>
          <w:color w:val="auto"/>
        </w:rPr>
      </w:pPr>
    </w:p>
    <w:p>
      <w:pPr>
        <w:ind w:left="460" w:right="10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46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20" w:firstLine="443"/>
        <w:spacing w:after="0" w:line="286" w:lineRule="auto"/>
        <w:tabs>
          <w:tab w:leader="none" w:pos="11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depreciation, amortization (including amortization of intangibles but excluding amortization of prepaid cash expenses that were paid in a prior period) and other non-cash charges and expenses of such Person and its Restricted Subsidiaries for such period to the extent that such depreciation, amortization and other non-cash charges and expenses were deducted in computing such Consolidated Net Income;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460" w:right="36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foreign exchange losses resulting from converting foreign currency-based income to U.S. dollar-based income to the extent such amounts were deducted in computing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all costs and expenses arising from or related to Transactions, including, without limitation, the issuance of the Notes and the incurrence of the Credit Facilities, to the extent such costs and expenses were deducted in computing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the extent non-recurring and not capitalized, any fees, costs and expenses of the Company and its Restricted Subsidiaries incurred as a result of Permitted Investments and Asset Sales permitted hereunder and the issuance, repayment or amendment of Equity Interests or Indebtedness permitted hereunder (in each case, whether or not consummated), to the extent such fees, costs and expenses were deduced in computing Consolidated Net Income; </w:t>
      </w:r>
      <w:r>
        <w:rPr>
          <w:rFonts w:ascii="Arial" w:cs="Arial" w:eastAsia="Arial" w:hAnsi="Arial"/>
          <w:sz w:val="18"/>
          <w:szCs w:val="18"/>
          <w:i w:val="1"/>
          <w:iCs w:val="1"/>
          <w:color w:val="auto"/>
        </w:rPr>
        <w:t>minus</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foreign exchange gains resulting from converting foreign currency-based income to U.S. dollar-based income to the extent such amounts were included in computing Consolidated Net Income; </w:t>
      </w:r>
      <w:r>
        <w:rPr>
          <w:rFonts w:ascii="Arial" w:cs="Arial" w:eastAsia="Arial" w:hAnsi="Arial"/>
          <w:sz w:val="18"/>
          <w:szCs w:val="18"/>
          <w:i w:val="1"/>
          <w:iCs w:val="1"/>
          <w:color w:val="auto"/>
        </w:rPr>
        <w:t>minus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0" w:name="page21"/>
    <w:bookmarkEnd w:id="20"/>
    <w:p>
      <w:pPr>
        <w:ind w:right="2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(loss) of such Person and its Restricted Subsidiaries for such period, on a consolidated basis (but excluding the net income (loss) of any Unrestricted Subsidiary of such Person), determined in accordance with GAAP and without any reduction for preferred stock dividends;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20" w:firstLine="443"/>
        <w:spacing w:after="0" w:line="264"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extraordinary gains and losses and all gains and losses realized in connection with any Asset Sale or the disposition of securities or the early extinguishment of Indebtedness, together with any related provision for taxes on any such gain, will be excluded, in each case net of taxes, fees and expenses relating to the transaction giving rise thereto;</w:t>
      </w:r>
    </w:p>
    <w:p>
      <w:pPr>
        <w:spacing w:after="0" w:line="73" w:lineRule="exact"/>
        <w:rPr>
          <w:rFonts w:ascii="Arial" w:cs="Arial" w:eastAsia="Arial" w:hAnsi="Arial"/>
          <w:sz w:val="18"/>
          <w:szCs w:val="18"/>
          <w:color w:val="auto"/>
        </w:rPr>
      </w:pPr>
    </w:p>
    <w:p>
      <w:pPr>
        <w:ind w:left="460" w:right="180" w:firstLine="443"/>
        <w:spacing w:after="0" w:line="264"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net income of any Person that is not a Restricted Subsidiary or that is accounted for by the equity method of accounting will be included only to the extent of the amount of dividends or similar distributions paid in cash to the specified Person or a Restricted Subsidiary of the specified Person;</w:t>
      </w:r>
    </w:p>
    <w:p>
      <w:pPr>
        <w:spacing w:after="0" w:line="73" w:lineRule="exact"/>
        <w:rPr>
          <w:rFonts w:ascii="Arial" w:cs="Arial" w:eastAsia="Arial" w:hAnsi="Arial"/>
          <w:sz w:val="18"/>
          <w:szCs w:val="18"/>
          <w:color w:val="auto"/>
        </w:rPr>
      </w:pPr>
    </w:p>
    <w:p>
      <w:pPr>
        <w:ind w:left="460" w:right="380" w:firstLine="433"/>
        <w:spacing w:after="0" w:line="276" w:lineRule="auto"/>
        <w:tabs>
          <w:tab w:leader="none" w:pos="11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solely for the purposes of determining the amount available for Restricted Payments under clause (ii)(c) of Section 4.07(a) hereof, 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gain or loss realized as a result of the cumulative effect of a change in accounting principles will be excluded;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non-cash compensation charge or expense realized for grant of stock appreciation or similar rights, stock options or other rights to officers, directors and employees will be excluded.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Secured Debt Ratio</w:t>
      </w:r>
      <w:r>
        <w:rPr>
          <w:rFonts w:ascii="Arial" w:cs="Arial" w:eastAsia="Arial" w:hAnsi="Arial"/>
          <w:sz w:val="18"/>
          <w:szCs w:val="18"/>
          <w:color w:val="auto"/>
        </w:rPr>
        <w:t>” as of any date of determination means the ratio of (1) Consolidated Total Indebtedness of the Company and its Restricted Subsidiaries that is secured by Liens as of the date of the most recent internal balance sheet of the Company immediately preceding the date on which such calculation is being made to (2) the Consolidated EBITDA of the Company for the most recently ended four full fiscal quarters for which internal financial statements are available as of the date on which such calculation is being made, in each case with such pro forma adjustments to Consolidated Total Indebtedness and Consolidated EBITDA as are appropriate and consistent with the pro forma adjustment provisions set forth in the definition of Fixed Charge Coverage Ratio.</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Net Debt Ratio</w:t>
      </w:r>
      <w:r>
        <w:rPr>
          <w:rFonts w:ascii="Arial" w:cs="Arial" w:eastAsia="Arial" w:hAnsi="Arial"/>
          <w:sz w:val="16"/>
          <w:szCs w:val="16"/>
          <w:color w:val="auto"/>
        </w:rPr>
        <w:t>” as of any date of determination means the ratio of (1) Consolidated Total Indebtedness of the Company and its Restricted Subsidiaries (net of unrestricted cash and cash equivalents on the consolidated balance sheet of the Company calculated in accordance with GAAP) as of the date of the most recent internal balance sheet of the Company immediately preceding the date on which such calculation is being made to (2) the Consolidated EBITDA of the Company for the most recently ended four full fiscal quarters for which internal financial statements are available as of the date on which such calculation is being made, in each case with such pro forma adjustments to Consolidated Total Indebtedness and Consolidated EBITDA as are appropriate and consistent with the pro forma adjustment provisions set forth in the definition of Fixed Charge Coverage Ratio.</w:t>
      </w:r>
    </w:p>
    <w:p>
      <w:pPr>
        <w:spacing w:after="0" w:line="16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Indebtedness</w:t>
      </w:r>
      <w:r>
        <w:rPr>
          <w:rFonts w:ascii="Arial" w:cs="Arial" w:eastAsia="Arial" w:hAnsi="Arial"/>
          <w:sz w:val="18"/>
          <w:szCs w:val="18"/>
          <w:color w:val="auto"/>
        </w:rPr>
        <w:t>” means, as at any date of determination, an amount equal to the sum of the aggregate amount of all outstanding Indebtedness for borrowed money of the Company and its Restricted Subsidiaries on a consolidated basis, Obligations in respect of Capital Lease Obligations, Attributable Debt and debt obligations evidenced by promissory notes and similar instruments.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w:t>
      </w:r>
      <w:r>
        <w:rPr>
          <w:rFonts w:ascii="Arial" w:cs="Arial" w:eastAsia="Arial" w:hAnsi="Arial"/>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Corporate Trust Office of the Trustee</w:t>
      </w:r>
      <w:r>
        <w:rPr>
          <w:rFonts w:ascii="Arial" w:cs="Arial" w:eastAsia="Arial" w:hAnsi="Arial"/>
          <w:sz w:val="17"/>
          <w:szCs w:val="17"/>
          <w:color w:val="auto"/>
        </w:rPr>
        <w:t>” will be at the address of the Trustee specified in Section 13.02 hereof, and for purposes of Sections 2.03 and 4.02, such office shall also mean the office or agency of the Trustee located at U.S. Bank National Association - Corporate Trust Services, 333 Commerce Street, Suite 800, Nashville, Tennessee 37201, or such other address as to which the Trustee may give notice to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1" w:name="page22"/>
    <w:bookmarkEnd w:id="21"/>
    <w:p>
      <w:pPr>
        <w:ind w:right="1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Issue Date, by and among the Company, the other loan parties party thereto, the lenders party thereto, KeyBank National Association, as administrative agent, including any related notes, Guarantees, collateral documents, instruments and agreements executed in connection therewith, and,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5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Credit Agreement), indentures, debt instruments, security documents and other related agreements or commercial paper facilities, in each case, with banks, other institutional lenders or other obligees providing for revolving credit loans, term loans, receivables financing (including through the sale of receivables to such lenders or to special purpose entities formed to borrow from such lenders against such receivables), letters of credit, debt securities or other Indebtedness in each case, as amended, restated, modified, renewed, refunded, replaced (whether upon or after termination or otherwise) or refinanced (including by means of sales of debt securities to institutional investors) in whole or in part, and without limitation as to amount, terms, conditions, covenants and other provisions, or lenders or holders, from time to 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Fair Market Value of non-cash consideration received by the Company or one of its Restricted Subsidiaries in connection with an Asset Sale that is designated as Designated Noncash Consideration pursuant to an Officer’s Certificate, setting forth the basis of such valuation, less the amount of cash or Cash Equivalents received in connection with a subsequent sale of such Designated Noncash Consideration that was treated as an Asset Sale.</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and its Restricted Subsidiaries may become obligated to pay upon the maturity of, or pursuant to any mandatory redemption provisions of, such Disqualified Stock, exclusive of accrued dividends;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amount of any Disqualified Stock that does not have a fixed redemption, repayment or repurchase price will be calculated in accordance </w:t>
      </w:r>
      <w:r>
        <w:rPr>
          <w:rFonts w:ascii="Arial" w:cs="Arial" w:eastAsia="Arial" w:hAnsi="Arial"/>
          <w:sz w:val="16"/>
          <w:szCs w:val="16"/>
          <w:i w:val="1"/>
          <w:iCs w:val="1"/>
          <w:color w:val="auto"/>
        </w:rPr>
        <w:t>with</w:t>
      </w:r>
      <w:r>
        <w:rPr>
          <w:rFonts w:ascii="Arial" w:cs="Arial" w:eastAsia="Arial" w:hAnsi="Arial"/>
          <w:sz w:val="16"/>
          <w:szCs w:val="16"/>
          <w:color w:val="auto"/>
        </w:rPr>
        <w:t xml:space="preserve"> the terms of such Disqualified Stock as if such Disqualified Stock were redeemed, repaid or repurchased on any date on which the amount of such Disqualified Stock is to be determined pursuant to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2" w:name="page23"/>
    <w:bookmarkEnd w:id="22"/>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Restricted Subsidiary of the Company that was formed under the laws of the United States or any state of the United States or the District of Columbia.</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 as operator of the Euroclear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 pursuant to Section 2.06(f)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 Registration Statement</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xml:space="preserve">” means the value that would be paid by a willing buyer to an unaffiliated willing seller in a transaction not involving undue pressure or compulsion of either party to complete the transaction, determined in good faith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transactions with a Fair Market Value in excess of $25.0 million shall be determined in good faith by the Board of Directors of the Company, except as otherwise provided in this Indenture.</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Fixed Charge Coverage Ratio</w:t>
      </w:r>
      <w:r>
        <w:rPr>
          <w:rFonts w:ascii="Arial" w:cs="Arial" w:eastAsia="Arial" w:hAnsi="Arial"/>
          <w:sz w:val="17"/>
          <w:szCs w:val="17"/>
          <w:color w:val="auto"/>
        </w:rPr>
        <w:t>” means with respect to any specified Person for any four-quarter reference period, the ratio of the Consolidated EBITDA of such Person and its Restricted Subsidiaries for such period to the Fixed Charges of such Person and its Restricted Subsidiaries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60" w:firstLine="443"/>
        <w:spacing w:after="0" w:line="254"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thereto, including any related expenses and cost reductions estimated in good faith by such Person’s chief financial officer as if they had occurred on the first day of such period to extent that such expenses, cost reductions and other adjustments are (A) realizable within 12 months of such transaction, (B) directly attributable to such transaction, (C) factually supportable, (D) reasonably identifiable, (E) expected to have a continuing impact on such Person and its Subsidiaries and (F) consistent with Regulation S-X under the Securities Act;</w:t>
      </w:r>
    </w:p>
    <w:p>
      <w:pPr>
        <w:spacing w:after="0" w:line="84" w:lineRule="exact"/>
        <w:rPr>
          <w:rFonts w:ascii="Arial" w:cs="Arial" w:eastAsia="Arial" w:hAnsi="Arial"/>
          <w:sz w:val="18"/>
          <w:szCs w:val="18"/>
          <w:color w:val="auto"/>
        </w:rPr>
      </w:pPr>
    </w:p>
    <w:p>
      <w:pPr>
        <w:ind w:left="460" w:right="80" w:firstLine="443"/>
        <w:spacing w:after="0" w:line="286" w:lineRule="auto"/>
        <w:tabs>
          <w:tab w:leader="none" w:pos="11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since the beginning of the four-quarter reference period any Person (that subsequently became a Restricted Subsidiary of the specified Person or any of its Restricted Subsidiaries or was merged with or into the specified Person or any of its Restricted Subsidiaries since the beginning of that period) has made any acquisitions and dispositions including through mergers or consolidations and including any related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3" w:name="page24"/>
    <w:bookmarkEnd w:id="23"/>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transactions that would have required adjustment pursuant to this definition, then the Fixed Charge Coverage Ratio will be calculated giving pro forma effect thereto (as described in clause (1) above), including any related expense and cost reductions estimated in good faith by such Person’s chief financial officer as if they had occurred on the first day of such reference period to extent that such expenses, cost reductions and other adjustments are (A) realizable within 12 months of such transaction, (B) directly attributable to such transaction, (C) factually supportable,</w:t>
      </w:r>
    </w:p>
    <w:p>
      <w:pPr>
        <w:spacing w:after="0" w:line="2" w:lineRule="exact"/>
        <w:rPr>
          <w:sz w:val="20"/>
          <w:szCs w:val="20"/>
          <w:color w:val="auto"/>
        </w:rPr>
      </w:pPr>
    </w:p>
    <w:p>
      <w:pPr>
        <w:ind w:right="60" w:firstLine="4"/>
        <w:spacing w:after="0" w:line="261"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reasonably identifiable, (E) expected to have a continuing impact on such Person and its Subsidiaries and (F) consistent with Regulation S-X under the Securities Act;</w:t>
      </w:r>
    </w:p>
    <w:p>
      <w:pPr>
        <w:spacing w:after="0" w:line="75" w:lineRule="exact"/>
        <w:rPr>
          <w:rFonts w:ascii="Arial" w:cs="Arial" w:eastAsia="Arial" w:hAnsi="Arial"/>
          <w:sz w:val="18"/>
          <w:szCs w:val="18"/>
          <w:color w:val="auto"/>
        </w:rPr>
      </w:pPr>
    </w:p>
    <w:p>
      <w:pPr>
        <w:ind w:firstLine="443"/>
        <w:spacing w:after="0" w:line="277" w:lineRule="auto"/>
        <w:tabs>
          <w:tab w:leader="none" w:pos="6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(and ownership interests therein) disposed of prior to the Calculation Date, will be excluded;</w:t>
      </w:r>
    </w:p>
    <w:p>
      <w:pPr>
        <w:spacing w:after="0" w:line="62" w:lineRule="exact"/>
        <w:rPr>
          <w:rFonts w:ascii="Arial" w:cs="Arial" w:eastAsia="Arial" w:hAnsi="Arial"/>
          <w:sz w:val="18"/>
          <w:szCs w:val="18"/>
          <w:color w:val="auto"/>
        </w:rPr>
      </w:pPr>
    </w:p>
    <w:p>
      <w:pPr>
        <w:ind w:right="280" w:firstLine="443"/>
        <w:spacing w:after="0" w:line="286" w:lineRule="auto"/>
        <w:tabs>
          <w:tab w:leader="none" w:pos="693"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57" w:lineRule="exact"/>
        <w:rPr>
          <w:rFonts w:ascii="Arial" w:cs="Arial" w:eastAsia="Arial" w:hAnsi="Arial"/>
          <w:sz w:val="17"/>
          <w:szCs w:val="17"/>
          <w:color w:val="auto"/>
        </w:rPr>
      </w:pPr>
    </w:p>
    <w:p>
      <w:pPr>
        <w:ind w:right="360" w:firstLine="443"/>
        <w:spacing w:after="0" w:line="277" w:lineRule="auto"/>
        <w:tabs>
          <w:tab w:leader="none" w:pos="6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reference period;</w:t>
      </w:r>
    </w:p>
    <w:p>
      <w:pPr>
        <w:spacing w:after="0" w:line="62" w:lineRule="exact"/>
        <w:rPr>
          <w:rFonts w:ascii="Arial" w:cs="Arial" w:eastAsia="Arial" w:hAnsi="Arial"/>
          <w:sz w:val="18"/>
          <w:szCs w:val="18"/>
          <w:color w:val="auto"/>
        </w:rPr>
      </w:pPr>
    </w:p>
    <w:p>
      <w:pPr>
        <w:ind w:right="320" w:firstLine="443"/>
        <w:spacing w:after="0" w:line="277" w:lineRule="auto"/>
        <w:tabs>
          <w:tab w:leader="none" w:pos="6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reference period; and</w:t>
      </w:r>
    </w:p>
    <w:p>
      <w:pPr>
        <w:spacing w:after="0" w:line="62" w:lineRule="exact"/>
        <w:rPr>
          <w:rFonts w:ascii="Arial" w:cs="Arial" w:eastAsia="Arial" w:hAnsi="Arial"/>
          <w:sz w:val="18"/>
          <w:szCs w:val="18"/>
          <w:color w:val="auto"/>
        </w:rPr>
      </w:pPr>
    </w:p>
    <w:p>
      <w:pPr>
        <w:ind w:right="20" w:firstLine="443"/>
        <w:spacing w:after="0" w:line="259" w:lineRule="auto"/>
        <w:tabs>
          <w:tab w:leader="none" w:pos="6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Hedging Obligation has a remaining term as at the Calculation Date of less than 12 months shall be taken into account for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months remaining).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right="80" w:firstLine="443"/>
        <w:spacing w:after="0" w:line="276" w:lineRule="auto"/>
        <w:tabs>
          <w:tab w:leader="none" w:pos="6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7"/>
          <w:szCs w:val="17"/>
          <w:i w:val="1"/>
          <w:iCs w:val="1"/>
          <w:color w:val="auto"/>
        </w:rPr>
        <w:t>plus</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right="100" w:firstLine="443"/>
        <w:spacing w:after="0" w:line="308" w:lineRule="auto"/>
        <w:tabs>
          <w:tab w:leader="none" w:pos="6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any interest on Indebtedness of another Person that is guaranteed by such Person or one of its Restricted Subsidiaries or secured by a Lien on assets of such Person or one of its Restricted Subsidiaries, but only to the extent such Guarantee or Lien is called upon; </w:t>
      </w:r>
      <w:r>
        <w:rPr>
          <w:rFonts w:ascii="Arial" w:cs="Arial" w:eastAsia="Arial" w:hAnsi="Arial"/>
          <w:sz w:val="17"/>
          <w:szCs w:val="17"/>
          <w:i w:val="1"/>
          <w:iCs w:val="1"/>
          <w:color w:val="auto"/>
        </w:rPr>
        <w:t>plus</w:t>
      </w:r>
    </w:p>
    <w:p>
      <w:pPr>
        <w:spacing w:after="0" w:line="38" w:lineRule="exact"/>
        <w:rPr>
          <w:rFonts w:ascii="Arial" w:cs="Arial" w:eastAsia="Arial" w:hAnsi="Arial"/>
          <w:sz w:val="17"/>
          <w:szCs w:val="17"/>
          <w:color w:val="auto"/>
        </w:rPr>
      </w:pPr>
    </w:p>
    <w:p>
      <w:pPr>
        <w:ind w:right="120" w:firstLine="443"/>
        <w:spacing w:after="0" w:line="279" w:lineRule="auto"/>
        <w:tabs>
          <w:tab w:leader="none" w:pos="6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the Company (other than Disqualified Stock) or to the Company or a Restricted Subsidiary of the Company,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a fraction, the numerator of which is one and the denominator of which is one minus the then current combined federal, state and local statutory tax rate of such Person, expressed as a decimal,</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determined on a consolidated basis in accordance with GAAP.</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Charges will exclude (x) the amortization or write-off of debt issuance costs and deferred financing fees, commissions, fees and expenses, (y) any expensing of interim loan commitment and other financing fees and (z) non-cash interest on any convertible or exchangeable notes that exists by virtue of the bifurcation of the debt and equity components of convertible or exchangeable notes and the application FASB Staff Position APB 14-1 or any similar provision.</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(i) any Restricted Subsidiary of the Company that is not a Domestic Subsidiary, (ii) any Restricted Subsidiary that has no material assets other than Capital Stock, securities or indebtedness of one or more Foreign Subsidiaries and (iii) a Subsidiary of an entity described in the preceding clauses (i) and (ii).</w:t>
      </w:r>
    </w:p>
    <w:p>
      <w:pPr>
        <w:spacing w:after="0" w:line="181"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2.06(g)(2) hereof, which is required to be placed on all Global Notes issued under this Indenture.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2.06(b)(3), 2.06(b)(4), 2.06(d)(2) or 2.06(f) hereof.</w:t>
      </w:r>
    </w:p>
    <w:p>
      <w:pPr>
        <w:spacing w:after="0" w:line="18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(including in each case certificates representing an ownership interest in such obligations), the United States of America (including any agency or instrumentality thereof), and the full and timely payment for which the United States pledges its full faith and credit.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7" w:lineRule="exact"/>
        <w:rPr>
          <w:sz w:val="20"/>
          <w:szCs w:val="20"/>
          <w:color w:val="auto"/>
        </w:rPr>
      </w:pPr>
    </w:p>
    <w:p>
      <w:pPr>
        <w:ind w:right="40" w:firstLine="456"/>
        <w:spacing w:after="0" w:line="3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Guarantor</w:t>
      </w:r>
      <w:r>
        <w:rPr>
          <w:rFonts w:ascii="Arial" w:cs="Arial" w:eastAsia="Arial" w:hAnsi="Arial"/>
          <w:sz w:val="15"/>
          <w:szCs w:val="15"/>
          <w:color w:val="auto"/>
        </w:rPr>
        <w:t>” means each Subsidiary of the Company that executes a Note Guarantee in accordance with the provisions of this Indenture, and their respective successors and assigns, in each case, until the Note Guarantee of such Person has been released in accordance with the provisions of this Indenture.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460" w:right="120" w:firstLine="443"/>
        <w:spacing w:after="0" w:line="277"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floor or cap agreements and interest rate collar agreements;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 w:name="page26"/>
    <w:bookmarkEnd w:id="25"/>
    <w:p>
      <w:pPr>
        <w:ind w:right="4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IAI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8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Immaterial Subsidiary</w:t>
      </w:r>
      <w:r>
        <w:rPr>
          <w:rFonts w:ascii="Arial" w:cs="Arial" w:eastAsia="Arial" w:hAnsi="Arial"/>
          <w:sz w:val="17"/>
          <w:szCs w:val="17"/>
          <w:color w:val="auto"/>
        </w:rPr>
        <w:t xml:space="preserve">” means as of any date, any Restricted Subsidiary whose total assets, as of that date, are less than $250,000 and whose total revenues for the most recent 12-month period do not exceed $250,000;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Restricted Subsidiary will not be considered to be an Immaterial Subsidiary if it, directly or indirectly, guarantees or otherwise provides direct credit support for any Indebtedness of the Company.</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117" w:lineRule="exact"/>
        <w:rPr>
          <w:rFonts w:ascii="Arial" w:cs="Arial" w:eastAsia="Arial" w:hAnsi="Arial"/>
          <w:sz w:val="18"/>
          <w:szCs w:val="18"/>
          <w:color w:val="auto"/>
        </w:rPr>
      </w:pPr>
    </w:p>
    <w:p>
      <w:pPr>
        <w:ind w:left="460" w:firstLine="443"/>
        <w:spacing w:after="0" w:line="276" w:lineRule="auto"/>
        <w:tabs>
          <w:tab w:leader="none" w:pos="11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 or in respect of banker’s acceptances (other than obligations with respect to letters of credit or bankers’ acceptances securing obligations (other than obligations described in (1) or (2) above) entered into in the ordinary course of business of such Person to the extent such letters of credit or bankers’ acceptances are not drawn upon or, if and to the extent drawn upon, such drawing is reimbursed no later than the third business day following receipt by such Person of a demand for reimbursement following payment on the letter of credit or bankers’ acceptances);</w:t>
      </w:r>
    </w:p>
    <w:p>
      <w:pPr>
        <w:spacing w:after="0" w:line="64" w:lineRule="exact"/>
        <w:rPr>
          <w:rFonts w:ascii="Arial" w:cs="Arial" w:eastAsia="Arial" w:hAnsi="Arial"/>
          <w:sz w:val="17"/>
          <w:szCs w:val="17"/>
          <w:color w:val="auto"/>
        </w:rPr>
      </w:pPr>
    </w:p>
    <w:p>
      <w:pPr>
        <w:ind w:left="460" w:right="40" w:firstLine="443"/>
        <w:spacing w:after="0" w:line="308" w:lineRule="auto"/>
        <w:tabs>
          <w:tab w:leader="none" w:pos="11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representing the balance deferred and unpaid of the purchase price of any property or services due more than six months after such property is acquired or such services are completed, except any such balance that constitutes an accrued expense or trade payable; or</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avoidance of doubt, “Indebtedness” will not include:</w:t>
      </w:r>
    </w:p>
    <w:p>
      <w:pPr>
        <w:spacing w:after="0" w:line="117" w:lineRule="exact"/>
        <w:rPr>
          <w:sz w:val="20"/>
          <w:szCs w:val="20"/>
          <w:color w:val="auto"/>
        </w:rPr>
      </w:pPr>
    </w:p>
    <w:p>
      <w:pPr>
        <w:ind w:left="460" w:right="540" w:firstLine="443"/>
        <w:spacing w:after="0" w:line="277"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trade payables or other accrued liabilities incurred in the ordinary course of business and payable in accordance with customary practices;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tax obligations;</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minority interest;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non-interest bearing installment obligations and accrued liabilities incurred in the ordinary course of business;</w:t>
      </w:r>
    </w:p>
    <w:p>
      <w:pPr>
        <w:spacing w:after="0" w:line="117" w:lineRule="exact"/>
        <w:rPr>
          <w:rFonts w:ascii="Arial" w:cs="Arial" w:eastAsia="Arial" w:hAnsi="Arial"/>
          <w:sz w:val="18"/>
          <w:szCs w:val="18"/>
          <w:color w:val="auto"/>
        </w:rPr>
      </w:pPr>
    </w:p>
    <w:p>
      <w:pPr>
        <w:ind w:left="460" w:right="340" w:firstLine="443"/>
        <w:spacing w:after="0" w:line="308" w:lineRule="auto"/>
        <w:tabs>
          <w:tab w:leader="none" w:pos="11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obligations of the Company or any Restricted Subsidiary pursuant to contracts for, or options, puts or similar arrangements relating to, the purchase of raw materials or the sale of inventory at a time in the future entered into in the ordinary course of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6" w:name="page27"/>
    <w:bookmarkEnd w:id="26"/>
    <w:p>
      <w:pPr>
        <w:ind w:left="1120" w:hanging="21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endorsement of negotiable instruments for collection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stand-by letters of credit to the extent collateralized by cash or Cash Equivalents;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Indebtedness that has been defeased or satisfied and discharged in accordance with the terms of the documents governing such Indebtedness.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$300.0 million aggregate principal amount of Notes issued under this Indenture on the Issue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SunTrust Robinson Humphrey, Inc., KeyBanc Capital Markets Inc. and Regions Securities LLC.</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that is not also a QIB.</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Restricted Subsidiary of the Company sells or otherwise disposes of any Equity Interests of any direct or indirect Restricted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Restricted Subsidiary of the Company of a Person that holds an Investment in a third Person will be deemed to be an Investment by the Company or such Restricted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October 19, 2015.</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Legal Holiday</w:t>
      </w:r>
      <w:r>
        <w:rPr>
          <w:rFonts w:ascii="Arial" w:cs="Arial" w:eastAsia="Arial" w:hAnsi="Arial"/>
          <w:sz w:val="17"/>
          <w:szCs w:val="17"/>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Transmittal</w:t>
      </w:r>
      <w:r>
        <w:rPr>
          <w:rFonts w:ascii="Arial" w:cs="Arial" w:eastAsia="Arial" w:hAnsi="Arial"/>
          <w:sz w:val="18"/>
          <w:szCs w:val="18"/>
          <w:color w:val="auto"/>
        </w:rPr>
        <w:t>” means the letter of transmittal to be prepared by the Company and sent to all Holders of the Notes for use by such Holders in connection with the Exchange Offer.</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and any cash payments received by way of deferred payment of principal pursuant to a note or installment, earn-out or otherwise, but only as and when received), net of the direct costs relating to such Asset Sale, including, without limitation, legal, title,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any reserve for adjustment in respect of the sale price of such asset or assets established in accordance with GAAP, any distribution and other payments required to be made to minority stockholders in Restricted Subsidiaries as a result of such Asset Sale and payments of unassumed liabilities (not constituting Indebtedness) relating to the assets sold at the time of, or within 30 days after, the date of such Asset Sale.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460" w:right="40" w:firstLine="443"/>
        <w:spacing w:after="0" w:line="342" w:lineRule="auto"/>
        <w:tabs>
          <w:tab w:leader="none" w:pos="11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5" w:lineRule="exact"/>
        <w:rPr>
          <w:rFonts w:ascii="Arial" w:cs="Arial" w:eastAsia="Arial" w:hAnsi="Arial"/>
          <w:sz w:val="16"/>
          <w:szCs w:val="16"/>
          <w:color w:val="auto"/>
        </w:rPr>
      </w:pPr>
    </w:p>
    <w:p>
      <w:pPr>
        <w:ind w:left="460" w:right="100" w:firstLine="443"/>
        <w:spacing w:after="0" w:line="259"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of the Company or any of its Restricted Subsidiaries to declare a default on such other Indebtedness or cause the payment of the Indebtedness to be accelerated or payable prior to its Stated Maturity; and</w:t>
      </w:r>
    </w:p>
    <w:p>
      <w:pPr>
        <w:spacing w:after="0" w:line="78" w:lineRule="exact"/>
        <w:rPr>
          <w:rFonts w:ascii="Arial" w:cs="Arial" w:eastAsia="Arial" w:hAnsi="Arial"/>
          <w:sz w:val="18"/>
          <w:szCs w:val="18"/>
          <w:color w:val="auto"/>
        </w:rPr>
      </w:pPr>
    </w:p>
    <w:p>
      <w:pPr>
        <w:ind w:left="460" w:right="220" w:firstLine="443"/>
        <w:spacing w:after="0" w:line="264"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(which may be by the terms of the instrument evidencing such Indebtedness) that they will not have any recourse to the stock (other than the stock of an Unrestricted Subsidiary pledged by the Company or any of its Restricted Subsidiaries) or assets of the Company or any of its Restricted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Company’s obligations under this Indenture and the Notes, executed pursuant to the provisions of this Indenture.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otherwise provided or the context otherwise requires, all references to the Notes shall include the Initial Notes and any Additional Notes.</w:t>
      </w:r>
    </w:p>
    <w:p>
      <w:pPr>
        <w:spacing w:after="0" w:line="18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Company’s offering memorandum, dated October 16, 2015 relating to the offering of the Initial Notes.</w:t>
      </w:r>
    </w:p>
    <w:p>
      <w:pPr>
        <w:spacing w:after="0" w:line="225"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with respect to any Person, the Chairman of the Board, the Chief Executive Officer, the President, the Chief Operating Officer, the Chief Financial Officer, the Treasurer, any Assistant Treasurer, the Controller, the Secretary, any Assistant Secretary or any Vice-President of such Person.</w:t>
      </w:r>
    </w:p>
    <w:p>
      <w:pPr>
        <w:spacing w:after="0" w:line="124"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Officer’s Certificate</w:t>
      </w:r>
      <w:r>
        <w:rPr>
          <w:rFonts w:ascii="Arial" w:cs="Arial" w:eastAsia="Arial" w:hAnsi="Arial"/>
          <w:sz w:val="17"/>
          <w:szCs w:val="17"/>
          <w:color w:val="auto"/>
        </w:rPr>
        <w:t>” means a certificate signed on behalf of the Company by an Officer of the Company that is the principal executive officer, the principal financial officer, the treasurer or the principal accounting officer of the Company, that meets the requirements of Section 13.05 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8" w:name="page29"/>
    <w:bookmarkEnd w:id="28"/>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an opinion from legal counsel who is reasonably acceptable to the Trustee that meets the requirements of Section 13.05 hereof. The counsel may be an employee of or counsel to the Company or any Subsidiary of the Company.</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PEP</w:t>
      </w:r>
      <w:r>
        <w:rPr>
          <w:rFonts w:ascii="Arial" w:cs="Arial" w:eastAsia="Arial" w:hAnsi="Arial"/>
          <w:sz w:val="18"/>
          <w:szCs w:val="18"/>
          <w:color w:val="auto"/>
        </w:rPr>
        <w:t>” means Precision Engineered Products Holdings, Inc., 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PEP Acquisition</w:t>
      </w:r>
      <w:r>
        <w:rPr>
          <w:rFonts w:ascii="Arial" w:cs="Arial" w:eastAsia="Arial" w:hAnsi="Arial"/>
          <w:sz w:val="18"/>
          <w:szCs w:val="18"/>
          <w:color w:val="auto"/>
        </w:rPr>
        <w:t>” means the acquisition of all of the Capital Stock of PEP pursuant to the PEP Acquisition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PEP Acquisition Agreement</w:t>
      </w:r>
      <w:r>
        <w:rPr>
          <w:rFonts w:ascii="Arial" w:cs="Arial" w:eastAsia="Arial" w:hAnsi="Arial"/>
          <w:sz w:val="16"/>
          <w:szCs w:val="16"/>
          <w:color w:val="auto"/>
        </w:rPr>
        <w:t>” means the Stock Purchase Agreement dated as of August 17, 2015 among the Company, PEP Industries, LLC and PEP.</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Acquisition Debt</w:t>
      </w:r>
      <w:r>
        <w:rPr>
          <w:rFonts w:ascii="Arial" w:cs="Arial" w:eastAsia="Arial" w:hAnsi="Arial"/>
          <w:sz w:val="16"/>
          <w:szCs w:val="16"/>
          <w:color w:val="auto"/>
        </w:rPr>
        <w:t xml:space="preserve">” means Indebtedness of the Company or any of its Restricted Subsidiaries to the extent such Indebtedness was Indebtedness of a Person that was merged or amalgamated into the Company or a Restricted Subsidiary prior to the date of such merger of amalgamation; provided that on the date such Subsidiary became a Restricted Subsidiary or the date such Person was merged and amalgamated into the Company or a Restricted Subsidiary, as applicable, after giving pro forma effect thereto, the pro forma Fixed Charge Coverage Ratio for the Company would either be (x) at least 2.0 to 1.0 or (y) greater than the actual Fixed Charge Coverage Ratio for the Company immediately prior to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incurred pursuant to this clause (y) shall not exceed $50.0 million at any one time outstanding, excluding for the avoidance of doubt, the PEP Acquisition.</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 of the Company and its Subsidiaries as existing on the Issue Date and any other businesses that are the same, similar or reasonably related, ancillary or complementary thereto and reasonable extensions thereof.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17" w:lineRule="exact"/>
        <w:rPr>
          <w:rFonts w:ascii="Arial" w:cs="Arial" w:eastAsia="Arial" w:hAnsi="Arial"/>
          <w:sz w:val="18"/>
          <w:szCs w:val="18"/>
          <w:color w:val="auto"/>
        </w:rPr>
      </w:pPr>
    </w:p>
    <w:p>
      <w:pPr>
        <w:ind w:left="920" w:right="680" w:firstLine="421"/>
        <w:spacing w:after="0" w:line="342" w:lineRule="auto"/>
        <w:tabs>
          <w:tab w:leader="none" w:pos="15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substantially all of its assets to, or is liquidated into, the Company or a Restricted Subsidiary of the Company, including, for the avoidance of doubt, the PEP Acquisition;</w:t>
      </w:r>
    </w:p>
    <w:p>
      <w:pPr>
        <w:spacing w:after="0" w:line="15" w:lineRule="exact"/>
        <w:rPr>
          <w:rFonts w:ascii="Arial" w:cs="Arial" w:eastAsia="Arial" w:hAnsi="Arial"/>
          <w:sz w:val="16"/>
          <w:szCs w:val="16"/>
          <w:color w:val="auto"/>
        </w:rPr>
      </w:pPr>
    </w:p>
    <w:p>
      <w:pPr>
        <w:ind w:left="460" w:right="50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(or sales or other dispositions of assets not constituting an Asset Sale) that was made pursuant to and in compliance with Section 4.10 hereof;</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or using the net cash proceeds from the issuance of Equity Interests (other than Disqualified Stock) of the Company;</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Investments received (i) in compromise or resolution of (A) obligations of trade creditors or customers that were incurred in the ordinary course of business of the Company or any of its Restricted Subsidiaries, including pursuant to any plan of reorganization or similar arrangement upon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bankruptcy or insolvency of any trade creditor or customer; or (B) litigation, arbitration or other disputes with Persons who are not Affiliates or</w:t>
      </w:r>
    </w:p>
    <w:p>
      <w:pPr>
        <w:spacing w:after="0" w:line="35" w:lineRule="exact"/>
        <w:rPr>
          <w:sz w:val="20"/>
          <w:szCs w:val="20"/>
          <w:color w:val="auto"/>
        </w:rPr>
      </w:pPr>
    </w:p>
    <w:p>
      <w:pPr>
        <w:ind w:left="260" w:hanging="256"/>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foreclosure or enforcement of any Lien in favor of the Company or any Restricted Subsidiary;</w:t>
      </w:r>
    </w:p>
    <w:p>
      <w:pPr>
        <w:spacing w:after="0" w:line="102" w:lineRule="exact"/>
        <w:rPr>
          <w:rFonts w:ascii="Arial" w:cs="Arial" w:eastAsia="Arial" w:hAnsi="Arial"/>
          <w:sz w:val="18"/>
          <w:szCs w:val="18"/>
          <w:color w:val="auto"/>
        </w:rPr>
      </w:pPr>
    </w:p>
    <w:p>
      <w:pPr>
        <w:ind w:left="700" w:hanging="257"/>
        <w:spacing w:after="0"/>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440" w:firstLine="443"/>
        <w:spacing w:after="0" w:line="277" w:lineRule="auto"/>
        <w:tabs>
          <w:tab w:leader="none" w:pos="6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loans or advances (or guarantees of loans or advances) to officers, directors or employees made in the ordinary course of business of the Company or any Restricted Subsidiary of the Company;</w:t>
      </w:r>
    </w:p>
    <w:p>
      <w:pPr>
        <w:spacing w:after="0" w:line="62" w:lineRule="exact"/>
        <w:rPr>
          <w:rFonts w:ascii="Arial" w:cs="Arial" w:eastAsia="Arial" w:hAnsi="Arial"/>
          <w:sz w:val="18"/>
          <w:szCs w:val="18"/>
          <w:color w:val="auto"/>
        </w:rPr>
      </w:pPr>
    </w:p>
    <w:p>
      <w:pPr>
        <w:ind w:right="40" w:firstLine="443"/>
        <w:spacing w:after="0" w:line="277" w:lineRule="auto"/>
        <w:tabs>
          <w:tab w:leader="none" w:pos="6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non-cash Investments made in any Foreign Subsidiary consisting of obligations of such Foreign Subsidiary to pay Capital Distributions to the Company or any Guarantor that have been declared but the payment of which has been deferred;</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Guarantees that are not prohibited by Section 4.09 hereof;</w:t>
      </w:r>
    </w:p>
    <w:p>
      <w:pPr>
        <w:spacing w:after="0" w:line="117" w:lineRule="exact"/>
        <w:rPr>
          <w:rFonts w:ascii="Arial" w:cs="Arial" w:eastAsia="Arial" w:hAnsi="Arial"/>
          <w:sz w:val="18"/>
          <w:szCs w:val="18"/>
          <w:color w:val="auto"/>
        </w:rPr>
      </w:pPr>
    </w:p>
    <w:p>
      <w:pPr>
        <w:ind w:right="100" w:firstLine="443"/>
        <w:spacing w:after="0" w:line="312" w:lineRule="auto"/>
        <w:tabs>
          <w:tab w:leader="none" w:pos="776"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extensions of trade credit or receivables owing to the Company or any of its Restricted Subsidiaries and loans, advances or other extensions of trade credit to customers and suppliers created or acquired in the ordinary course of business, and Investments received in satisfaction or partial satisfaction thereof from financially troubled account debtors to the extent reasonably necessary in order to prevent or limit loss;</w:t>
      </w:r>
    </w:p>
    <w:p>
      <w:pPr>
        <w:spacing w:after="0" w:line="38" w:lineRule="exact"/>
        <w:rPr>
          <w:rFonts w:ascii="Arial" w:cs="Arial" w:eastAsia="Arial" w:hAnsi="Arial"/>
          <w:sz w:val="16"/>
          <w:szCs w:val="16"/>
          <w:color w:val="auto"/>
        </w:rPr>
      </w:pPr>
    </w:p>
    <w:p>
      <w:pPr>
        <w:ind w:right="640" w:firstLine="443"/>
        <w:spacing w:after="0" w:line="342" w:lineRule="auto"/>
        <w:tabs>
          <w:tab w:leader="none" w:pos="783"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Investments consisting of prepaid expenses, negotiable instruments held for collection and lease, utility and workers’ compensation, performance and other similar deposits made in the ordinary course of business by the Company or any Restricted Subsidiary;</w:t>
      </w:r>
    </w:p>
    <w:p>
      <w:pPr>
        <w:spacing w:after="0" w:line="15" w:lineRule="exact"/>
        <w:rPr>
          <w:rFonts w:ascii="Arial" w:cs="Arial" w:eastAsia="Arial" w:hAnsi="Arial"/>
          <w:sz w:val="16"/>
          <w:szCs w:val="16"/>
          <w:color w:val="auto"/>
        </w:rPr>
      </w:pPr>
    </w:p>
    <w:p>
      <w:pPr>
        <w:ind w:right="140" w:firstLine="443"/>
        <w:spacing w:after="0" w:line="277" w:lineRule="auto"/>
        <w:tabs>
          <w:tab w:leader="none" w:pos="7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Investments in joint ventures engaged in Permitted Businesses in an amount not to exceed $10.0 million when taken together with all other Investments made pursuant to this clause (13) that are at the time outstanding;</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right="740" w:firstLine="443"/>
        <w:spacing w:after="0" w:line="308" w:lineRule="auto"/>
        <w:tabs>
          <w:tab w:leader="none" w:pos="783"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Investments consisting of non-cash consideration received in the form of securities, notes or similar obligations in connection with dispositions of obsolete assets or assets damaged in the ordinary course of business and permitted pursuant to this Indenture;</w:t>
      </w:r>
    </w:p>
    <w:p>
      <w:pPr>
        <w:spacing w:after="0" w:line="38" w:lineRule="exact"/>
        <w:rPr>
          <w:rFonts w:ascii="Arial" w:cs="Arial" w:eastAsia="Arial" w:hAnsi="Arial"/>
          <w:sz w:val="17"/>
          <w:szCs w:val="17"/>
          <w:color w:val="auto"/>
        </w:rPr>
      </w:pPr>
    </w:p>
    <w:p>
      <w:pPr>
        <w:ind w:right="320" w:firstLine="443"/>
        <w:spacing w:after="0" w:line="277" w:lineRule="auto"/>
        <w:tabs>
          <w:tab w:leader="none" w:pos="7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Investments existing on the Issue Date and any extensions thereof on terms no less favorable and in amounts no greater than exist on the Issue Date;</w:t>
      </w:r>
    </w:p>
    <w:p>
      <w:pPr>
        <w:spacing w:after="0" w:line="62" w:lineRule="exact"/>
        <w:rPr>
          <w:rFonts w:ascii="Arial" w:cs="Arial" w:eastAsia="Arial" w:hAnsi="Arial"/>
          <w:sz w:val="18"/>
          <w:szCs w:val="18"/>
          <w:color w:val="auto"/>
        </w:rPr>
      </w:pPr>
    </w:p>
    <w:p>
      <w:pPr>
        <w:ind w:firstLine="443"/>
        <w:spacing w:after="0" w:line="277" w:lineRule="auto"/>
        <w:tabs>
          <w:tab w:leader="none" w:pos="7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Investments the payment for which consists solely of Capital Stock of the Company (other than Disqualified Stock) or net cash proceeds of a substantially concurrent sale of Capital Stock of the Company (other than Disqualified Stock); and</w:t>
      </w:r>
    </w:p>
    <w:p>
      <w:pPr>
        <w:spacing w:after="0" w:line="62" w:lineRule="exact"/>
        <w:rPr>
          <w:rFonts w:ascii="Arial" w:cs="Arial" w:eastAsia="Arial" w:hAnsi="Arial"/>
          <w:sz w:val="18"/>
          <w:szCs w:val="18"/>
          <w:color w:val="auto"/>
        </w:rPr>
      </w:pPr>
    </w:p>
    <w:p>
      <w:pPr>
        <w:jc w:val="both"/>
        <w:ind w:right="160" w:firstLine="443"/>
        <w:spacing w:after="0" w:line="264" w:lineRule="auto"/>
        <w:tabs>
          <w:tab w:leader="none" w:pos="7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other Investments having an aggregate Fair Market Value (measured on the date each such Investment is made and without giving effect to subsequent changes in value), when taken together with all other Investments made pursuant to this clause (18) that are at the time outstanding, not to exceed the greater of $50.0 million and 2.5% of Total Assets as of the date of any such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right="60" w:firstLine="443"/>
        <w:spacing w:after="0" w:line="277" w:lineRule="auto"/>
        <w:tabs>
          <w:tab w:leader="none" w:pos="6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assets of the Company or any of its Restricted Subsidiaries securing Indebtedness incurred pursuant to clause (1) of the definition of Permitted Debt;</w:t>
      </w:r>
    </w:p>
    <w:p>
      <w:pPr>
        <w:spacing w:after="0" w:line="62" w:lineRule="exact"/>
        <w:rPr>
          <w:rFonts w:ascii="Arial" w:cs="Arial" w:eastAsia="Arial" w:hAnsi="Arial"/>
          <w:sz w:val="18"/>
          <w:szCs w:val="18"/>
          <w:color w:val="auto"/>
        </w:rPr>
      </w:pPr>
    </w:p>
    <w:p>
      <w:pPr>
        <w:ind w:right="180" w:firstLine="443"/>
        <w:spacing w:after="0" w:line="277" w:lineRule="auto"/>
        <w:tabs>
          <w:tab w:leader="none" w:pos="6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the Company or the Guarantors, including Liens securing Indebtedness of a Restricted Subsidiary owed to and held by the Company or another Restricted Subsidiary;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30" w:name="page31"/>
    <w:bookmarkEnd w:id="30"/>
    <w:p>
      <w:pPr>
        <w:ind w:right="140" w:firstLine="443"/>
        <w:spacing w:after="0" w:line="312" w:lineRule="auto"/>
        <w:tabs>
          <w:tab w:leader="none" w:pos="693"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on property or shares of stock of a Person existing at the time such Person is merged with or into or consolidated with the Company or any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in existence prior to the contemplation of such merger or consolidation and do not extend to any assets or shares of stock other than those of the Person merged into or consolidated with the Company or the Subsidiary;</w:t>
      </w:r>
    </w:p>
    <w:p>
      <w:pPr>
        <w:spacing w:after="0" w:line="38" w:lineRule="exact"/>
        <w:rPr>
          <w:rFonts w:ascii="Arial" w:cs="Arial" w:eastAsia="Arial" w:hAnsi="Arial"/>
          <w:sz w:val="16"/>
          <w:szCs w:val="16"/>
          <w:color w:val="auto"/>
        </w:rPr>
      </w:pPr>
    </w:p>
    <w:p>
      <w:pPr>
        <w:ind w:right="540" w:firstLine="443"/>
        <w:spacing w:after="0" w:line="308" w:lineRule="auto"/>
        <w:tabs>
          <w:tab w:leader="none" w:pos="693"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Liens on property (including Capital Stock) existing at the time of acquisition of the property by the Company or any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were in existence prior to, such acquisition, and not incurred in contemplation of, such acquisition;</w:t>
      </w:r>
    </w:p>
    <w:p>
      <w:pPr>
        <w:spacing w:after="0" w:line="38" w:lineRule="exact"/>
        <w:rPr>
          <w:rFonts w:ascii="Arial" w:cs="Arial" w:eastAsia="Arial" w:hAnsi="Arial"/>
          <w:sz w:val="17"/>
          <w:szCs w:val="17"/>
          <w:color w:val="auto"/>
        </w:rPr>
      </w:pPr>
    </w:p>
    <w:p>
      <w:pPr>
        <w:ind w:right="460" w:firstLine="443"/>
        <w:spacing w:after="0" w:line="27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62" w:lineRule="exact"/>
        <w:rPr>
          <w:rFonts w:ascii="Arial" w:cs="Arial" w:eastAsia="Arial" w:hAnsi="Arial"/>
          <w:sz w:val="18"/>
          <w:szCs w:val="18"/>
          <w:color w:val="auto"/>
        </w:rPr>
      </w:pPr>
    </w:p>
    <w:p>
      <w:pPr>
        <w:ind w:right="160" w:firstLine="443"/>
        <w:spacing w:after="0" w:line="27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hereof covering only the assets acquired with or financed by such Indebtedness;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existing on the Issue Date (other than Liens securing Indebtedness outstanding under clause (1) of the definition of Permitted Debt);</w:t>
      </w:r>
    </w:p>
    <w:p>
      <w:pPr>
        <w:spacing w:after="0" w:line="140" w:lineRule="exact"/>
        <w:rPr>
          <w:rFonts w:ascii="Arial" w:cs="Arial" w:eastAsia="Arial" w:hAnsi="Arial"/>
          <w:sz w:val="16"/>
          <w:szCs w:val="16"/>
          <w:color w:val="auto"/>
        </w:rPr>
      </w:pPr>
    </w:p>
    <w:p>
      <w:pPr>
        <w:ind w:right="220" w:firstLine="443"/>
        <w:spacing w:after="0" w:line="264"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Liens for taxes, assessments or other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jc w:val="both"/>
        <w:ind w:firstLine="443"/>
        <w:spacing w:after="0" w:line="259"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17" w:lineRule="exact"/>
        <w:rPr>
          <w:rFonts w:ascii="Arial" w:cs="Arial" w:eastAsia="Arial" w:hAnsi="Arial"/>
          <w:sz w:val="18"/>
          <w:szCs w:val="18"/>
          <w:color w:val="auto"/>
        </w:rPr>
      </w:pPr>
    </w:p>
    <w:p>
      <w:pPr>
        <w:ind w:left="460" w:right="280" w:firstLine="421"/>
        <w:spacing w:after="0" w:line="264" w:lineRule="auto"/>
        <w:tabs>
          <w:tab w:leader="none" w:pos="11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73" w:lineRule="exact"/>
        <w:rPr>
          <w:rFonts w:ascii="Arial" w:cs="Arial" w:eastAsia="Arial" w:hAnsi="Arial"/>
          <w:sz w:val="18"/>
          <w:szCs w:val="18"/>
          <w:color w:val="auto"/>
        </w:rPr>
      </w:pPr>
    </w:p>
    <w:p>
      <w:pPr>
        <w:ind w:left="460" w:right="20" w:firstLine="421"/>
        <w:spacing w:after="0" w:line="286" w:lineRule="auto"/>
        <w:tabs>
          <w:tab w:leader="none" w:pos="1135"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57" w:lineRule="exact"/>
        <w:rPr>
          <w:rFonts w:ascii="Arial" w:cs="Arial" w:eastAsia="Arial" w:hAnsi="Arial"/>
          <w:sz w:val="17"/>
          <w:szCs w:val="17"/>
          <w:color w:val="auto"/>
        </w:rPr>
      </w:pPr>
    </w:p>
    <w:p>
      <w:pPr>
        <w:ind w:right="20" w:firstLine="443"/>
        <w:spacing w:after="0" w:line="277"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clause (12) of the definition of Permitted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Liens incurred pursuant to this clause (13) extend only to assets of Foreign Subsidiaries;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31" w:name="page32"/>
    <w:bookmarkEnd w:id="31"/>
    <w:p>
      <w:pPr>
        <w:ind w:left="1240" w:hanging="33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Liens not resulting in an Event of Default;</w:t>
      </w:r>
    </w:p>
    <w:p>
      <w:pPr>
        <w:spacing w:after="0" w:line="117" w:lineRule="exact"/>
        <w:rPr>
          <w:rFonts w:ascii="Arial" w:cs="Arial" w:eastAsia="Arial" w:hAnsi="Arial"/>
          <w:sz w:val="18"/>
          <w:szCs w:val="18"/>
          <w:color w:val="auto"/>
        </w:rPr>
      </w:pPr>
    </w:p>
    <w:p>
      <w:pPr>
        <w:ind w:left="460" w:right="80" w:firstLine="443"/>
        <w:spacing w:after="0" w:line="342" w:lineRule="auto"/>
        <w:tabs>
          <w:tab w:leader="none" w:pos="12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with respect of bankers’ acceptances issued or created for the account of such Person to facilitate the purchase, shipment or storage of such inventory or other goods;</w:t>
      </w:r>
    </w:p>
    <w:p>
      <w:pPr>
        <w:spacing w:after="0" w:line="15" w:lineRule="exact"/>
        <w:rPr>
          <w:rFonts w:ascii="Arial" w:cs="Arial" w:eastAsia="Arial" w:hAnsi="Arial"/>
          <w:sz w:val="16"/>
          <w:szCs w:val="16"/>
          <w:color w:val="auto"/>
        </w:rPr>
      </w:pPr>
    </w:p>
    <w:p>
      <w:pPr>
        <w:ind w:left="460" w:right="220" w:firstLine="443"/>
        <w:spacing w:after="0" w:line="277"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Liens on assets of the Company or any of its Restricted Subsidiaries securing Indebtedness or other obligations that, taken together with all other Liens outstanding pursuant to this clause (18), do not exceed $25.0 million at any one time outstanding;</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on Receivables incurred in connection with a Qualified Receivables Transaction; and</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Liens on assets of the Company or any of its Restricted Subsidiaries securing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incurrence and after giving pro forma effect thereto, the Consolidated Secured Debt Ratio would be no greater than 3.0 to 1.0.</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100" w:firstLine="443"/>
        <w:spacing w:after="0" w:line="286" w:lineRule="auto"/>
        <w:tabs>
          <w:tab w:leader="none" w:pos="11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57" w:lineRule="exact"/>
        <w:rPr>
          <w:rFonts w:ascii="Arial" w:cs="Arial" w:eastAsia="Arial" w:hAnsi="Arial"/>
          <w:sz w:val="17"/>
          <w:szCs w:val="17"/>
          <w:color w:val="auto"/>
        </w:rPr>
      </w:pPr>
    </w:p>
    <w:p>
      <w:pPr>
        <w:ind w:left="460" w:right="100" w:firstLine="443"/>
        <w:spacing w:after="0" w:line="264"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3" w:lineRule="exact"/>
        <w:rPr>
          <w:rFonts w:ascii="Arial" w:cs="Arial" w:eastAsia="Arial" w:hAnsi="Arial"/>
          <w:sz w:val="18"/>
          <w:szCs w:val="18"/>
          <w:color w:val="auto"/>
        </w:rPr>
      </w:pPr>
    </w:p>
    <w:p>
      <w:pPr>
        <w:jc w:val="both"/>
        <w:ind w:left="460" w:right="140" w:firstLine="443"/>
        <w:spacing w:after="0" w:line="259"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Indebtedness being renewed, refunded, refinanced, replaced, defeased or discharged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renewed, refunded, refinanced, replaced, defeased or discharged; and</w:t>
      </w:r>
    </w:p>
    <w:p>
      <w:pPr>
        <w:spacing w:after="0" w:line="78"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renewed, refunded, refinanced, replaced, defeased or discharged.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2.06(g)(1) hereof to be placed on all Notes issued under this Indenture except where otherwise permitted by the provisions of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“Qualified Receivables Transaction” </w:t>
      </w:r>
      <w:r>
        <w:rPr>
          <w:rFonts w:ascii="Arial" w:cs="Arial" w:eastAsia="Arial" w:hAnsi="Arial"/>
          <w:sz w:val="18"/>
          <w:szCs w:val="18"/>
          <w:color w:val="auto"/>
        </w:rPr>
        <w:t>means any transaction or series of transactions that may be entered into by the Company or any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in which the Company or such Restricted Subsidiary may sell, contribute, convey or otherwise transfer to, or grant a security interest in for the benefit of, any other Person (other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32" w:name="page33"/>
    <w:bookmarkEnd w:id="3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than the Company or a Subsidiary thereof), any Receivables (whether now existing or arising in the future) of the Company or any Restricted Subsidiary, and any related assets, including, without limitation, all collateral securing such Receivables, all contracts and all guarantees or other obligations in respect of such Receivables, proceeds of such Receivables and other assets (including contract rights) which are customarily transferred or in respect of which security interests are customarily granted in connection with asset securitization transactions involving Receivables;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Qualified Receivables Transactions shall be made at Fair Market Value (including after giving effect to any Receivables Fees);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all such Qualified Receivables Transactions shall not (a) be Guaranteed by the Company or any Restricted Subsidiary (excluding Guarantees of obligations (other than the principal of, and interest on, Indebtedness) pursuant to representations, warranties, covenants, indemnities and performance Guarantees that are reasonably customary in an accounts receivables financings), (b) be recourse to or obligate the Company or any Restricted Subsidiary in any way other than pursuant to representations, warranties, covenants, indemnities and performance Guarantees that are reasonably customary in accounts receivables financings, or (c) subject any property or asset of the Company or of any Restricted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the Company or any Restricted Subsidiaries.</w:t>
      </w:r>
    </w:p>
    <w:p>
      <w:pPr>
        <w:spacing w:after="0" w:line="17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w:t>
      </w:r>
      <w:r>
        <w:rPr>
          <w:rFonts w:ascii="Arial" w:cs="Arial" w:eastAsia="Arial" w:hAnsi="Arial"/>
          <w:sz w:val="18"/>
          <w:szCs w:val="18"/>
          <w:color w:val="auto"/>
        </w:rPr>
        <w:t>” means any Indebtedness and other payment obligations owed to the Company or any Restricted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the Company or a Subsidiary thereof) in connection with, any Qualified Receivables Transaction.</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means the Registration Rights Agreement, dated as of the Issue Date, among the Company, the Guarantors and the other parties named on the signature pages thereof, as such agreement may be amended, modified or supplemented from time to time and, with respect to any Additional Notes, one or more registration rights agreements among the Company, the Guarantors and the other parties thereto, as such agreement(s) may be amended, modified or supplemented from time to time, relating to rights given by the Company to the purchasers of Additional Notes to register such Additional Notes, or participate in an Exchange Offer for such Additional Notes, under the Securities Act.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Services group of the Trustee (or any successor group of the Trustee) who at the time shall be such corporate trust officers who shall have direct responsibility for the administration of this Indenture at the Corporate Trust Office,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set forth in Regulation 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and any successor to its rating agency business.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direct or indirect arrangement pursuant to which property is sold or transferred by the Company or a Restricted Subsidiary and is thereafter leased back by the Company or a Restricted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Debt</w:t>
      </w:r>
      <w:r>
        <w:rPr>
          <w:rFonts w:ascii="Arial" w:cs="Arial" w:eastAsia="Arial" w:hAnsi="Arial"/>
          <w:sz w:val="18"/>
          <w:szCs w:val="18"/>
          <w:color w:val="auto"/>
        </w:rPr>
        <w:t>” means:</w:t>
      </w:r>
    </w:p>
    <w:p>
      <w:pPr>
        <w:spacing w:after="0" w:line="117" w:lineRule="exact"/>
        <w:rPr>
          <w:sz w:val="20"/>
          <w:szCs w:val="20"/>
          <w:color w:val="auto"/>
        </w:rPr>
      </w:pPr>
    </w:p>
    <w:p>
      <w:pPr>
        <w:ind w:left="460" w:right="80" w:firstLine="443"/>
        <w:spacing w:after="0" w:line="277"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Indebtedness of the Company or any Guarantor outstanding under Credit Facilities, and all Hedging Obligations and all banking service, treasury management and other similar Obligations with respect thereto;</w:t>
      </w:r>
    </w:p>
    <w:p>
      <w:pPr>
        <w:spacing w:after="0" w:line="62" w:lineRule="exact"/>
        <w:rPr>
          <w:rFonts w:ascii="Arial" w:cs="Arial" w:eastAsia="Arial" w:hAnsi="Arial"/>
          <w:sz w:val="18"/>
          <w:szCs w:val="18"/>
          <w:color w:val="auto"/>
        </w:rPr>
      </w:pPr>
    </w:p>
    <w:p>
      <w:pPr>
        <w:ind w:left="460" w:right="200" w:firstLine="443"/>
        <w:spacing w:after="0" w:line="342" w:lineRule="auto"/>
        <w:tabs>
          <w:tab w:leader="none" w:pos="11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other Indebtedness of the Company or any Guarantor permitted to be incurred under the terms of this Indenture, unless the instrument under which such Indebtedness is incurred expressly provides that it is subordinated in right of payment to the Notes or any Note Guarantee; and</w:t>
      </w:r>
    </w:p>
    <w:p>
      <w:pPr>
        <w:spacing w:after="0" w:line="15" w:lineRule="exact"/>
        <w:rPr>
          <w:rFonts w:ascii="Arial" w:cs="Arial" w:eastAsia="Arial" w:hAnsi="Arial"/>
          <w:sz w:val="16"/>
          <w:szCs w:val="16"/>
          <w:color w:val="auto"/>
        </w:rPr>
      </w:pPr>
    </w:p>
    <w:p>
      <w:pPr>
        <w:ind w:left="460" w:firstLine="443"/>
        <w:spacing w:after="0" w:line="264"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and (2) (including any interest accruing subsequent to the filing of a petition of bankruptcy at the rate provided for in the documentation with respect thereto, whether or not such interest is an allowed claim under applicable law).</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the preceding, Senior Debt will not include:</w:t>
      </w:r>
    </w:p>
    <w:p>
      <w:pPr>
        <w:spacing w:after="0" w:line="117" w:lineRule="exact"/>
        <w:rPr>
          <w:sz w:val="20"/>
          <w:szCs w:val="20"/>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Indebtedness of the Company or any of its Subsidiaries to the Company or any of its Subsidiaries or other Affiliates;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trade payables;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any Indebtedness that is incurred in violation of this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Shelf Registration Statement</w:t>
      </w:r>
      <w:r>
        <w:rPr>
          <w:rFonts w:ascii="Arial" w:cs="Arial" w:eastAsia="Arial" w:hAnsi="Arial"/>
          <w:sz w:val="18"/>
          <w:szCs w:val="18"/>
          <w:color w:val="auto"/>
        </w:rPr>
        <w:t>” means the Shelf Registration Statement as defined in the Registration Rights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274" w:right="359" w:bottom="1440" w:gutter="0" w:footer="0" w:header="0"/>
        </w:sectPr>
      </w:pPr>
    </w:p>
    <w:bookmarkStart w:id="34" w:name="page35"/>
    <w:bookmarkEnd w:id="34"/>
    <w:p>
      <w:pPr>
        <w:ind w:right="7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right="220" w:firstLine="443"/>
        <w:spacing w:after="0" w:line="302" w:lineRule="auto"/>
        <w:tabs>
          <w:tab w:leader="none" w:pos="11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46" w:lineRule="exact"/>
        <w:rPr>
          <w:rFonts w:ascii="Arial" w:cs="Arial" w:eastAsia="Arial" w:hAnsi="Arial"/>
          <w:sz w:val="16"/>
          <w:szCs w:val="16"/>
          <w:color w:val="auto"/>
        </w:rPr>
      </w:pPr>
    </w:p>
    <w:p>
      <w:pPr>
        <w:ind w:left="460" w:right="20" w:firstLine="443"/>
        <w:spacing w:after="0" w:line="308" w:lineRule="auto"/>
        <w:tabs>
          <w:tab w:leader="none" w:pos="11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 (15 U.S.C. §§ 77aaa-77bbbb), as in effect on the date on which this Indenture is qualified under the TIA.</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the total assets of the Company, and its Restricted Subsidiaries on a consolidated basis, as shown on the most recent internal balance sheet of the Company.</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(i) the PEP Acquisition, (ii) the offering of the Initial Notes, (iii) the repayment or redemption of certain Indebtedness of the Company and PEP and (iv) the entry into the Credit Agreement.</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Redemption Date (or, if such Statistical Release is no longer published, any publicly available source of similar market data)) most nearly equal to the period from the Redemption Date to November 1, 2017;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to November 1, 2017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November 1, 2017 is less than one year, the weekly average yield on actually traded United States Treasury securities adjusted to a constant maturity of one year shall be used.</w:t>
      </w:r>
    </w:p>
    <w:p>
      <w:pPr>
        <w:spacing w:after="0" w:line="17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U.S. Bank National Association,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of the Company as an Unrestricted Subsidiary pursuant to a resolution of the Board of Directors, but only to the extent that such Subsidiary:</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has no Indebtedness other than Non-Recourse Debt;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74" w:right="339" w:bottom="1440" w:gutter="0" w:footer="0" w:header="0"/>
        </w:sectPr>
      </w:pPr>
    </w:p>
    <w:bookmarkStart w:id="35" w:name="page36"/>
    <w:bookmarkEnd w:id="35"/>
    <w:p>
      <w:pPr>
        <w:ind w:left="460" w:right="600" w:firstLine="443"/>
        <w:spacing w:after="0" w:line="264"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73"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Subsidiary of a Subsidiary of the Company designated by the Board of Directors of the Company as an Unrestricted Subsidiary shall also be an Unrestricted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117" w:lineRule="exact"/>
        <w:rPr>
          <w:sz w:val="20"/>
          <w:szCs w:val="20"/>
          <w:color w:val="auto"/>
        </w:rPr>
      </w:pPr>
    </w:p>
    <w:p>
      <w:pPr>
        <w:ind w:left="460" w:right="40" w:firstLine="443"/>
        <w:spacing w:after="0" w:line="264"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1.02</w:t>
            </w:r>
          </w:p>
        </w:tc>
        <w:tc>
          <w:tcPr>
            <w:tcW w:w="9320" w:type="dxa"/>
            <w:vAlign w:val="bottom"/>
          </w:tcPr>
          <w:p>
            <w:pPr>
              <w:spacing w:after="0"/>
              <w:rPr>
                <w:sz w:val="20"/>
                <w:szCs w:val="20"/>
                <w:color w:val="auto"/>
              </w:rPr>
            </w:pPr>
            <w:r>
              <w:rPr>
                <w:rFonts w:ascii="Arial" w:cs="Arial" w:eastAsia="Arial" w:hAnsi="Arial"/>
                <w:sz w:val="18"/>
                <w:szCs w:val="18"/>
                <w:i w:val="1"/>
                <w:iCs w:val="1"/>
                <w:color w:val="auto"/>
              </w:rPr>
              <w:t>Other Definitions.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1060" w:type="dxa"/>
            <w:vAlign w:val="bottom"/>
            <w:vMerge w:val="restart"/>
          </w:tcPr>
          <w:p>
            <w:pPr>
              <w:spacing w:after="0"/>
              <w:rPr>
                <w:sz w:val="24"/>
                <w:szCs w:val="24"/>
                <w:color w:val="auto"/>
              </w:rPr>
            </w:pPr>
          </w:p>
        </w:tc>
        <w:tc>
          <w:tcPr>
            <w:tcW w:w="93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320" w:type="dxa"/>
            <w:vAlign w:val="bottom"/>
          </w:tcPr>
          <w:p>
            <w:pPr>
              <w:spacing w:after="0"/>
              <w:rPr>
                <w:sz w:val="15"/>
                <w:szCs w:val="15"/>
                <w:color w:val="auto"/>
              </w:rPr>
            </w:pPr>
          </w:p>
        </w:tc>
        <w:tc>
          <w:tcPr>
            <w:tcW w:w="72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3"/>
        </w:trPr>
        <w:tc>
          <w:tcPr>
            <w:tcW w:w="107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“Acceptable Commitment”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“Affiliate Transaction”</w:t>
            </w:r>
          </w:p>
        </w:tc>
        <w:tc>
          <w:tcPr>
            <w:tcW w:w="6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5"/>
              </w:rPr>
              <w:t>“Asset Sale Offer”</w:t>
            </w:r>
          </w:p>
        </w:tc>
        <w:tc>
          <w:tcPr>
            <w:tcW w:w="9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“Authentication Order”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“Change of Control Offer”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“Change of Control Payment”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10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 Date”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“Covenant Defeasance”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“DTC”</w:t>
            </w:r>
          </w:p>
        </w:tc>
        <w:tc>
          <w:tcPr>
            <w:tcW w:w="9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“Event of Default”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0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“Excess Proceeds”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i w:val="1"/>
                <w:iCs w:val="1"/>
                <w:color w:val="auto"/>
              </w:rPr>
              <w:t>“incur”</w:t>
            </w:r>
          </w:p>
        </w:tc>
        <w:tc>
          <w:tcPr>
            <w:tcW w:w="9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“Legal Defeasance”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i w:val="1"/>
                <w:iCs w:val="1"/>
                <w:color w:val="auto"/>
              </w:rPr>
              <w:t>“Offer Amount”</w:t>
            </w:r>
          </w:p>
        </w:tc>
        <w:tc>
          <w:tcPr>
            <w:tcW w:w="9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“Offer Period”</w:t>
            </w:r>
          </w:p>
        </w:tc>
        <w:tc>
          <w:tcPr>
            <w:tcW w:w="9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9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“Permitted Debt”</w:t>
            </w:r>
          </w:p>
        </w:tc>
        <w:tc>
          <w:tcPr>
            <w:tcW w:w="9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“Payment Default”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“Purchase Date”</w:t>
            </w:r>
          </w:p>
        </w:tc>
        <w:tc>
          <w:tcPr>
            <w:tcW w:w="9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“Redemption Date”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9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10700" w:type="dxa"/>
            <w:vAlign w:val="bottom"/>
            <w:gridSpan w:val="3"/>
          </w:tcPr>
          <w:p>
            <w:pPr>
              <w:spacing w:after="0"/>
              <w:rPr>
                <w:sz w:val="20"/>
                <w:szCs w:val="20"/>
                <w:color w:val="auto"/>
              </w:rPr>
            </w:pPr>
            <w:r>
              <w:rPr>
                <w:rFonts w:ascii="Arial" w:cs="Arial" w:eastAsia="Arial" w:hAnsi="Arial"/>
                <w:sz w:val="18"/>
                <w:szCs w:val="18"/>
                <w:i w:val="1"/>
                <w:iCs w:val="1"/>
                <w:color w:val="auto"/>
              </w:rPr>
              <w:t>“Restricted Payments”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56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9320" w:type="dxa"/>
            <w:vAlign w:val="bottom"/>
          </w:tcPr>
          <w:p>
            <w:pPr>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10380" w:type="dxa"/>
            <w:vAlign w:val="bottom"/>
            <w:gridSpan w:val="2"/>
          </w:tcPr>
          <w:p>
            <w:pPr>
              <w:jc w:val="right"/>
              <w:ind w:right="330"/>
              <w:spacing w:after="0"/>
              <w:rPr>
                <w:sz w:val="20"/>
                <w:szCs w:val="20"/>
                <w:color w:val="auto"/>
              </w:rPr>
            </w:pPr>
            <w:r>
              <w:rPr>
                <w:rFonts w:ascii="Arial" w:cs="Arial" w:eastAsia="Arial" w:hAnsi="Arial"/>
                <w:sz w:val="18"/>
                <w:szCs w:val="18"/>
                <w:color w:val="auto"/>
                <w:w w:val="92"/>
              </w:rPr>
              <w:t>Whenever this Indenture refers to a provision of the TIA, the provision is incorporated by reference in and made a part of this Indenture.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jc w:val="right"/>
              <w:ind w:right="475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TIA terms used in this Indenture have the following meanings: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Notes and Note Guarantees;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 and</w:t>
      </w:r>
    </w:p>
    <w:p>
      <w:pPr>
        <w:spacing w:after="0" w:line="117"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Notes and the Note Guarantees means the Company and the Guarantors, respectively, and any successor obligor upon the Notes and the Note Guarantees, respectively.</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60" w:right="380" w:firstLine="443"/>
        <w:spacing w:after="0" w:line="277"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117" w:lineRule="exact"/>
        <w:rPr>
          <w:sz w:val="20"/>
          <w:szCs w:val="20"/>
          <w:color w:val="auto"/>
        </w:rPr>
      </w:pPr>
    </w:p>
    <w:p>
      <w:pPr>
        <w:ind w:right="20" w:firstLine="464"/>
        <w:spacing w:after="0" w:line="264"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will be dated the date of its authentication. The Notes shall be in denominations of $2,000 and integral multiples of $1,000 in excess thereof.</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7" w:name="page38"/>
    <w:bookmarkEnd w:id="37"/>
    <w:p>
      <w:pPr>
        <w:ind w:firstLine="464"/>
        <w:spacing w:after="0" w:line="271"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Notes</w:t>
      </w:r>
      <w:r>
        <w:rPr>
          <w:rFonts w:ascii="Arial" w:cs="Arial" w:eastAsia="Arial" w:hAnsi="Arial"/>
          <w:sz w:val="17"/>
          <w:szCs w:val="17"/>
          <w:color w:val="auto"/>
        </w:rPr>
        <w:t>. Notes issued in global form will be substantially in the form of Exhibit A hereto (including the Global Note Legend thereon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w:t>
      </w:r>
    </w:p>
    <w:p>
      <w:pPr>
        <w:spacing w:after="0" w:line="178" w:lineRule="exact"/>
        <w:rPr>
          <w:rFonts w:ascii="Arial" w:cs="Arial" w:eastAsia="Arial" w:hAnsi="Arial"/>
          <w:sz w:val="17"/>
          <w:szCs w:val="17"/>
          <w:color w:val="auto"/>
        </w:rPr>
      </w:pPr>
    </w:p>
    <w:p>
      <w:pPr>
        <w:ind w:right="60" w:firstLine="464"/>
        <w:spacing w:after="0" w:line="286" w:lineRule="auto"/>
        <w:tabs>
          <w:tab w:leader="none" w:pos="70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Euroclear and Clearstream Procedures Applicable. </w:t>
      </w:r>
      <w:r>
        <w:rPr>
          <w:rFonts w:ascii="Arial" w:cs="Arial" w:eastAsia="Arial" w:hAnsi="Arial"/>
          <w:sz w:val="17"/>
          <w:szCs w:val="17"/>
          <w:color w:val="auto"/>
        </w:rPr>
        <w:t>The provisions of the “Operating Procedures of the Euroclear System” and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3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Trustee will, upon receipt of a written order of the Company signed by at least one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will maintain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The Company initially appoints the Trustee to act as the Registrar and Paying Agent and to act as Custodian with respect to the Global Notes. -23-</w:t>
      </w:r>
    </w:p>
    <w:p>
      <w:pPr>
        <w:sectPr>
          <w:pgSz w:w="11900" w:h="16838" w:orient="portrait"/>
          <w:cols w:equalWidth="0" w:num="1">
            <w:col w:w="11420"/>
          </w:cols>
          <w:pgMar w:left="240" w:top="274" w:right="239" w:bottom="1440" w:gutter="0" w:footer="0" w:header="0"/>
        </w:sectPr>
      </w:pPr>
    </w:p>
    <w:bookmarkStart w:id="38" w:name="page39"/>
    <w:bookmarkEnd w:id="38"/>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will require each Paying Agent other than the Trustee to agree in writing that the Paying Agent will hold in trust for the benefit of Holders or the Trustee all money held by the Paying Agent for the payment of principal, premium, if any, or Additional Interest,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Trustee will preserve in as current a form as is reasonably practicable the most recent list available to it of the names and addresses of all Holders and shall otherwise comply with TIA § 312(a).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 312(a).</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117" w:lineRule="exact"/>
        <w:rPr>
          <w:sz w:val="20"/>
          <w:szCs w:val="20"/>
          <w:color w:val="auto"/>
        </w:rPr>
      </w:pPr>
    </w:p>
    <w:p>
      <w:pPr>
        <w:ind w:right="60" w:firstLine="464"/>
        <w:spacing w:after="0" w:line="286" w:lineRule="auto"/>
        <w:tabs>
          <w:tab w:leader="none" w:pos="70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Transfer and Exchange of Global Notes</w:t>
      </w:r>
      <w:r>
        <w:rPr>
          <w:rFonts w:ascii="Arial" w:cs="Arial" w:eastAsia="Arial" w:hAnsi="Arial"/>
          <w:sz w:val="17"/>
          <w:szCs w:val="17"/>
          <w:color w:val="auto"/>
        </w:rPr>
        <w:t>. A Global Note may not be transferred except as a whole by the Depositary to a nominee of the Depositary,</w:t>
      </w:r>
      <w:r>
        <w:rPr>
          <w:rFonts w:ascii="Arial" w:cs="Arial" w:eastAsia="Arial" w:hAnsi="Arial"/>
          <w:sz w:val="17"/>
          <w:szCs w:val="17"/>
          <w:i w:val="1"/>
          <w:iCs w:val="1"/>
          <w:color w:val="auto"/>
        </w:rPr>
        <w:t xml:space="preserve"> </w:t>
      </w:r>
      <w:r>
        <w:rPr>
          <w:rFonts w:ascii="Arial" w:cs="Arial" w:eastAsia="Arial" w:hAnsi="Arial"/>
          <w:sz w:val="17"/>
          <w:szCs w:val="17"/>
          <w:color w:val="auto"/>
        </w:rPr>
        <w:t>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57" w:lineRule="exact"/>
        <w:rPr>
          <w:rFonts w:ascii="Arial" w:cs="Arial" w:eastAsia="Arial" w:hAnsi="Arial"/>
          <w:sz w:val="17"/>
          <w:szCs w:val="17"/>
          <w:color w:val="auto"/>
        </w:rPr>
      </w:pPr>
    </w:p>
    <w:p>
      <w:pPr>
        <w:ind w:left="460" w:right="200" w:firstLine="443"/>
        <w:spacing w:after="0" w:line="264" w:lineRule="auto"/>
        <w:tabs>
          <w:tab w:leader="none" w:pos="11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there has occurred and is continuing a Default or Event of Default with respect to the Notes and DTC requests certificated Notes.</w:t>
      </w:r>
    </w:p>
    <w:p>
      <w:pPr>
        <w:spacing w:after="0" w:line="23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Upon the occurrence of any of the preceding events in (1), (2) or (3)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58" w:lineRule="exact"/>
        <w:rPr>
          <w:sz w:val="20"/>
          <w:szCs w:val="20"/>
          <w:color w:val="auto"/>
        </w:rPr>
      </w:pPr>
    </w:p>
    <w:p>
      <w:pPr>
        <w:ind w:firstLine="464"/>
        <w:spacing w:after="0" w:line="257"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9" w:name="page40"/>
    <w:bookmarkEnd w:id="39"/>
    <w:p>
      <w:pPr>
        <w:ind w:firstLine="443"/>
        <w:spacing w:after="0" w:line="293" w:lineRule="auto"/>
        <w:tabs>
          <w:tab w:leader="none" w:pos="693"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of Beneficial Interests in the Same Global Note</w:t>
      </w:r>
      <w:r>
        <w:rPr>
          <w:rFonts w:ascii="Arial" w:cs="Arial" w:eastAsia="Arial" w:hAnsi="Arial"/>
          <w:sz w:val="16"/>
          <w:szCs w:val="16"/>
          <w:color w:val="auto"/>
        </w:rPr>
        <w:t>. Beneficial interests in any Restricted Global Note may be transferred to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take delivery thereof in the form of a beneficial interest in the same Restricted Global Note in accordance with the transfer restrictions set forth in the Private Placement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56" w:lineRule="exact"/>
        <w:rPr>
          <w:rFonts w:ascii="Arial" w:cs="Arial" w:eastAsia="Arial" w:hAnsi="Arial"/>
          <w:sz w:val="16"/>
          <w:szCs w:val="16"/>
          <w:color w:val="auto"/>
        </w:rPr>
      </w:pPr>
    </w:p>
    <w:p>
      <w:pPr>
        <w:ind w:right="540" w:firstLine="443"/>
        <w:spacing w:after="0" w:line="342" w:lineRule="auto"/>
        <w:tabs>
          <w:tab w:leader="none" w:pos="693"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All Other Transfers and Exchanges of Beneficial Interests in Global Notes</w:t>
      </w:r>
      <w:r>
        <w:rPr>
          <w:rFonts w:ascii="Arial" w:cs="Arial" w:eastAsia="Arial" w:hAnsi="Arial"/>
          <w:sz w:val="16"/>
          <w:szCs w:val="16"/>
          <w:color w:val="auto"/>
        </w:rPr>
        <w:t>. In connection with all transfers and exchanges of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that are not subject to Section 2.06(b)(1) hereof, the transferor of such beneficial interest must deliver to the Registrar either:</w:t>
      </w:r>
    </w:p>
    <w:p>
      <w:pPr>
        <w:spacing w:after="0" w:line="231" w:lineRule="exact"/>
        <w:rPr>
          <w:rFonts w:ascii="Arial" w:cs="Arial" w:eastAsia="Arial" w:hAnsi="Arial"/>
          <w:sz w:val="16"/>
          <w:szCs w:val="16"/>
          <w:color w:val="auto"/>
        </w:rPr>
      </w:pPr>
    </w:p>
    <w:p>
      <w:pPr>
        <w:ind w:left="1320" w:hanging="288"/>
        <w:spacing w:after="0"/>
        <w:tabs>
          <w:tab w:leader="none" w:pos="13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040" w:right="20" w:firstLine="389"/>
        <w:spacing w:after="0" w:line="264" w:lineRule="auto"/>
        <w:tabs>
          <w:tab w:leader="none" w:pos="16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3" w:lineRule="exact"/>
        <w:rPr>
          <w:rFonts w:ascii="Arial" w:cs="Arial" w:eastAsia="Arial" w:hAnsi="Arial"/>
          <w:sz w:val="18"/>
          <w:szCs w:val="18"/>
          <w:color w:val="auto"/>
        </w:rPr>
      </w:pPr>
    </w:p>
    <w:p>
      <w:pPr>
        <w:ind w:left="1040" w:right="100" w:firstLine="389"/>
        <w:spacing w:after="0" w:line="277" w:lineRule="auto"/>
        <w:tabs>
          <w:tab w:leader="none" w:pos="1702"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278" w:lineRule="exact"/>
        <w:rPr>
          <w:rFonts w:ascii="Arial" w:cs="Arial" w:eastAsia="Arial" w:hAnsi="Arial"/>
          <w:sz w:val="18"/>
          <w:szCs w:val="18"/>
          <w:color w:val="auto"/>
        </w:rPr>
      </w:pPr>
    </w:p>
    <w:p>
      <w:pPr>
        <w:ind w:left="1320" w:hanging="288"/>
        <w:spacing w:after="0"/>
        <w:tabs>
          <w:tab w:leader="none" w:pos="13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040" w:right="100" w:firstLine="389"/>
        <w:spacing w:after="0" w:line="264" w:lineRule="auto"/>
        <w:tabs>
          <w:tab w:leader="none" w:pos="16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3" w:lineRule="exact"/>
        <w:rPr>
          <w:rFonts w:ascii="Arial" w:cs="Arial" w:eastAsia="Arial" w:hAnsi="Arial"/>
          <w:sz w:val="18"/>
          <w:szCs w:val="18"/>
          <w:color w:val="auto"/>
        </w:rPr>
      </w:pPr>
    </w:p>
    <w:p>
      <w:pPr>
        <w:ind w:left="1040" w:right="760" w:firstLine="389"/>
        <w:spacing w:after="0" w:line="277" w:lineRule="auto"/>
        <w:tabs>
          <w:tab w:leader="none" w:pos="1702"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consummation of an Exchange Offer by the Company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80" w:lineRule="exact"/>
        <w:rPr>
          <w:sz w:val="20"/>
          <w:szCs w:val="20"/>
          <w:color w:val="auto"/>
        </w:rPr>
      </w:pPr>
    </w:p>
    <w:p>
      <w:pPr>
        <w:jc w:val="both"/>
        <w:ind w:right="20" w:firstLine="443"/>
        <w:spacing w:after="0" w:line="264" w:lineRule="auto"/>
        <w:tabs>
          <w:tab w:leader="none" w:pos="69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to Another Restricted Global Note</w:t>
      </w:r>
      <w:r>
        <w:rPr>
          <w:rFonts w:ascii="Arial" w:cs="Arial" w:eastAsia="Arial" w:hAnsi="Arial"/>
          <w:sz w:val="18"/>
          <w:szCs w:val="18"/>
          <w:color w:val="auto"/>
        </w:rPr>
        <w:t>. A beneficial interest in any Restricted Global Note may be transferred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beneficial interest in another Restricted Global Note if the transfer complies with the requirements of Section 2.06(b)(2) hereof and the Registrar receives the following:</w:t>
      </w:r>
    </w:p>
    <w:p>
      <w:pPr>
        <w:spacing w:after="0" w:line="73" w:lineRule="exact"/>
        <w:rPr>
          <w:rFonts w:ascii="Arial" w:cs="Arial" w:eastAsia="Arial" w:hAnsi="Arial"/>
          <w:sz w:val="18"/>
          <w:szCs w:val="18"/>
          <w:color w:val="auto"/>
        </w:rPr>
      </w:pPr>
    </w:p>
    <w:p>
      <w:pPr>
        <w:ind w:left="460" w:right="560" w:firstLine="421"/>
        <w:spacing w:after="0" w:line="277" w:lineRule="auto"/>
        <w:tabs>
          <w:tab w:leader="none" w:pos="11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460" w:right="40" w:firstLine="421"/>
        <w:spacing w:after="0" w:line="277" w:lineRule="auto"/>
        <w:tabs>
          <w:tab w:leader="none" w:pos="11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4" w:right="239" w:bottom="1440" w:gutter="0" w:footer="0" w:header="0"/>
        </w:sectPr>
      </w:pPr>
    </w:p>
    <w:bookmarkStart w:id="40" w:name="page41"/>
    <w:bookmarkEnd w:id="40"/>
    <w:p>
      <w:pPr>
        <w:ind w:left="920" w:right="580" w:firstLine="421"/>
        <w:spacing w:after="0" w:line="264" w:lineRule="auto"/>
        <w:tabs>
          <w:tab w:leader="none" w:pos="1625"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transferee will take delivery in the form of a beneficial interest in the IAI Global Note, then the transferor must deliver a certificate in the form of Exhibit B hereto, including the certifications, certificates and Opinion of Counsel required by item (3) thereof, if applicable.</w:t>
      </w:r>
    </w:p>
    <w:p>
      <w:pPr>
        <w:spacing w:after="0" w:line="73" w:lineRule="exact"/>
        <w:rPr>
          <w:rFonts w:ascii="Arial" w:cs="Arial" w:eastAsia="Arial" w:hAnsi="Arial"/>
          <w:sz w:val="18"/>
          <w:szCs w:val="18"/>
          <w:color w:val="auto"/>
        </w:rPr>
      </w:pPr>
    </w:p>
    <w:p>
      <w:pPr>
        <w:ind w:left="460" w:right="320" w:firstLine="443"/>
        <w:spacing w:after="0" w:line="259"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a Restricted Global Note for Beneficial Interests in an Unrestricted Global Note</w:t>
      </w:r>
      <w:r>
        <w:rPr>
          <w:rFonts w:ascii="Arial" w:cs="Arial" w:eastAsia="Arial" w:hAnsi="Arial"/>
          <w:sz w:val="18"/>
          <w:szCs w:val="18"/>
          <w:color w:val="auto"/>
        </w:rPr>
        <w:t>.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hereof and:</w:t>
      </w:r>
    </w:p>
    <w:p>
      <w:pPr>
        <w:spacing w:after="0" w:line="78" w:lineRule="exact"/>
        <w:rPr>
          <w:rFonts w:ascii="Arial" w:cs="Arial" w:eastAsia="Arial" w:hAnsi="Arial"/>
          <w:sz w:val="18"/>
          <w:szCs w:val="18"/>
          <w:color w:val="auto"/>
        </w:rPr>
      </w:pPr>
    </w:p>
    <w:p>
      <w:pPr>
        <w:ind w:left="920" w:right="60" w:firstLine="421"/>
        <w:spacing w:after="0" w:line="259" w:lineRule="auto"/>
        <w:tabs>
          <w:tab w:leader="none" w:pos="16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78" w:lineRule="exact"/>
        <w:rPr>
          <w:rFonts w:ascii="Arial" w:cs="Arial" w:eastAsia="Arial" w:hAnsi="Arial"/>
          <w:sz w:val="18"/>
          <w:szCs w:val="18"/>
          <w:color w:val="auto"/>
        </w:rPr>
      </w:pPr>
    </w:p>
    <w:p>
      <w:pPr>
        <w:ind w:left="1620" w:hanging="279"/>
        <w:spacing w:after="0"/>
        <w:tabs>
          <w:tab w:leader="none" w:pos="1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such transfer is effected pursuant to the Shelf Registration Statement in accordance with the Registration Rights Agreement;</w:t>
      </w:r>
    </w:p>
    <w:p>
      <w:pPr>
        <w:spacing w:after="0" w:line="128" w:lineRule="exact"/>
        <w:rPr>
          <w:rFonts w:ascii="Arial" w:cs="Arial" w:eastAsia="Arial" w:hAnsi="Arial"/>
          <w:sz w:val="17"/>
          <w:szCs w:val="17"/>
          <w:color w:val="auto"/>
        </w:rPr>
      </w:pPr>
    </w:p>
    <w:p>
      <w:pPr>
        <w:ind w:left="920" w:right="40" w:firstLine="421"/>
        <w:spacing w:after="0" w:line="277" w:lineRule="auto"/>
        <w:tabs>
          <w:tab w:leader="none" w:pos="16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17" w:lineRule="exact"/>
        <w:rPr>
          <w:rFonts w:ascii="Arial" w:cs="Arial" w:eastAsia="Arial" w:hAnsi="Arial"/>
          <w:sz w:val="18"/>
          <w:szCs w:val="18"/>
          <w:color w:val="auto"/>
        </w:rPr>
      </w:pPr>
    </w:p>
    <w:p>
      <w:pPr>
        <w:jc w:val="both"/>
        <w:ind w:left="1500" w:right="60" w:firstLine="389"/>
        <w:spacing w:after="0" w:line="291" w:lineRule="auto"/>
        <w:tabs>
          <w:tab w:leader="none" w:pos="2112" w:val="left"/>
        </w:tabs>
        <w:numPr>
          <w:ilvl w:val="2"/>
          <w:numId w:val="45"/>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w:t>
      </w:r>
    </w:p>
    <w:p>
      <w:pPr>
        <w:ind w:left="1500"/>
        <w:spacing w:after="0"/>
        <w:rPr>
          <w:rFonts w:ascii="Arial" w:cs="Arial" w:eastAsia="Arial" w:hAnsi="Arial"/>
          <w:sz w:val="16"/>
          <w:szCs w:val="16"/>
          <w:color w:val="auto"/>
        </w:rPr>
      </w:pPr>
      <w:r>
        <w:rPr>
          <w:rFonts w:ascii="Arial" w:cs="Arial" w:eastAsia="Arial" w:hAnsi="Arial"/>
          <w:sz w:val="18"/>
          <w:szCs w:val="18"/>
          <w:color w:val="auto"/>
        </w:rPr>
        <w:t>(1)(a) thereof; or</w:t>
      </w:r>
    </w:p>
    <w:p>
      <w:pPr>
        <w:spacing w:after="0" w:line="102" w:lineRule="exact"/>
        <w:rPr>
          <w:rFonts w:ascii="Arial" w:cs="Arial" w:eastAsia="Arial" w:hAnsi="Arial"/>
          <w:sz w:val="16"/>
          <w:szCs w:val="16"/>
          <w:color w:val="auto"/>
        </w:rPr>
      </w:pPr>
    </w:p>
    <w:p>
      <w:pPr>
        <w:jc w:val="both"/>
        <w:ind w:left="1500" w:right="20" w:firstLine="389"/>
        <w:spacing w:after="0" w:line="264" w:lineRule="auto"/>
        <w:tabs>
          <w:tab w:leader="none" w:pos="2162" w:val="left"/>
        </w:tabs>
        <w:numPr>
          <w:ilvl w:val="2"/>
          <w:numId w:val="45"/>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3"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If any such transfer is effected pursuant to subparagraph (B) or (D)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41" w:name="page42"/>
    <w:bookmarkEnd w:id="41"/>
    <w:p>
      <w:pPr>
        <w:ind w:right="160" w:firstLine="464"/>
        <w:spacing w:after="0" w:line="264"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Beneficial Interests in Restricted Global Notes to Restricted Definitive Notes. </w:t>
      </w:r>
      <w:r>
        <w:rPr>
          <w:rFonts w:ascii="Arial" w:cs="Arial" w:eastAsia="Arial" w:hAnsi="Arial"/>
          <w:sz w:val="18"/>
          <w:szCs w:val="18"/>
          <w:color w:val="auto"/>
        </w:rPr>
        <w:t>If any holder of a beneficial interest in a Restricted Global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73" w:lineRule="exact"/>
        <w:rPr>
          <w:sz w:val="20"/>
          <w:szCs w:val="20"/>
          <w:color w:val="auto"/>
        </w:rPr>
      </w:pPr>
    </w:p>
    <w:p>
      <w:pPr>
        <w:ind w:left="460" w:right="980" w:firstLine="433"/>
        <w:spacing w:after="0" w:line="342" w:lineRule="auto"/>
        <w:tabs>
          <w:tab w:leader="none" w:pos="11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5" w:lineRule="exact"/>
        <w:rPr>
          <w:rFonts w:ascii="Arial" w:cs="Arial" w:eastAsia="Arial" w:hAnsi="Arial"/>
          <w:sz w:val="16"/>
          <w:szCs w:val="16"/>
          <w:color w:val="auto"/>
        </w:rPr>
      </w:pPr>
    </w:p>
    <w:p>
      <w:pPr>
        <w:ind w:left="460" w:right="140" w:firstLine="443"/>
        <w:spacing w:after="0" w:line="277" w:lineRule="auto"/>
        <w:tabs>
          <w:tab w:leader="none" w:pos="11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62" w:lineRule="exact"/>
        <w:rPr>
          <w:rFonts w:ascii="Arial" w:cs="Arial" w:eastAsia="Arial" w:hAnsi="Arial"/>
          <w:sz w:val="18"/>
          <w:szCs w:val="18"/>
          <w:color w:val="auto"/>
        </w:rPr>
      </w:pPr>
    </w:p>
    <w:p>
      <w:pPr>
        <w:ind w:left="460" w:right="540" w:firstLine="443"/>
        <w:spacing w:after="0" w:line="286" w:lineRule="auto"/>
        <w:tabs>
          <w:tab w:leader="none" w:pos="11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57" w:lineRule="exact"/>
        <w:rPr>
          <w:rFonts w:ascii="Arial" w:cs="Arial" w:eastAsia="Arial" w:hAnsi="Arial"/>
          <w:sz w:val="17"/>
          <w:szCs w:val="17"/>
          <w:color w:val="auto"/>
        </w:rPr>
      </w:pPr>
    </w:p>
    <w:p>
      <w:pPr>
        <w:ind w:left="460" w:right="40" w:firstLine="443"/>
        <w:spacing w:after="0" w:line="277" w:lineRule="auto"/>
        <w:tabs>
          <w:tab w:leader="none" w:pos="11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78" w:lineRule="exact"/>
        <w:rPr>
          <w:sz w:val="20"/>
          <w:szCs w:val="20"/>
          <w:color w:val="auto"/>
        </w:rPr>
      </w:pPr>
    </w:p>
    <w:p>
      <w:pPr>
        <w:ind w:right="260" w:firstLine="464"/>
        <w:spacing w:after="0" w:line="264"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Notes to Unrestricted Definitive Notes. </w:t>
      </w:r>
      <w:r>
        <w:rPr>
          <w:rFonts w:ascii="Arial" w:cs="Arial" w:eastAsia="Arial" w:hAnsi="Arial"/>
          <w:sz w:val="18"/>
          <w:szCs w:val="18"/>
          <w:color w:val="auto"/>
        </w:rPr>
        <w:t>A holder of a beneficial interest in a Restricted Global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beneficial interest for an Unrestricted Definitive Note or may transfer such beneficial interest to a Person who takes delivery thereof in the form of an Unrestricted Definitive Note only if:</w:t>
      </w:r>
    </w:p>
    <w:p>
      <w:pPr>
        <w:spacing w:after="0" w:line="73" w:lineRule="exact"/>
        <w:rPr>
          <w:rFonts w:ascii="Arial" w:cs="Arial" w:eastAsia="Arial" w:hAnsi="Arial"/>
          <w:sz w:val="18"/>
          <w:szCs w:val="18"/>
          <w:color w:val="auto"/>
        </w:rPr>
      </w:pPr>
    </w:p>
    <w:p>
      <w:pPr>
        <w:ind w:left="460" w:right="60" w:firstLine="443"/>
        <w:spacing w:after="0" w:line="259" w:lineRule="auto"/>
        <w:tabs>
          <w:tab w:leader="none" w:pos="11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78" w:lineRule="exact"/>
        <w:rPr>
          <w:rFonts w:ascii="Arial" w:cs="Arial" w:eastAsia="Arial" w:hAnsi="Arial"/>
          <w:sz w:val="18"/>
          <w:szCs w:val="18"/>
          <w:color w:val="auto"/>
        </w:rPr>
      </w:pPr>
    </w:p>
    <w:p>
      <w:pPr>
        <w:ind w:left="1180" w:hanging="277"/>
        <w:spacing w:after="0"/>
        <w:tabs>
          <w:tab w:leader="none" w:pos="11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transfer is effected pursuant to the Shelf Registration Statement in accordance with the Registration Rights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2" w:name="page43"/>
    <w:bookmarkEnd w:id="42"/>
    <w:p>
      <w:pPr>
        <w:ind w:left="460" w:right="500" w:firstLine="443"/>
        <w:spacing w:after="0" w:line="277" w:lineRule="auto"/>
        <w:tabs>
          <w:tab w:leader="none" w:pos="1183"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transfer is effected by a Broker-Dealer pursuant to the Exchange Offer Registration Statement in accordance with the Registration Rights Agreement; or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17" w:lineRule="exact"/>
        <w:rPr>
          <w:rFonts w:ascii="Arial" w:cs="Arial" w:eastAsia="Arial" w:hAnsi="Arial"/>
          <w:sz w:val="18"/>
          <w:szCs w:val="18"/>
          <w:color w:val="auto"/>
        </w:rPr>
      </w:pPr>
    </w:p>
    <w:p>
      <w:pPr>
        <w:ind w:left="920" w:right="360" w:firstLine="421"/>
        <w:spacing w:after="0" w:line="342" w:lineRule="auto"/>
        <w:tabs>
          <w:tab w:leader="none" w:pos="1555"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6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ind w:right="580" w:firstLine="446"/>
        <w:spacing w:after="0" w:line="270" w:lineRule="auto"/>
        <w:tabs>
          <w:tab w:leader="none" w:pos="693"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Unrestricted Global Notes to Unrestricted Definitive Notes. </w:t>
      </w:r>
      <w:r>
        <w:rPr>
          <w:rFonts w:ascii="Arial" w:cs="Arial" w:eastAsia="Arial" w:hAnsi="Arial"/>
          <w:sz w:val="17"/>
          <w:szCs w:val="17"/>
          <w:color w:val="auto"/>
        </w:rPr>
        <w:t>If any holder of a beneficial interest in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2.06(h)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77" w:lineRule="exact"/>
        <w:rPr>
          <w:rFonts w:ascii="Arial" w:cs="Arial" w:eastAsia="Arial" w:hAnsi="Arial"/>
          <w:sz w:val="17"/>
          <w:szCs w:val="17"/>
          <w:color w:val="auto"/>
        </w:rPr>
      </w:pPr>
    </w:p>
    <w:p>
      <w:pPr>
        <w:ind w:left="720" w:hanging="256"/>
        <w:spacing w:after="0"/>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sz w:val="20"/>
          <w:szCs w:val="20"/>
          <w:color w:val="auto"/>
        </w:rPr>
      </w:pPr>
    </w:p>
    <w:p>
      <w:pPr>
        <w:ind w:right="260" w:firstLine="464"/>
        <w:spacing w:after="0" w:line="286"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Restricted Global Notes. </w:t>
      </w:r>
      <w:r>
        <w:rPr>
          <w:rFonts w:ascii="Arial" w:cs="Arial" w:eastAsia="Arial" w:hAnsi="Arial"/>
          <w:sz w:val="17"/>
          <w:szCs w:val="17"/>
          <w:color w:val="auto"/>
        </w:rPr>
        <w:t>If any Holder of a Restricted Definitive Note proposes to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57" w:lineRule="exact"/>
        <w:rPr>
          <w:rFonts w:ascii="Arial" w:cs="Arial" w:eastAsia="Arial" w:hAnsi="Arial"/>
          <w:sz w:val="17"/>
          <w:szCs w:val="17"/>
          <w:color w:val="auto"/>
        </w:rPr>
      </w:pPr>
    </w:p>
    <w:p>
      <w:pPr>
        <w:ind w:left="460" w:right="540" w:firstLine="443"/>
        <w:spacing w:after="0" w:line="277" w:lineRule="auto"/>
        <w:tabs>
          <w:tab w:leader="none" w:pos="1193"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83"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1180" w:hanging="277"/>
        <w:spacing w:after="0"/>
        <w:tabs>
          <w:tab w:leader="none" w:pos="11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 904, a certificate to the effect set forth in Exhibit B hereto, including the certifications in item (2) thereof;</w:t>
      </w:r>
    </w:p>
    <w:p>
      <w:pPr>
        <w:spacing w:after="0" w:line="103" w:lineRule="exact"/>
        <w:rPr>
          <w:sz w:val="20"/>
          <w:szCs w:val="20"/>
          <w:color w:val="auto"/>
        </w:rPr>
      </w:pPr>
    </w:p>
    <w:p>
      <w:pPr>
        <w:ind w:left="460" w:right="280" w:firstLine="443"/>
        <w:spacing w:after="0" w:line="308" w:lineRule="auto"/>
        <w:tabs>
          <w:tab w:leader="none" w:pos="1193"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3" w:name="page44"/>
    <w:bookmarkEnd w:id="43"/>
    <w:p>
      <w:pPr>
        <w:ind w:left="460" w:right="40" w:firstLine="443"/>
        <w:spacing w:after="0" w:line="264" w:lineRule="auto"/>
        <w:tabs>
          <w:tab w:leader="none" w:pos="1173"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the Company or any of its Subsidiaries, a certificate to the effect set forth in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 hereto, including the certifications in item (3)(b) thereof; or</w:t>
      </w:r>
    </w:p>
    <w:p>
      <w:pPr>
        <w:spacing w:after="0" w:line="103" w:lineRule="exact"/>
        <w:rPr>
          <w:sz w:val="20"/>
          <w:szCs w:val="20"/>
          <w:color w:val="auto"/>
        </w:rPr>
      </w:pPr>
    </w:p>
    <w:p>
      <w:pPr>
        <w:ind w:left="460" w:right="120" w:firstLine="443"/>
        <w:spacing w:after="0" w:line="277" w:lineRule="auto"/>
        <w:tabs>
          <w:tab w:leader="none" w:pos="11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181" w:lineRule="exact"/>
        <w:rPr>
          <w:sz w:val="20"/>
          <w:szCs w:val="20"/>
          <w:color w:val="auto"/>
        </w:rPr>
      </w:pPr>
    </w:p>
    <w:p>
      <w:pPr>
        <w:ind w:right="140" w:firstLine="46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Unrestricted Global Notes. </w:t>
      </w:r>
      <w:r>
        <w:rPr>
          <w:rFonts w:ascii="Arial" w:cs="Arial" w:eastAsia="Arial" w:hAnsi="Arial"/>
          <w:sz w:val="18"/>
          <w:szCs w:val="18"/>
          <w:color w:val="auto"/>
        </w:rPr>
        <w:t>A Holder of a Restricted Definitive Note may exchange such Note</w:t>
      </w:r>
      <w:r>
        <w:rPr>
          <w:rFonts w:ascii="Arial" w:cs="Arial" w:eastAsia="Arial" w:hAnsi="Arial"/>
          <w:sz w:val="18"/>
          <w:szCs w:val="18"/>
          <w:i w:val="1"/>
          <w:iCs w:val="1"/>
          <w:color w:val="auto"/>
        </w:rPr>
        <w:t xml:space="preserve"> </w:t>
      </w:r>
      <w:r>
        <w:rPr>
          <w:rFonts w:ascii="Arial" w:cs="Arial" w:eastAsia="Arial" w:hAnsi="Arial"/>
          <w:sz w:val="18"/>
          <w:szCs w:val="18"/>
          <w:color w:val="auto"/>
        </w:rPr>
        <w:t>for a beneficial interest in an Unrestricted Global Note or transfer such Restricted Definitive Note to a Person who takes delivery thereof in the form of a beneficial interest in an Unrestricted Global Note only if:</w:t>
      </w:r>
    </w:p>
    <w:p>
      <w:pPr>
        <w:spacing w:after="0" w:line="73" w:lineRule="exact"/>
        <w:rPr>
          <w:rFonts w:ascii="Arial" w:cs="Arial" w:eastAsia="Arial" w:hAnsi="Arial"/>
          <w:sz w:val="18"/>
          <w:szCs w:val="18"/>
          <w:color w:val="auto"/>
        </w:rPr>
      </w:pPr>
    </w:p>
    <w:p>
      <w:pPr>
        <w:jc w:val="both"/>
        <w:ind w:left="460" w:firstLine="443"/>
        <w:spacing w:after="0" w:line="312" w:lineRule="auto"/>
        <w:tabs>
          <w:tab w:leader="none" w:pos="1193" w:val="left"/>
        </w:tabs>
        <w:numPr>
          <w:ilvl w:val="1"/>
          <w:numId w:val="56"/>
        </w:numPr>
        <w:rPr>
          <w:rFonts w:ascii="Arial" w:cs="Arial" w:eastAsia="Arial" w:hAnsi="Arial"/>
          <w:sz w:val="16"/>
          <w:szCs w:val="16"/>
          <w:color w:val="auto"/>
        </w:rPr>
      </w:pPr>
      <w:r>
        <w:rPr>
          <w:rFonts w:ascii="Arial" w:cs="Arial" w:eastAsia="Arial" w:hAnsi="Arial"/>
          <w:sz w:val="16"/>
          <w:szCs w:val="16"/>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38" w:lineRule="exact"/>
        <w:rPr>
          <w:rFonts w:ascii="Arial" w:cs="Arial" w:eastAsia="Arial" w:hAnsi="Arial"/>
          <w:sz w:val="16"/>
          <w:szCs w:val="16"/>
          <w:color w:val="auto"/>
        </w:rPr>
      </w:pPr>
    </w:p>
    <w:p>
      <w:pPr>
        <w:ind w:left="1180" w:hanging="277"/>
        <w:spacing w:after="0"/>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transfer is effected pursuant to the Shelf Registration Statement in accordance with the Registration Rights Agreement;</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83"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transfer is effected by a Broker-Dealer pursuant to the Exchange Offer Registration Statement in accordance with the Registration Rights Agreement; or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117" w:lineRule="exact"/>
        <w:rPr>
          <w:rFonts w:ascii="Arial" w:cs="Arial" w:eastAsia="Arial" w:hAnsi="Arial"/>
          <w:sz w:val="18"/>
          <w:szCs w:val="18"/>
          <w:color w:val="auto"/>
        </w:rPr>
      </w:pPr>
    </w:p>
    <w:p>
      <w:pPr>
        <w:ind w:left="920" w:right="500" w:firstLine="421"/>
        <w:spacing w:after="0" w:line="277" w:lineRule="auto"/>
        <w:tabs>
          <w:tab w:leader="none" w:pos="1555"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62" w:lineRule="exact"/>
        <w:rPr>
          <w:rFonts w:ascii="Arial" w:cs="Arial" w:eastAsia="Arial" w:hAnsi="Arial"/>
          <w:sz w:val="18"/>
          <w:szCs w:val="18"/>
          <w:color w:val="auto"/>
        </w:rPr>
      </w:pPr>
    </w:p>
    <w:p>
      <w:pPr>
        <w:ind w:left="920" w:right="180" w:firstLine="421"/>
        <w:spacing w:after="0" w:line="264" w:lineRule="auto"/>
        <w:tabs>
          <w:tab w:leader="none" w:pos="1605"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4" w:name="page45"/>
    <w:bookmarkEnd w:id="44"/>
    <w:p>
      <w:pPr>
        <w:ind w:right="60" w:firstLine="464"/>
        <w:spacing w:after="0" w:line="279" w:lineRule="auto"/>
        <w:tabs>
          <w:tab w:leader="none" w:pos="711"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Unrestricted Definitive Notes to Beneficial Interests in Unrestricted Global Notes. </w:t>
      </w:r>
      <w:r>
        <w:rPr>
          <w:rFonts w:ascii="Arial" w:cs="Arial" w:eastAsia="Arial" w:hAnsi="Arial"/>
          <w:sz w:val="17"/>
          <w:szCs w:val="17"/>
          <w:color w:val="auto"/>
        </w:rPr>
        <w:t>A Holder of an Unrestricted Definitive Note may exchange such</w:t>
      </w:r>
      <w:r>
        <w:rPr>
          <w:rFonts w:ascii="Arial" w:cs="Arial" w:eastAsia="Arial" w:hAnsi="Arial"/>
          <w:sz w:val="17"/>
          <w:szCs w:val="17"/>
          <w:i w:val="1"/>
          <w:iCs w:val="1"/>
          <w:color w:val="auto"/>
        </w:rPr>
        <w:t xml:space="preserve"> </w:t>
      </w:r>
      <w:r>
        <w:rPr>
          <w:rFonts w:ascii="Arial" w:cs="Arial" w:eastAsia="Arial" w:hAnsi="Arial"/>
          <w:sz w:val="17"/>
          <w:szCs w:val="17"/>
          <w:color w:val="auto"/>
        </w:rPr>
        <w:t>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71" w:lineRule="exact"/>
        <w:rPr>
          <w:sz w:val="20"/>
          <w:szCs w:val="20"/>
          <w:color w:val="auto"/>
        </w:rPr>
      </w:pPr>
    </w:p>
    <w:p>
      <w:pPr>
        <w:ind w:right="220" w:firstLine="447"/>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(2)(D)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87" w:lineRule="exact"/>
        <w:rPr>
          <w:sz w:val="20"/>
          <w:szCs w:val="20"/>
          <w:color w:val="auto"/>
        </w:rPr>
      </w:pPr>
    </w:p>
    <w:p>
      <w:pPr>
        <w:ind w:right="160" w:firstLine="464"/>
        <w:spacing w:after="0" w:line="297" w:lineRule="auto"/>
        <w:tabs>
          <w:tab w:leader="none" w:pos="701"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50" w:lineRule="exact"/>
        <w:rPr>
          <w:rFonts w:ascii="Arial" w:cs="Arial" w:eastAsia="Arial" w:hAnsi="Arial"/>
          <w:sz w:val="16"/>
          <w:szCs w:val="16"/>
          <w:color w:val="auto"/>
        </w:rPr>
      </w:pPr>
    </w:p>
    <w:p>
      <w:pPr>
        <w:ind w:left="460" w:right="60" w:firstLine="443"/>
        <w:spacing w:after="0" w:line="277" w:lineRule="auto"/>
        <w:tabs>
          <w:tab w:leader="none" w:pos="1153"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Restricted Definitive Notes to Restricted Definitive Notes</w:t>
      </w:r>
      <w:r>
        <w:rPr>
          <w:rFonts w:ascii="Arial" w:cs="Arial" w:eastAsia="Arial" w:hAnsi="Arial"/>
          <w:sz w:val="18"/>
          <w:szCs w:val="18"/>
          <w:color w:val="auto"/>
        </w:rPr>
        <w:t>. Any Restricted Definitive Note may be transferred to and registered in the name of</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take delivery thereof in the form of a Restricted Definitive Note if the Registrar receives the following:</w:t>
      </w:r>
    </w:p>
    <w:p>
      <w:pPr>
        <w:spacing w:after="0" w:line="62" w:lineRule="exact"/>
        <w:rPr>
          <w:rFonts w:ascii="Arial" w:cs="Arial" w:eastAsia="Arial" w:hAnsi="Arial"/>
          <w:sz w:val="18"/>
          <w:szCs w:val="18"/>
          <w:color w:val="auto"/>
        </w:rPr>
      </w:pPr>
    </w:p>
    <w:p>
      <w:pPr>
        <w:ind w:left="920" w:right="560" w:firstLine="421"/>
        <w:spacing w:after="0" w:line="277" w:lineRule="auto"/>
        <w:tabs>
          <w:tab w:leader="none" w:pos="1635" w:val="left"/>
        </w:tabs>
        <w:numPr>
          <w:ilvl w:val="3"/>
          <w:numId w:val="58"/>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920" w:right="340" w:firstLine="421"/>
        <w:spacing w:after="0" w:line="277" w:lineRule="auto"/>
        <w:tabs>
          <w:tab w:leader="none" w:pos="1625" w:val="left"/>
        </w:tabs>
        <w:numPr>
          <w:ilvl w:val="3"/>
          <w:numId w:val="58"/>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920" w:firstLine="421"/>
        <w:spacing w:after="0" w:line="291" w:lineRule="auto"/>
        <w:tabs>
          <w:tab w:leader="none" w:pos="1625" w:val="left"/>
        </w:tabs>
        <w:numPr>
          <w:ilvl w:val="3"/>
          <w:numId w:val="58"/>
        </w:numPr>
        <w:rPr>
          <w:rFonts w:ascii="Arial" w:cs="Arial" w:eastAsia="Arial" w:hAnsi="Arial"/>
          <w:sz w:val="16"/>
          <w:szCs w:val="16"/>
          <w:color w:val="auto"/>
        </w:rPr>
      </w:pPr>
      <w:r>
        <w:rPr>
          <w:rFonts w:ascii="Arial" w:cs="Arial" w:eastAsia="Arial" w:hAnsi="Arial"/>
          <w:sz w:val="16"/>
          <w:szCs w:val="16"/>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w:t>
      </w:r>
    </w:p>
    <w:p>
      <w:pPr>
        <w:ind w:left="1180" w:hanging="259"/>
        <w:spacing w:after="0"/>
        <w:tabs>
          <w:tab w:leader="none" w:pos="11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102" w:lineRule="exact"/>
        <w:rPr>
          <w:rFonts w:ascii="Arial" w:cs="Arial" w:eastAsia="Arial" w:hAnsi="Arial"/>
          <w:sz w:val="18"/>
          <w:szCs w:val="18"/>
          <w:color w:val="auto"/>
        </w:rPr>
      </w:pPr>
    </w:p>
    <w:p>
      <w:pPr>
        <w:ind w:left="460" w:right="160" w:firstLine="443"/>
        <w:spacing w:after="0" w:line="342" w:lineRule="auto"/>
        <w:tabs>
          <w:tab w:leader="none" w:pos="1153"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Restricted Definitive Notes to Unrestricted Definitive Notes</w:t>
      </w:r>
      <w:r>
        <w:rPr>
          <w:rFonts w:ascii="Arial" w:cs="Arial" w:eastAsia="Arial" w:hAnsi="Arial"/>
          <w:sz w:val="16"/>
          <w:szCs w:val="16"/>
          <w:color w:val="auto"/>
        </w:rPr>
        <w:t>. Any Restricted Definitive Note may be exchanged by the Holder thereof for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Definitive Note or transferred to a Person or Persons who take delivery thereof in the form of an Unrestricted Definitive Note if:</w:t>
      </w:r>
    </w:p>
    <w:p>
      <w:pPr>
        <w:spacing w:after="0" w:line="15" w:lineRule="exact"/>
        <w:rPr>
          <w:rFonts w:ascii="Arial" w:cs="Arial" w:eastAsia="Arial" w:hAnsi="Arial"/>
          <w:sz w:val="16"/>
          <w:szCs w:val="16"/>
          <w:color w:val="auto"/>
        </w:rPr>
      </w:pPr>
    </w:p>
    <w:p>
      <w:pPr>
        <w:jc w:val="both"/>
        <w:ind w:left="920" w:right="20" w:firstLine="421"/>
        <w:spacing w:after="0" w:line="259" w:lineRule="auto"/>
        <w:tabs>
          <w:tab w:leader="none" w:pos="1635" w:val="left"/>
        </w:tabs>
        <w:numPr>
          <w:ilvl w:val="3"/>
          <w:numId w:val="58"/>
        </w:numPr>
        <w:rPr>
          <w:rFonts w:ascii="Arial" w:cs="Arial" w:eastAsia="Arial" w:hAnsi="Arial"/>
          <w:sz w:val="18"/>
          <w:szCs w:val="18"/>
          <w:color w:val="auto"/>
        </w:rPr>
      </w:pPr>
      <w:r>
        <w:rPr>
          <w:rFonts w:ascii="Arial" w:cs="Arial" w:eastAsia="Arial" w:hAnsi="Arial"/>
          <w:sz w:val="18"/>
          <w:szCs w:val="18"/>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Company;</w:t>
      </w:r>
    </w:p>
    <w:p>
      <w:pPr>
        <w:spacing w:after="0" w:line="78" w:lineRule="exact"/>
        <w:rPr>
          <w:rFonts w:ascii="Arial" w:cs="Arial" w:eastAsia="Arial" w:hAnsi="Arial"/>
          <w:sz w:val="18"/>
          <w:szCs w:val="18"/>
          <w:color w:val="auto"/>
        </w:rPr>
      </w:pPr>
    </w:p>
    <w:p>
      <w:pPr>
        <w:ind w:left="1620" w:hanging="279"/>
        <w:spacing w:after="0"/>
        <w:tabs>
          <w:tab w:leader="none" w:pos="1620" w:val="left"/>
        </w:tabs>
        <w:numPr>
          <w:ilvl w:val="3"/>
          <w:numId w:val="58"/>
        </w:numPr>
        <w:rPr>
          <w:rFonts w:ascii="Arial" w:cs="Arial" w:eastAsia="Arial" w:hAnsi="Arial"/>
          <w:sz w:val="17"/>
          <w:szCs w:val="17"/>
          <w:color w:val="auto"/>
        </w:rPr>
      </w:pPr>
      <w:r>
        <w:rPr>
          <w:rFonts w:ascii="Arial" w:cs="Arial" w:eastAsia="Arial" w:hAnsi="Arial"/>
          <w:sz w:val="17"/>
          <w:szCs w:val="17"/>
          <w:color w:val="auto"/>
        </w:rPr>
        <w:t>any such transfer is effected pursuant to the Shelf Registration Statement in accordance with the Registration Rights Agreement;</w:t>
      </w:r>
    </w:p>
    <w:p>
      <w:pPr>
        <w:spacing w:after="0" w:line="128" w:lineRule="exact"/>
        <w:rPr>
          <w:rFonts w:ascii="Arial" w:cs="Arial" w:eastAsia="Arial" w:hAnsi="Arial"/>
          <w:sz w:val="17"/>
          <w:szCs w:val="17"/>
          <w:color w:val="auto"/>
        </w:rPr>
      </w:pPr>
    </w:p>
    <w:p>
      <w:pPr>
        <w:ind w:left="920" w:right="640" w:firstLine="421"/>
        <w:spacing w:after="0" w:line="277" w:lineRule="auto"/>
        <w:tabs>
          <w:tab w:leader="none" w:pos="1625" w:val="left"/>
        </w:tabs>
        <w:numPr>
          <w:ilvl w:val="3"/>
          <w:numId w:val="58"/>
        </w:numPr>
        <w:rPr>
          <w:rFonts w:ascii="Arial" w:cs="Arial" w:eastAsia="Arial" w:hAnsi="Arial"/>
          <w:sz w:val="18"/>
          <w:szCs w:val="18"/>
          <w:color w:val="auto"/>
        </w:rPr>
      </w:pPr>
      <w:r>
        <w:rPr>
          <w:rFonts w:ascii="Arial" w:cs="Arial" w:eastAsia="Arial" w:hAnsi="Arial"/>
          <w:sz w:val="18"/>
          <w:szCs w:val="18"/>
          <w:color w:val="auto"/>
        </w:rPr>
        <w:t>any such transfer is effected by a Broker-Dealer pursuant to the Exchange Offer Registration Statement in accordance with the Registration Rights Agreement;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45" w:name="page46"/>
    <w:bookmarkEnd w:id="45"/>
    <w:p>
      <w:pPr>
        <w:ind w:left="1640" w:hanging="299"/>
        <w:spacing w:after="0"/>
        <w:tabs>
          <w:tab w:leader="none" w:pos="1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Registrar receives the following:</w:t>
      </w:r>
    </w:p>
    <w:p>
      <w:pPr>
        <w:spacing w:after="0" w:line="117" w:lineRule="exact"/>
        <w:rPr>
          <w:rFonts w:ascii="Arial" w:cs="Arial" w:eastAsia="Arial" w:hAnsi="Arial"/>
          <w:sz w:val="18"/>
          <w:szCs w:val="18"/>
          <w:color w:val="auto"/>
        </w:rPr>
      </w:pPr>
    </w:p>
    <w:p>
      <w:pPr>
        <w:ind w:left="1500" w:right="600" w:firstLine="389"/>
        <w:spacing w:after="0" w:line="308" w:lineRule="auto"/>
        <w:tabs>
          <w:tab w:leader="none" w:pos="2112"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38" w:lineRule="exact"/>
        <w:rPr>
          <w:rFonts w:ascii="Arial" w:cs="Arial" w:eastAsia="Arial" w:hAnsi="Arial"/>
          <w:sz w:val="17"/>
          <w:szCs w:val="17"/>
          <w:color w:val="auto"/>
        </w:rPr>
      </w:pPr>
    </w:p>
    <w:p>
      <w:pPr>
        <w:ind w:left="1500" w:right="40" w:firstLine="389"/>
        <w:spacing w:after="0" w:line="264" w:lineRule="auto"/>
        <w:tabs>
          <w:tab w:leader="none" w:pos="2162"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3"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 w:lineRule="exact"/>
        <w:rPr>
          <w:sz w:val="20"/>
          <w:szCs w:val="20"/>
          <w:color w:val="auto"/>
        </w:rPr>
      </w:pPr>
    </w:p>
    <w:p>
      <w:pPr>
        <w:ind w:left="460" w:firstLine="443"/>
        <w:spacing w:after="0" w:line="264" w:lineRule="auto"/>
        <w:tabs>
          <w:tab w:leader="none" w:pos="1153"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Unrestricted Definitive Notes to Unrestricted Definitive Notes</w:t>
      </w:r>
      <w:r>
        <w:rPr>
          <w:rFonts w:ascii="Arial" w:cs="Arial" w:eastAsia="Arial" w:hAnsi="Arial"/>
          <w:sz w:val="18"/>
          <w:szCs w:val="18"/>
          <w:color w:val="auto"/>
        </w:rPr>
        <w:t>. A Holder of Unrestricted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1" w:lineRule="exact"/>
        <w:rPr>
          <w:rFonts w:ascii="Arial" w:cs="Arial" w:eastAsia="Arial" w:hAnsi="Arial"/>
          <w:sz w:val="18"/>
          <w:szCs w:val="18"/>
          <w:color w:val="auto"/>
        </w:rPr>
      </w:pPr>
    </w:p>
    <w:p>
      <w:pPr>
        <w:ind w:right="260" w:firstLine="464"/>
        <w:spacing w:after="0" w:line="277" w:lineRule="auto"/>
        <w:tabs>
          <w:tab w:leader="none" w:pos="68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Upon the occurrence of the Exchange Offer in accordance with the Registration Rights Agreement, the Company will issue and,</w:t>
      </w:r>
      <w:r>
        <w:rPr>
          <w:rFonts w:ascii="Arial" w:cs="Arial" w:eastAsia="Arial" w:hAnsi="Arial"/>
          <w:sz w:val="18"/>
          <w:szCs w:val="18"/>
          <w:i w:val="1"/>
          <w:iCs w:val="1"/>
          <w:color w:val="auto"/>
        </w:rPr>
        <w:t xml:space="preserve"> </w:t>
      </w:r>
      <w:r>
        <w:rPr>
          <w:rFonts w:ascii="Arial" w:cs="Arial" w:eastAsia="Arial" w:hAnsi="Arial"/>
          <w:sz w:val="18"/>
          <w:szCs w:val="18"/>
          <w:color w:val="auto"/>
        </w:rPr>
        <w:t>upon receipt of an Authentication Order in accordance with Section 2.02 hereof, the Trustee will authenticate:</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1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 and</w:t>
      </w:r>
    </w:p>
    <w:p>
      <w:pPr>
        <w:spacing w:after="0" w:line="78" w:lineRule="exact"/>
        <w:rPr>
          <w:rFonts w:ascii="Arial" w:cs="Arial" w:eastAsia="Arial" w:hAnsi="Arial"/>
          <w:sz w:val="18"/>
          <w:szCs w:val="18"/>
          <w:color w:val="auto"/>
        </w:rPr>
      </w:pPr>
    </w:p>
    <w:p>
      <w:pPr>
        <w:ind w:left="460" w:right="120" w:firstLine="443"/>
        <w:spacing w:after="0" w:line="312" w:lineRule="auto"/>
        <w:tabs>
          <w:tab w:leader="none" w:pos="1153" w:val="left"/>
        </w:tabs>
        <w:numPr>
          <w:ilvl w:val="1"/>
          <w:numId w:val="61"/>
        </w:numPr>
        <w:rPr>
          <w:rFonts w:ascii="Arial" w:cs="Arial" w:eastAsia="Arial" w:hAnsi="Arial"/>
          <w:sz w:val="16"/>
          <w:szCs w:val="16"/>
          <w:color w:val="auto"/>
        </w:rPr>
      </w:pPr>
      <w:r>
        <w:rPr>
          <w:rFonts w:ascii="Arial" w:cs="Arial" w:eastAsia="Arial" w:hAnsi="Arial"/>
          <w:sz w:val="16"/>
          <w:szCs w:val="16"/>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 (C) they are not affiliates (as defined in Rule 144) of the Company.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Concurrently with the issuance of such Notes, the Trustee will cause the aggregate principal amount of the applicable Restricted Global Notes to be reduced accordingly, and the Company will execute and the Trustee will authenticate and deliver to the Persons designated by the Holders of Definitive Notes so accepted Unrestricted Definitive Notes in the appropriate principal amount.</w:t>
      </w:r>
    </w:p>
    <w:p>
      <w:pPr>
        <w:spacing w:after="0" w:line="181" w:lineRule="exact"/>
        <w:rPr>
          <w:sz w:val="20"/>
          <w:szCs w:val="20"/>
          <w:color w:val="auto"/>
        </w:rPr>
      </w:pPr>
    </w:p>
    <w:p>
      <w:pPr>
        <w:ind w:right="34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stated otherwise in the applicable provisions of this Indenture.</w:t>
      </w:r>
    </w:p>
    <w:p>
      <w:pPr>
        <w:spacing w:after="0" w:line="279" w:lineRule="exact"/>
        <w:rPr>
          <w:sz w:val="20"/>
          <w:szCs w:val="20"/>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117" w:lineRule="exact"/>
        <w:rPr>
          <w:sz w:val="20"/>
          <w:szCs w:val="20"/>
          <w:color w:val="auto"/>
        </w:rPr>
      </w:pPr>
    </w:p>
    <w:p>
      <w:pPr>
        <w:ind w:left="460" w:right="280" w:firstLine="443"/>
        <w:spacing w:after="0" w:line="277" w:lineRule="auto"/>
        <w:tabs>
          <w:tab w:leader="none" w:pos="11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62"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“THIS NOTE (OR ITS PREDECESSOR) WAS ORIGINALLY ISSUED IN A TRANSACTION EXEMPT FROM REGISTRATION UNDER THE UNITED STATES SECURITIES ACT OF 1933 (THE “SECURITIES ACT”), AND THIS NOTE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46" w:name="page47"/>
    <w:bookmarkEnd w:id="46"/>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 OFFERED, SOLD OR OTHERWISE TRANSFERRED IN THE ABSENCE OF SUCH REGISTRATION OR AN APPLICABLE EXEMPTION THEREFROM. EACH PURCHASER OF THIS NOTE IS HEREBY NOTIFIED THAT THE SELLER OF THIS NOTE MAY BE RELYING ON THE EXEMPTION FROM THE PROVISIONS OF SECTION 5 OF THE SECURITIES ACT PROVIDED BY RULE 144A THEREUNDER.</w:t>
      </w:r>
    </w:p>
    <w:p>
      <w:pPr>
        <w:spacing w:after="0" w:line="79" w:lineRule="exact"/>
        <w:rPr>
          <w:sz w:val="20"/>
          <w:szCs w:val="20"/>
          <w:color w:val="auto"/>
        </w:rPr>
      </w:pPr>
    </w:p>
    <w:p>
      <w:pPr>
        <w:ind w:left="460" w:right="60"/>
        <w:spacing w:after="0" w:line="267" w:lineRule="auto"/>
        <w:rPr>
          <w:sz w:val="20"/>
          <w:szCs w:val="20"/>
          <w:color w:val="auto"/>
        </w:rPr>
      </w:pPr>
      <w:r>
        <w:rPr>
          <w:rFonts w:ascii="Arial" w:cs="Arial" w:eastAsia="Arial" w:hAnsi="Arial"/>
          <w:sz w:val="17"/>
          <w:szCs w:val="17"/>
          <w:color w:val="auto"/>
        </w:rPr>
        <w:t>THE HOLDER OF THIS NOTE AGREES FOR THE BENEFIT OF THE ISSUER THAT (A) THIS NOTE MAY BE OFFERED, RESOLD, PLEDGED OR OTHERWISE TRANSFERRED, ONLY (I) TO THE ISSUER, (II) IN THE UNITED STATES TO A PERSON WHOM THE SELLER REASONABLY BELIEVES IS A QUALIFIED INSTITUTIONAL BUYER (AS DEFINED IN RULE 144A UNDER THE SECURITIES ACT) IN A TRANSACTION MEETING THE REQUIREMENTS OF RULE 144A, (III) TO AN INSTITUTIONAL “ACCREDITED INVESTOR” WITHIN THE MEANING OF RULE 501(a) (1), (2), (3), (7) AND (8) UNDER THE SECURITIES ACT THAT IS AN INSTITUTIONAL INVESTOR ACQUIRING THE NOTE FOR ITS OWN ACCOUNT OR FOR THE ACCOUNT OF SUCH AN INSTITUTIONAL “ACCREDITED INVESTOR,” IN EACH CASE IN A MINIMUM PRINCIPAL AMOUNT OF $250,000, (IV) OUTSIDE THE UNITED STATES IN AN OFFSHORE TRANSACTION IN ACCORDANCE WITH RULE 904 UNDER THE SECURITIES ACT,</w:t>
      </w:r>
    </w:p>
    <w:p>
      <w:pPr>
        <w:spacing w:after="0" w:line="3" w:lineRule="exact"/>
        <w:rPr>
          <w:sz w:val="20"/>
          <w:szCs w:val="20"/>
          <w:color w:val="auto"/>
        </w:rPr>
      </w:pPr>
    </w:p>
    <w:p>
      <w:pPr>
        <w:ind w:left="460" w:right="140" w:firstLine="1"/>
        <w:spacing w:after="0" w:line="253" w:lineRule="auto"/>
        <w:tabs>
          <w:tab w:leader="none" w:pos="755" w:val="left"/>
        </w:tabs>
        <w:numPr>
          <w:ilvl w:val="1"/>
          <w:numId w:val="65"/>
        </w:numPr>
        <w:rPr>
          <w:rFonts w:ascii="Arial" w:cs="Arial" w:eastAsia="Arial" w:hAnsi="Arial"/>
          <w:sz w:val="18"/>
          <w:szCs w:val="18"/>
          <w:color w:val="auto"/>
        </w:rPr>
      </w:pPr>
      <w:r>
        <w:rPr>
          <w:rFonts w:ascii="Arial" w:cs="Arial" w:eastAsia="Arial" w:hAnsi="Arial"/>
          <w:sz w:val="18"/>
          <w:szCs w:val="18"/>
          <w:color w:val="auto"/>
        </w:rPr>
        <w:t>PURSUANT TO AN EXEMPTION FROM REGISTRATION UNDER THE SECURITIES ACT PROVIDED BY RULE 144 THEREUNDER (IF AVAILABLE) OR (VI) PURSUANT TO AN EFFECTIVE REGISTRATION STATEMENT UNDER THE SECURITIES ACT, IN EACH OF CASES (I) THROUGH (VI) IN ACCORDANCE WITH ANY APPLICABLE SECURITIES LAWS OF ANY STATE OF THE UNITED STATES, AND (B) THE HOLDER WILL, AND EACH SUBSEQUENT HOLDER IS REQUIRED TO, NOTIFY ANY PURCHASER OF THIS NOTE FROM IT OF THE RESALE RESTRICTIONS REFERRED TO IN (A) ABOVE.”</w:t>
      </w:r>
    </w:p>
    <w:p>
      <w:pPr>
        <w:spacing w:after="0" w:line="83" w:lineRule="exact"/>
        <w:rPr>
          <w:rFonts w:ascii="Arial" w:cs="Arial" w:eastAsia="Arial" w:hAnsi="Arial"/>
          <w:sz w:val="18"/>
          <w:szCs w:val="18"/>
          <w:color w:val="auto"/>
        </w:rPr>
      </w:pPr>
    </w:p>
    <w:p>
      <w:pPr>
        <w:ind w:left="720" w:hanging="277"/>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(c)(2), (c)(3), (d)(2), (d)(3), (e)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(2), (e)(3) or (f) of this Section 2.06 (and all Notes issued in exchange therefor or substitution thereof) will not bear the Private Placement Legend.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117"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NN, INC. (THE “COMPANY”).</w:t>
      </w:r>
    </w:p>
    <w:p>
      <w:pPr>
        <w:spacing w:after="0" w:line="7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700" w:top="274" w:right="279" w:bottom="1440" w:gutter="0" w:footer="0" w:header="0"/>
        </w:sectPr>
      </w:pPr>
    </w:p>
    <w:bookmarkStart w:id="47" w:name="page48"/>
    <w:bookmarkEnd w:id="47"/>
    <w:p>
      <w:pPr>
        <w:ind w:left="8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ind w:left="-60" w:firstLine="464"/>
        <w:spacing w:after="0" w:line="270" w:lineRule="auto"/>
        <w:tabs>
          <w:tab w:leader="none" w:pos="651"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 exchanged for</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the Schedule of Exchanges of Interests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the Schedule of Exchanges of Interests on such Global Note by the Trustee or by the Depositary at the direction of the Trustee to reflect such increase.</w:t>
      </w:r>
    </w:p>
    <w:p>
      <w:pPr>
        <w:spacing w:after="0" w:line="181" w:lineRule="exact"/>
        <w:rPr>
          <w:rFonts w:ascii="Arial" w:cs="Arial" w:eastAsia="Arial" w:hAnsi="Arial"/>
          <w:sz w:val="17"/>
          <w:szCs w:val="17"/>
          <w:color w:val="auto"/>
        </w:rPr>
      </w:pPr>
    </w:p>
    <w:p>
      <w:pPr>
        <w:ind w:left="620" w:hanging="216"/>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r>
        <w:rPr>
          <w:rFonts w:ascii="Arial" w:cs="Arial" w:eastAsia="Arial" w:hAnsi="Arial"/>
          <w:sz w:val="18"/>
          <w:szCs w:val="18"/>
          <w:color w:val="auto"/>
        </w:rPr>
        <w:t>.</w:t>
      </w:r>
    </w:p>
    <w:p>
      <w:pPr>
        <w:spacing w:after="0" w:line="225" w:lineRule="exact"/>
        <w:rPr>
          <w:sz w:val="20"/>
          <w:szCs w:val="20"/>
          <w:color w:val="auto"/>
        </w:rPr>
      </w:pPr>
    </w:p>
    <w:p>
      <w:pPr>
        <w:ind w:left="-60" w:right="140" w:firstLine="464"/>
        <w:spacing w:after="0" w:line="277"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70" w:lineRule="exact"/>
        <w:rPr>
          <w:rFonts w:ascii="Arial" w:cs="Arial" w:eastAsia="Arial" w:hAnsi="Arial"/>
          <w:sz w:val="18"/>
          <w:szCs w:val="18"/>
          <w:color w:val="auto"/>
        </w:rPr>
      </w:pPr>
    </w:p>
    <w:p>
      <w:pPr>
        <w:ind w:left="-60" w:right="180" w:firstLine="464"/>
        <w:spacing w:after="0" w:line="259"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4.15 and 9.05 hereof).</w:t>
      </w:r>
    </w:p>
    <w:p>
      <w:pPr>
        <w:spacing w:after="0" w:line="186" w:lineRule="exact"/>
        <w:rPr>
          <w:rFonts w:ascii="Arial" w:cs="Arial" w:eastAsia="Arial" w:hAnsi="Arial"/>
          <w:sz w:val="18"/>
          <w:szCs w:val="18"/>
          <w:color w:val="auto"/>
        </w:rPr>
      </w:pPr>
    </w:p>
    <w:p>
      <w:pPr>
        <w:ind w:left="-60" w:right="620" w:firstLine="464"/>
        <w:spacing w:after="0" w:line="277"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left="-60" w:right="240" w:firstLine="464"/>
        <w:spacing w:after="0" w:line="264"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81" w:lineRule="exact"/>
        <w:rPr>
          <w:rFonts w:ascii="Arial" w:cs="Arial" w:eastAsia="Arial" w:hAnsi="Arial"/>
          <w:sz w:val="18"/>
          <w:szCs w:val="18"/>
          <w:color w:val="auto"/>
        </w:rPr>
      </w:pPr>
    </w:p>
    <w:p>
      <w:pPr>
        <w:ind w:left="660" w:hanging="25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400" w:right="180" w:firstLine="443"/>
        <w:spacing w:after="0" w:line="308" w:lineRule="auto"/>
        <w:tabs>
          <w:tab w:leader="none" w:pos="1133" w:val="left"/>
        </w:tabs>
        <w:numPr>
          <w:ilvl w:val="1"/>
          <w:numId w:val="68"/>
        </w:numPr>
        <w:rPr>
          <w:rFonts w:ascii="Arial" w:cs="Arial" w:eastAsia="Arial" w:hAnsi="Arial"/>
          <w:sz w:val="17"/>
          <w:szCs w:val="17"/>
          <w:color w:val="auto"/>
        </w:rPr>
      </w:pPr>
      <w:r>
        <w:rPr>
          <w:rFonts w:ascii="Arial" w:cs="Arial" w:eastAsia="Arial" w:hAnsi="Arial"/>
          <w:sz w:val="17"/>
          <w:szCs w:val="17"/>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38" w:lineRule="exact"/>
        <w:rPr>
          <w:rFonts w:ascii="Arial" w:cs="Arial" w:eastAsia="Arial" w:hAnsi="Arial"/>
          <w:sz w:val="17"/>
          <w:szCs w:val="17"/>
          <w:color w:val="auto"/>
        </w:rPr>
      </w:pPr>
    </w:p>
    <w:p>
      <w:pPr>
        <w:ind w:left="400" w:right="260" w:firstLine="443"/>
        <w:spacing w:after="0" w:line="277" w:lineRule="auto"/>
        <w:tabs>
          <w:tab w:leader="none" w:pos="11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300" w:top="274" w:right="299" w:bottom="1440" w:gutter="0" w:footer="0" w:header="0"/>
        </w:sectPr>
      </w:pPr>
    </w:p>
    <w:bookmarkStart w:id="48" w:name="page49"/>
    <w:bookmarkEnd w:id="48"/>
    <w:p>
      <w:pPr>
        <w:ind w:left="1180" w:hanging="277"/>
        <w:spacing w:after="0"/>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register the transfer of or to exchange a Note between a record date and the next succeeding interest payment date.</w:t>
      </w:r>
    </w:p>
    <w:p>
      <w:pPr>
        <w:spacing w:after="0" w:line="225" w:lineRule="exact"/>
        <w:rPr>
          <w:rFonts w:ascii="Arial" w:cs="Arial" w:eastAsia="Arial" w:hAnsi="Arial"/>
          <w:sz w:val="18"/>
          <w:szCs w:val="18"/>
          <w:color w:val="auto"/>
        </w:rPr>
      </w:pPr>
    </w:p>
    <w:p>
      <w:pPr>
        <w:ind w:firstLine="464"/>
        <w:spacing w:after="0" w:line="286" w:lineRule="auto"/>
        <w:tabs>
          <w:tab w:leader="none" w:pos="7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 hereof.</w:t>
      </w:r>
    </w:p>
    <w:p>
      <w:pPr>
        <w:spacing w:after="0" w:line="225"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170"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the Trustee nor the Registrar shall have any duty to monitor the Company’s compliance with or have any responsibility with respect to the Company’s compliance with any federal or state securities laws in connection with registrations of transfers and exchanges of the Notes.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Depositary’s participants or beneficial owners of interests in any Global Note) other than to require delivery of such certificates and other documentation, as is expressly required by, and to do so if and when expressly required by, the terms of this Indenture and to examine the same to determine substantial compliance as to form with the express requirements hereof.</w:t>
      </w:r>
    </w:p>
    <w:p>
      <w:pPr>
        <w:spacing w:after="0" w:line="33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mutilated Note is surrendered to the Trustee or the Company or if a Holder claims that a Note has been damaged, lost or wrongfully taken and the Trustee and the Company receive evidence to their satisfaction of the destruction, loss or theft of any Note, the Company will issue and the Trustee, upon receipt of an Authentication Order, will authenticate a replacement Note if the requirements of the Trustee and the Company are met. If required by the Trustee or the Company, an indemnity bond must be supplied by the Holder that is sufficient in the judgment of the Trustee and the Company to protect the Company, the Guarantors, the Trustee, any Agent and any authenticating agent from any loss that any of them may suffer if a Note is replaced. The Company may charge for its expenses in replacing a Note.</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Every replacement Note is an additional obligation of the Company and the Guarantors and will be entitled to all of the benefits of this Indenture equally and proportionately with all other Notes duly issued hereunder.</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a Subsidiary of the Company shall not be deemed to be outstanding for purposes of Section 3.07(a) hereof.</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If the principal amount of any Note is considered paid under Section 4.01 hereof, it ceases to be outstanding and interest on it ceases to accrue. -34-</w:t>
      </w:r>
    </w:p>
    <w:p>
      <w:pPr>
        <w:sectPr>
          <w:pgSz w:w="11900" w:h="16838" w:orient="portrait"/>
          <w:cols w:equalWidth="0" w:num="1">
            <w:col w:w="11380"/>
          </w:cols>
          <w:pgMar w:left="240" w:top="274" w:right="279" w:bottom="1440" w:gutter="0" w:footer="0" w:header="0"/>
        </w:sectPr>
      </w:pPr>
    </w:p>
    <w:bookmarkStart w:id="49" w:name="page50"/>
    <w:bookmarkEnd w:id="49"/>
    <w:p>
      <w:pPr>
        <w:jc w:val="both"/>
        <w:ind w:right="5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i w:val="1"/>
          <w:iCs w:val="1"/>
          <w:color w:val="auto"/>
        </w:rPr>
        <w:t>Treasury Notes.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3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cancelled Notes will be retained and disposed of by the Trustee in accordance with its customary procedures and applicable law (subject to the record retention requirement of the Exchange Act). Certification of the cancellation of all canceled Notes will be delivered to the Company upon request. The Company may not issue new Notes to replace Notes that it has paid or that have been delivered to the Trustee for cancellation.</w:t>
      </w:r>
    </w:p>
    <w:p>
      <w:pPr>
        <w:spacing w:after="0" w:line="34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Defaulted Interest.</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CUSIP Numbers.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Company in issuing the Notes may use CUSIP, ISIN or other similar numbers, if then generally in use, and the Trustee may use such numbers in any notice (including any notice of redemption or exchange), which may state that no representation is made as to the correctness of such numbers either as printed on the Notes or as contained in any notice (including any notice of redemption or exchange) and that reliance may be placed only on the other identification numbers printed on the Notes, and any such notice or notice of redemption shall not be affected by any defect in or omission of such numbers. The Company will promptly notify the Trustee in writing of any change in the CUSIP, ISIN or other similar numbers.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30 days but not more than 60 days before a Redemption Date, an Officer’s Certificate setting forth:</w:t>
      </w:r>
    </w:p>
    <w:p>
      <w:pPr>
        <w:spacing w:after="0" w:line="62"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225"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27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except:</w:t>
      </w:r>
    </w:p>
    <w:p>
      <w:pPr>
        <w:spacing w:after="0" w:line="117" w:lineRule="exact"/>
        <w:rPr>
          <w:sz w:val="20"/>
          <w:szCs w:val="20"/>
          <w:color w:val="auto"/>
        </w:rPr>
      </w:pPr>
    </w:p>
    <w:p>
      <w:pPr>
        <w:ind w:left="460" w:right="180" w:firstLine="443"/>
        <w:spacing w:after="0" w:line="277" w:lineRule="auto"/>
        <w:tabs>
          <w:tab w:leader="none" w:pos="11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otherwise required by law or to comply with the rules of the Depositary.</w:t>
      </w:r>
    </w:p>
    <w:p>
      <w:pPr>
        <w:spacing w:after="0" w:line="225"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the event of partial redemption by lot, the particular Notes to be redeemed will be selected, unless otherwise provided herein, not less than 30 nor more than 60 days prior to the redemption date by the Trustee from the outstanding Notes not previously called for redemption.</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Trustee will promptly notify the Company in writing of the Notes selected for redemption and, in the case of any Note selected for partial redemption, the principal amount thereof to be redeemed. No Notes of $2,000 or less can be redeemed in part, and the unredeemed portion of the Notes of any Holder must be equal to $2,000 in principal amount or integral multiples of $1,000 in excess thereof; except that if all of the Notes of a Holder are to be redeemed, the entire outstanding amount of Notes held by such Holder, even if not a multiple of $1,000, shall be redeemed.</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provisions in this Section 3.02 and Sections 3.03 and 3.04 hereof relating to a redemption of the Notes will also be applicable to a repurchase of the Notes pursuant to an Asset Sale Offer or a Change of Control Offer, except as otherwise provided in this Indenture.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 xml:space="preserve">Subject to the provisions of Section 3.09 hereof, notices of redemption will be delivered at least 30 but not more than 60 days before the Redemption Date to each Holder of Notes to be redeemed at its registered address or otherwise delivered in accordance with the procedures of DTC, except that redemption notices may be delivered more than 60 days prior to a Redemption Date if the notice is issued in connection with a defeasance of the Notes or a satisfaction and discharge of this Indenture pursuant to Articles 8 or 12. Notes called for redemption become due on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notices of redemption may be conditioned on one or more conditions precedent,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51" w:name="page52"/>
    <w:bookmarkEnd w:id="5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as the closing of a Change of Control or a financing transaction. The Company will provide prompt written notice to the Trustee rescinding such redemption in the event that any such condition precedent shall not have occurred, and thereafter such redemption and notice of redemption shall be rescinded and of no force or effect. Upon receipt of such notice from the Company rescinding such redemption, the Trustee will promptly send a copy of such notice to the Holders of the Notes to be redeemed in the same manner in which the notice of redemption was given.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or, if the Note is a Global Note, an adjustment will be made to the schedule attached thereto;</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conditions precedent to such redemption; and</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similar number, if any, listed in such notice or printed on the Notes.</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At the Company’s request, the Trustee will give the notice of redemption in the Company’s name and at its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has delivered to the Trustee, at least 45 days prior to the Redemption Date (or such shorter time as may be acceptable to the Trustee), an Officer’s Certificate requesting that the Trustee give such notice and setting forth the information to be stated in such notice as provided in the preceding paragraph.</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Provisions of this Indenture that apply to Notes called for redemption or purchase also apply to portions of Notes called for redemption or purchase. On and after the Redemption Date, interest ceases to accrue on Notes or portions of Notes called for redemption.</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Once notice of redemption is mailed in accordance with Section 3.03 hereof, and any conditions precedent stated in such notice have been satisfied, Notes called for redemption become irrevocably due and payable on the redemption date at the redemption price.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One Business Day prior to the redemption or purchase date, the Company will deposit with the Trustee or with the Paying Agent money of money, in immediately available funds, sufficient to pay the redemption or purchase price of and accrued interest and Additional Interest,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Interest, if any, on, all Notes to be redeemed or purchased.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52" w:name="page53"/>
    <w:bookmarkEnd w:id="52"/>
    <w:p>
      <w:pPr>
        <w:ind w:right="2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3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 or if the Note is a Global Note, an adjustment will be made to the Schedule of Exchange of Interests on such Global Note.</w:t>
      </w:r>
    </w:p>
    <w:p>
      <w:pPr>
        <w:spacing w:after="0" w:line="29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117" w:lineRule="exact"/>
        <w:rPr>
          <w:sz w:val="20"/>
          <w:szCs w:val="20"/>
          <w:color w:val="auto"/>
        </w:rPr>
      </w:pPr>
    </w:p>
    <w:p>
      <w:pPr>
        <w:jc w:val="both"/>
        <w:ind w:right="200" w:firstLine="464"/>
        <w:spacing w:after="0" w:line="259" w:lineRule="auto"/>
        <w:tabs>
          <w:tab w:leader="none" w:pos="7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On or prior to November 1, 2017, the Company on any one or more occasions may redeem up to 35% of the aggregate principal amount of Notes issued under this Indenture (including any Additional Notes issued after the Issue Date) at a redemption price of 110.250% of the principal amount thereof, plus accrued and unpaid interest and Additional Interest, if any, to the Redemption Date, with the net cash proceeds of one or more sales of common Equity Interests (other than Disqualified Stock)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jc w:val="both"/>
        <w:ind w:left="460" w:right="320" w:firstLine="443"/>
        <w:spacing w:after="0" w:line="342" w:lineRule="auto"/>
        <w:tabs>
          <w:tab w:leader="none" w:pos="1153" w:val="left"/>
        </w:tabs>
        <w:numPr>
          <w:ilvl w:val="1"/>
          <w:numId w:val="74"/>
        </w:numPr>
        <w:rPr>
          <w:rFonts w:ascii="Arial" w:cs="Arial" w:eastAsia="Arial" w:hAnsi="Arial"/>
          <w:sz w:val="16"/>
          <w:szCs w:val="16"/>
          <w:color w:val="auto"/>
        </w:rPr>
      </w:pPr>
      <w:r>
        <w:rPr>
          <w:rFonts w:ascii="Arial" w:cs="Arial" w:eastAsia="Arial" w:hAnsi="Arial"/>
          <w:sz w:val="16"/>
          <w:szCs w:val="16"/>
          <w:color w:val="auto"/>
        </w:rPr>
        <w:t>at least 65% of the aggregate principal amount of Notes issued under this Indenture (including any Additional Notes issued after the Issue Date but excluding Notes held by the Company and its Subsidiaries) remains outstanding immediately after the occurrence of such redemption; and</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sale of Equity Interests.</w:t>
      </w:r>
    </w:p>
    <w:p>
      <w:pPr>
        <w:spacing w:after="0" w:line="225" w:lineRule="exact"/>
        <w:rPr>
          <w:rFonts w:ascii="Arial" w:cs="Arial" w:eastAsia="Arial" w:hAnsi="Arial"/>
          <w:sz w:val="18"/>
          <w:szCs w:val="18"/>
          <w:color w:val="auto"/>
        </w:rPr>
      </w:pPr>
    </w:p>
    <w:p>
      <w:pPr>
        <w:ind w:right="120" w:firstLine="464"/>
        <w:spacing w:after="0" w:line="264"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November 1, 2017, the Company on any one or more occasions may redeem all or a part of the Notes, upon not less than 30 nor more than 60 days’ notice, at a redemption price equal to 100% of the principal amount of the Notes redeemed plus the Applicable Premium as of, and accrued and unpaid interest and Additional Interest, if any, to, the date of redemption (the “</w:t>
      </w:r>
      <w:r>
        <w:rPr>
          <w:rFonts w:ascii="Arial" w:cs="Arial" w:eastAsia="Arial" w:hAnsi="Arial"/>
          <w:sz w:val="18"/>
          <w:szCs w:val="18"/>
          <w:i w:val="1"/>
          <w:iCs w:val="1"/>
          <w:color w:val="auto"/>
        </w:rPr>
        <w:t>Redemption Date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pursuant to Sections 3.07(a) and 3.07(b) hereof, the Notes will not be redeemable at the Company’s option prior to November 1, 2017.</w:t>
      </w:r>
    </w:p>
    <w:p>
      <w:pPr>
        <w:spacing w:after="0" w:line="236" w:lineRule="exact"/>
        <w:rPr>
          <w:rFonts w:ascii="Arial" w:cs="Arial" w:eastAsia="Arial" w:hAnsi="Arial"/>
          <w:sz w:val="17"/>
          <w:szCs w:val="17"/>
          <w:color w:val="auto"/>
        </w:rPr>
      </w:pPr>
    </w:p>
    <w:p>
      <w:pPr>
        <w:ind w:firstLine="464"/>
        <w:spacing w:after="0" w:line="302" w:lineRule="auto"/>
        <w:tabs>
          <w:tab w:leader="none" w:pos="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or after November 1, 2017, the Company on any one or more occasions may redeem, all or a part of the Notes upon not less than 30 nor more than 60 days’ notice, at the redemption prices (expressed as percentages of principal amount) set forth below plus accrued and unpaid interest and Additional Interest, if any, on the Notes redeemed to the applicable Redemption Date, if redeemed during the twelve-month period beginning on November 1 of the years indicated below, subject to the rights of Holders on the relevant record date to receive interest on the relevant interest payment date:</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2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4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vMerge w:val="continue"/>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107.688%</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2018</w:t>
            </w:r>
          </w:p>
        </w:tc>
        <w:tc>
          <w:tcPr>
            <w:tcW w:w="5200" w:type="dxa"/>
            <w:vAlign w:val="bottom"/>
            <w:gridSpan w:val="3"/>
          </w:tcPr>
          <w:p>
            <w:pPr>
              <w:jc w:val="right"/>
              <w:ind w:right="60"/>
              <w:spacing w:after="0"/>
              <w:rPr>
                <w:sz w:val="20"/>
                <w:szCs w:val="20"/>
                <w:color w:val="auto"/>
              </w:rPr>
            </w:pPr>
            <w:r>
              <w:rPr>
                <w:rFonts w:ascii="Arial" w:cs="Arial" w:eastAsia="Arial" w:hAnsi="Arial"/>
                <w:sz w:val="18"/>
                <w:szCs w:val="18"/>
                <w:color w:val="auto"/>
              </w:rPr>
              <w:t>103.844%</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5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40" w:type="dxa"/>
            <w:vAlign w:val="bottom"/>
          </w:tcPr>
          <w:p>
            <w:pPr>
              <w:jc w:val="right"/>
              <w:ind w:right="279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3" w:name="page54"/>
    <w:bookmarkEnd w:id="53"/>
    <w:p>
      <w:pPr>
        <w:ind w:right="8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Company defaults in the payment of the redemption price, interest will cease to accrue on the Notes or portions thereof called for redemption on the applicable Redemption Date.</w:t>
      </w:r>
    </w:p>
    <w:p>
      <w:pPr>
        <w:spacing w:after="0" w:line="170" w:lineRule="exact"/>
        <w:rPr>
          <w:sz w:val="20"/>
          <w:szCs w:val="20"/>
          <w:color w:val="auto"/>
        </w:rPr>
      </w:pPr>
    </w:p>
    <w:p>
      <w:pPr>
        <w:ind w:right="140" w:firstLine="464"/>
        <w:spacing w:after="0" w:line="277" w:lineRule="auto"/>
        <w:tabs>
          <w:tab w:leader="none" w:pos="7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Indenture will not prohibit the Company and its Restricted Subsidiaries from purchasing Notes in the open market or otherwise at any time or from time to time.</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w:t>
      </w:r>
      <w:r>
        <w:rPr>
          <w:rFonts w:ascii="Arial" w:cs="Arial" w:eastAsia="Arial" w:hAnsi="Arial"/>
          <w:sz w:val="18"/>
          <w:szCs w:val="18"/>
          <w:i w:val="1"/>
          <w:iCs w:val="1"/>
          <w:color w:val="auto"/>
        </w:rPr>
        <w:t>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The Asset Sale Offer shall be made to all Holders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7"/>
          <w:szCs w:val="17"/>
          <w:i w:val="1"/>
          <w:iCs w:val="1"/>
          <w:color w:val="auto"/>
        </w:rPr>
        <w:t>Offer Period</w:t>
      </w:r>
      <w:r>
        <w:rPr>
          <w:rFonts w:ascii="Arial" w:cs="Arial" w:eastAsia="Arial" w:hAnsi="Arial"/>
          <w:sz w:val="17"/>
          <w:szCs w:val="17"/>
          <w:color w:val="auto"/>
        </w:rPr>
        <w:t>”). No later than five Business Days after the termination of the Offer Period (the “</w:t>
      </w:r>
      <w:r>
        <w:rPr>
          <w:rFonts w:ascii="Arial" w:cs="Arial" w:eastAsia="Arial" w:hAnsi="Arial"/>
          <w:sz w:val="17"/>
          <w:szCs w:val="17"/>
          <w:i w:val="1"/>
          <w:iCs w:val="1"/>
          <w:color w:val="auto"/>
        </w:rPr>
        <w:t>Purchase Date</w:t>
      </w:r>
      <w:r>
        <w:rPr>
          <w:rFonts w:ascii="Arial" w:cs="Arial" w:eastAsia="Arial" w:hAnsi="Arial"/>
          <w:sz w:val="17"/>
          <w:szCs w:val="17"/>
          <w:color w:val="auto"/>
        </w:rPr>
        <w:t>”), the Company will apply all Excess Proceeds (the “</w:t>
      </w:r>
      <w:r>
        <w:rPr>
          <w:rFonts w:ascii="Arial" w:cs="Arial" w:eastAsia="Arial" w:hAnsi="Arial"/>
          <w:sz w:val="17"/>
          <w:szCs w:val="17"/>
          <w:i w:val="1"/>
          <w:iCs w:val="1"/>
          <w:color w:val="auto"/>
        </w:rPr>
        <w:t>Offer Amount</w:t>
      </w:r>
      <w:r>
        <w:rPr>
          <w:rFonts w:ascii="Arial" w:cs="Arial" w:eastAsia="Arial" w:hAnsi="Arial"/>
          <w:sz w:val="17"/>
          <w:szCs w:val="17"/>
          <w:color w:val="auto"/>
        </w:rPr>
        <w:t xml:space="preserve">”) to the purchase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Additional Interest, if any, will be paid to the Person in whose name a Note is registered at the close of business on such record date, and no additional interest will be payable to Holders who tender Notes pursuant to the Asset Sale Offer.</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Upon the commencement of an Asset Sale Offer, the Company will deliver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3" w:lineRule="exact"/>
        <w:rPr>
          <w:sz w:val="20"/>
          <w:szCs w:val="20"/>
          <w:color w:val="auto"/>
        </w:rPr>
      </w:pPr>
    </w:p>
    <w:p>
      <w:pPr>
        <w:ind w:left="460" w:right="160" w:firstLine="443"/>
        <w:spacing w:after="0" w:line="277" w:lineRule="auto"/>
        <w:tabs>
          <w:tab w:leader="none" w:pos="11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17" w:lineRule="exact"/>
        <w:rPr>
          <w:rFonts w:ascii="Arial" w:cs="Arial" w:eastAsia="Arial" w:hAnsi="Arial"/>
          <w:sz w:val="18"/>
          <w:szCs w:val="18"/>
          <w:color w:val="auto"/>
        </w:rPr>
      </w:pPr>
    </w:p>
    <w:p>
      <w:pPr>
        <w:ind w:left="460" w:right="380" w:firstLine="443"/>
        <w:spacing w:after="0" w:line="277" w:lineRule="auto"/>
        <w:tabs>
          <w:tab w:leader="none" w:pos="11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after the Purchase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 Asset Sale Offer may elect to have Notes purchased in integral multiples of</w:t>
      </w:r>
    </w:p>
    <w:p>
      <w:pPr>
        <w:spacing w:after="0" w:line="46"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 xml:space="preserve">$1,000 only,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of the Notes of any Holder must be equal to $2,000 in principal amount or integral multiples of $1,000 in excess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4" w:name="page55"/>
    <w:bookmarkEnd w:id="54"/>
    <w:p>
      <w:pPr>
        <w:ind w:left="460" w:right="40" w:firstLine="443"/>
        <w:spacing w:after="0" w:line="286" w:lineRule="auto"/>
        <w:tabs>
          <w:tab w:leader="none" w:pos="1153"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57" w:lineRule="exact"/>
        <w:rPr>
          <w:rFonts w:ascii="Arial" w:cs="Arial" w:eastAsia="Arial" w:hAnsi="Arial"/>
          <w:sz w:val="17"/>
          <w:szCs w:val="17"/>
          <w:color w:val="auto"/>
        </w:rPr>
      </w:pPr>
    </w:p>
    <w:p>
      <w:pPr>
        <w:ind w:left="460" w:firstLine="443"/>
        <w:spacing w:after="0" w:line="259"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a depositary, if appointed by the Company,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$2,000, or integral multiples of $1,000 in excess thereof, will be purchased); and</w:t>
      </w:r>
    </w:p>
    <w:p>
      <w:pPr>
        <w:spacing w:after="0" w:line="78"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7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Any Note not so accepted shall be promptly mailed or delivered by the Company to the Holder thereof. The Company will publicly announce the results of the Asset Sale Offer on the Purchase Date.</w:t>
      </w:r>
    </w:p>
    <w:p>
      <w:pPr>
        <w:spacing w:after="0" w:line="16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Sections 3.01 through 3.06 hereof.</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117" w:lineRule="exact"/>
        <w:rPr>
          <w:sz w:val="20"/>
          <w:szCs w:val="20"/>
          <w:color w:val="auto"/>
        </w:rPr>
      </w:pPr>
    </w:p>
    <w:p>
      <w:pPr>
        <w:jc w:val="both"/>
        <w:ind w:right="60" w:firstLine="456"/>
        <w:spacing w:after="0" w:line="297" w:lineRule="auto"/>
        <w:rPr>
          <w:sz w:val="20"/>
          <w:szCs w:val="20"/>
          <w:color w:val="auto"/>
        </w:rPr>
      </w:pPr>
      <w:r>
        <w:rPr>
          <w:rFonts w:ascii="Arial" w:cs="Arial" w:eastAsia="Arial" w:hAnsi="Arial"/>
          <w:sz w:val="16"/>
          <w:szCs w:val="16"/>
          <w:color w:val="auto"/>
        </w:rPr>
        <w:t>The Company will pay or cause to be paid the principal of, premium, if any, and interest and Additional Interest, if any, on, the Notes on the dates and in the manner provided in this Indenture and the Notes. Principal, premium, if any, and interest and Additional Interest, if any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 The Company will pay all Additional Interest, if any, in the same manner on the dates and in the amounts set forth in the Registration Rights Agreement.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5" w:name="page56"/>
    <w:bookmarkEnd w:id="55"/>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pay interest (including post-petition interest in any proceeding under any Bankruptcy Law) on overdue installments of interest and Additional Interest (without regard to any applicable grace period) at the same interest rate on the Notes to the extent lawful.</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be responsible for making calculations called for under the Notes, including but not limited to determination of redemption price, premium, if any, and any additional amounts or other amounts payable on the Notes. The Company will make the calculations in good faith. The Company will provide a schedule of its calculations to the Trustee when requested by the Trustee, and the Trustee is entitled to rely conclusively on the accuracy of the Company’s calculations without independent verification. If Additional Interest is payable on the Notes, the Company shall provide an Officer’s Certificate to the Trustee on or before the record date for each interest payment date such Additional Interest is payable setting forth the amount of such Additional Interest in reasonable detail. The Trustee may provide a copy of such Officer’s Certificate or other notice received from the Company relating to Additional Interest to any Holder upon request.</w:t>
      </w:r>
    </w:p>
    <w:p>
      <w:pPr>
        <w:spacing w:after="0" w:line="33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will maintain an office or agency (which may be an office of the Trustee or an affiliate of the Trustee, Registrar or co-registrar and will initially be the Corporate Trust Office of the Trustee)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117" w:lineRule="exact"/>
        <w:rPr>
          <w:sz w:val="20"/>
          <w:szCs w:val="20"/>
          <w:color w:val="auto"/>
        </w:rPr>
      </w:pPr>
    </w:p>
    <w:p>
      <w:pPr>
        <w:ind w:right="120" w:firstLine="464"/>
        <w:spacing w:after="0" w:line="342" w:lineRule="auto"/>
        <w:tabs>
          <w:tab w:leader="none" w:pos="7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Whether or not required by the rules and regulations of the SEC, so long as any Notes are outstanding, the Company will electronically file, within the time periods specified in the SEC’s rules and regulations (after giving effect to any grace period provided by Rule 12b-25 under the Exchange Act):</w:t>
      </w:r>
    </w:p>
    <w:p>
      <w:pPr>
        <w:spacing w:after="0" w:line="15" w:lineRule="exact"/>
        <w:rPr>
          <w:rFonts w:ascii="Arial" w:cs="Arial" w:eastAsia="Arial" w:hAnsi="Arial"/>
          <w:sz w:val="16"/>
          <w:szCs w:val="16"/>
          <w:color w:val="auto"/>
        </w:rPr>
      </w:pPr>
    </w:p>
    <w:p>
      <w:pPr>
        <w:ind w:left="460" w:firstLine="443"/>
        <w:spacing w:after="0" w:line="277" w:lineRule="auto"/>
        <w:tabs>
          <w:tab w:leader="none" w:pos="115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reports;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Company were required to file such reports.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the Company’s consolidated financial statements by its certified independent accountants. The Company will electronically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If the Company has designated any of its Subsidiaries as Unrestricted Subsidiaries, then the quarterly and annual financial information required by the preceding paragraph shall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6" w:name="page57"/>
    <w:bookmarkEnd w:id="5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SEC will not accept the Company’s filings for any reason, the Company will post the reports referred to in the preceding paragraph on its website within the time periods that would apply if the Company were required to file those reports with the SEC or post on its website (after giving effect to any grace period provided by Rule 12b-25 under the Exchange Act). The Company will not take any action for the purpose of causing the SEC not to accept any such filing.</w:t>
      </w:r>
    </w:p>
    <w:p>
      <w:pPr>
        <w:spacing w:after="0" w:line="187" w:lineRule="exact"/>
        <w:rPr>
          <w:sz w:val="20"/>
          <w:szCs w:val="20"/>
          <w:color w:val="auto"/>
        </w:rPr>
      </w:pPr>
    </w:p>
    <w:p>
      <w:pPr>
        <w:ind w:right="80" w:firstLine="464"/>
        <w:spacing w:after="0" w:line="286" w:lineRule="auto"/>
        <w:tabs>
          <w:tab w:leader="none" w:pos="7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For so long as any Notes remain outstanding, if at any time the Company and the Guarantors are not required to file with the SEC or post on its website the reports required by Section 4.03(a) hereof, the Company and the Guarantors will furnish to the Holders and to securities analysts and prospective investors, upon their request, the information required to be delivered pursuant to Rule 144A(d)(4) under the Securities Act.</w:t>
      </w:r>
    </w:p>
    <w:p>
      <w:pPr>
        <w:spacing w:after="0" w:line="165" w:lineRule="exact"/>
        <w:rPr>
          <w:rFonts w:ascii="Arial" w:cs="Arial" w:eastAsia="Arial" w:hAnsi="Arial"/>
          <w:sz w:val="17"/>
          <w:szCs w:val="17"/>
          <w:color w:val="auto"/>
        </w:rPr>
      </w:pPr>
    </w:p>
    <w:p>
      <w:pPr>
        <w:ind w:right="220" w:firstLine="464"/>
        <w:spacing w:after="0" w:line="259"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hereunder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certificates delivered pursuant to Section 4.04 hereof).</w:t>
      </w:r>
    </w:p>
    <w:p>
      <w:pPr>
        <w:spacing w:after="0" w:line="33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117" w:lineRule="exact"/>
        <w:rPr>
          <w:sz w:val="20"/>
          <w:szCs w:val="20"/>
          <w:color w:val="auto"/>
        </w:rPr>
      </w:pPr>
    </w:p>
    <w:p>
      <w:pPr>
        <w:ind w:firstLine="464"/>
        <w:spacing w:after="0" w:line="288" w:lineRule="auto"/>
        <w:tabs>
          <w:tab w:leader="none" w:pos="7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and each Guarantor (to the extent that such Guarantor is so required under the TIA) shall deliver to the Trustee, within 90 days after the end of each fiscal year, an Officer’s Certificate stating that that, in the course of the performance of his or her duties as an Officer of the Company, he or she would normally have knowledge of any Default by the Company in the performance of any of its obligations contained in this Indenture,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that to the best of his or her knowledge no event has occurred and remains in existence by reason of which payments on account of the principal of or interest, if any, on the Notes is prohibited or if such event has occurred, a description of the event. The Treasurer of the Company may not be the signing Officer for such an Officer’s Certificate.</w:t>
      </w:r>
    </w:p>
    <w:p>
      <w:pPr>
        <w:spacing w:after="0" w:line="169"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the Trustee, within fifteen (15) days of becoming aware of any Default or Event of Default that has occurred and is continuing, a statement specifying such Default or Event of Default.</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4"/>
          <w:szCs w:val="14"/>
          <w:i w:val="1"/>
          <w:iCs w:val="1"/>
          <w:color w:val="auto"/>
        </w:rPr>
        <w:t>Taxes.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Each of the Company and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57" w:name="page58"/>
    <w:bookmarkEnd w:id="57"/>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4.07</w:t>
      </w:r>
      <w:r>
        <w:rPr>
          <w:sz w:val="20"/>
          <w:szCs w:val="20"/>
          <w:color w:val="auto"/>
        </w:rPr>
        <w:tab/>
      </w:r>
      <w:r>
        <w:rPr>
          <w:rFonts w:ascii="Arial" w:cs="Arial" w:eastAsia="Arial" w:hAnsi="Arial"/>
          <w:sz w:val="15"/>
          <w:szCs w:val="15"/>
          <w:i w:val="1"/>
          <w:iCs w:val="1"/>
          <w:color w:val="auto"/>
        </w:rPr>
        <w:t>Restricted Payments.</w:t>
      </w:r>
    </w:p>
    <w:p>
      <w:pPr>
        <w:spacing w:after="0" w:line="117" w:lineRule="exact"/>
        <w:rPr>
          <w:sz w:val="20"/>
          <w:szCs w:val="20"/>
          <w:color w:val="auto"/>
        </w:rPr>
      </w:pPr>
    </w:p>
    <w:p>
      <w:pPr>
        <w:ind w:left="700" w:hanging="23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60" w:right="180" w:firstLine="443"/>
        <w:spacing w:after="0" w:line="257" w:lineRule="auto"/>
        <w:tabs>
          <w:tab w:leader="none" w:pos="11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80" w:lineRule="exact"/>
        <w:rPr>
          <w:rFonts w:ascii="Arial" w:cs="Arial" w:eastAsia="Arial" w:hAnsi="Arial"/>
          <w:sz w:val="18"/>
          <w:szCs w:val="18"/>
          <w:color w:val="auto"/>
        </w:rPr>
      </w:pPr>
    </w:p>
    <w:p>
      <w:pPr>
        <w:ind w:left="460" w:right="60" w:firstLine="443"/>
        <w:spacing w:after="0" w:line="259" w:lineRule="auto"/>
        <w:tabs>
          <w:tab w:leader="none" w:pos="11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of its Restricted Subsidiaries (other than (a) Equity Interests of any wholly owned Restricted Subsidiary of the Company or (b) purchases, redemptions, defeasances or other acquisitions made by a Restricted Subsidiary on a pro rata basis from all stockholders of such Restricted Subsidiary);</w:t>
      </w:r>
    </w:p>
    <w:p>
      <w:pPr>
        <w:spacing w:after="0" w:line="78" w:lineRule="exact"/>
        <w:rPr>
          <w:rFonts w:ascii="Arial" w:cs="Arial" w:eastAsia="Arial" w:hAnsi="Arial"/>
          <w:sz w:val="18"/>
          <w:szCs w:val="18"/>
          <w:color w:val="auto"/>
        </w:rPr>
      </w:pPr>
    </w:p>
    <w:p>
      <w:pPr>
        <w:jc w:val="both"/>
        <w:ind w:left="460" w:firstLine="443"/>
        <w:spacing w:after="0" w:line="297" w:lineRule="auto"/>
        <w:tabs>
          <w:tab w:leader="none" w:pos="1153" w:val="left"/>
        </w:tabs>
        <w:numPr>
          <w:ilvl w:val="1"/>
          <w:numId w:val="8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the Company or any Guarantor that is contractually subordinated to the Notes or to any Note Guarantee (excluding any intercompany Indebtedness between or among the Company and any of its Restricted Subsidiaries), except a payment of interest or a payment, purchase, redemption, defeasance or other acquisition or retirement in anticipation of satisfying a sinking fund obligation, principal installment or payment at final maturity, in each case due within one year of the date of such payment, purchase, redemption, defeasance or other acquisition or retirement for value; or</w:t>
      </w:r>
    </w:p>
    <w:p>
      <w:pPr>
        <w:spacing w:after="0" w:line="50" w:lineRule="exact"/>
        <w:rPr>
          <w:rFonts w:ascii="Arial" w:cs="Arial" w:eastAsia="Arial" w:hAnsi="Arial"/>
          <w:sz w:val="16"/>
          <w:szCs w:val="16"/>
          <w:color w:val="auto"/>
        </w:rPr>
      </w:pPr>
    </w:p>
    <w:p>
      <w:pPr>
        <w:ind w:left="1160" w:hanging="257"/>
        <w:spacing w:after="0"/>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such payments and other actions set forth in clauses (1) through (4) of this Section 4.07(a) collectively being referred to as “</w:t>
      </w:r>
      <w:r>
        <w:rPr>
          <w:rFonts w:ascii="Arial" w:cs="Arial" w:eastAsia="Arial" w:hAnsi="Arial"/>
          <w:sz w:val="17"/>
          <w:szCs w:val="17"/>
          <w:i w:val="1"/>
          <w:iCs w:val="1"/>
          <w:color w:val="auto"/>
        </w:rPr>
        <w:t>Restricted Payments</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120" w:hanging="21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no Default or Event of Default has occurred and is continuing or would occur as a consequence of such Restricted Payment;</w:t>
      </w:r>
    </w:p>
    <w:p>
      <w:pPr>
        <w:spacing w:after="0" w:line="117" w:lineRule="exact"/>
        <w:rPr>
          <w:rFonts w:ascii="Arial" w:cs="Arial" w:eastAsia="Arial" w:hAnsi="Arial"/>
          <w:sz w:val="18"/>
          <w:szCs w:val="18"/>
          <w:color w:val="auto"/>
        </w:rPr>
      </w:pPr>
    </w:p>
    <w:p>
      <w:pPr>
        <w:jc w:val="both"/>
        <w:ind w:left="460" w:right="60" w:firstLine="881"/>
        <w:spacing w:after="0" w:line="264" w:lineRule="auto"/>
        <w:tabs>
          <w:tab w:leader="none" w:pos="1591"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the Company would, 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Restricted Payment had been made at the beginning of the applicable four-quarter period, have been permitted to incur at least $1.00 of additional Indebtedness pursuant to the Fixed Charge Coverage Ratio test set forth in Section 4.09(a) hereof; and</w:t>
      </w:r>
    </w:p>
    <w:p>
      <w:pPr>
        <w:spacing w:after="0" w:line="73" w:lineRule="exact"/>
        <w:rPr>
          <w:rFonts w:ascii="Arial" w:cs="Arial" w:eastAsia="Arial" w:hAnsi="Arial"/>
          <w:sz w:val="18"/>
          <w:szCs w:val="18"/>
          <w:color w:val="auto"/>
        </w:rPr>
      </w:pPr>
    </w:p>
    <w:p>
      <w:pPr>
        <w:ind w:left="460" w:right="300" w:firstLine="881"/>
        <w:spacing w:after="0" w:line="277" w:lineRule="auto"/>
        <w:tabs>
          <w:tab w:leader="none" w:pos="1581"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the Consolidated Total Net Debt Ratio would be no greater than 3.5 to 1.0: and</w:t>
      </w:r>
    </w:p>
    <w:p>
      <w:pPr>
        <w:spacing w:after="0" w:line="62" w:lineRule="exact"/>
        <w:rPr>
          <w:sz w:val="20"/>
          <w:szCs w:val="20"/>
          <w:color w:val="auto"/>
        </w:rPr>
      </w:pPr>
    </w:p>
    <w:p>
      <w:pPr>
        <w:ind w:left="460" w:right="140" w:firstLine="443"/>
        <w:spacing w:after="0" w:line="264" w:lineRule="auto"/>
        <w:tabs>
          <w:tab w:leader="none" w:pos="11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Issue Date (excluding Restricted Payments permitted by clauses (2) through (7) and (9) through (13) of Section 4.07(b) hereof), is less than the sum, without duplication, of:</w:t>
      </w:r>
    </w:p>
    <w:p>
      <w:pPr>
        <w:spacing w:after="0" w:line="73" w:lineRule="exact"/>
        <w:rPr>
          <w:rFonts w:ascii="Arial" w:cs="Arial" w:eastAsia="Arial" w:hAnsi="Arial"/>
          <w:sz w:val="18"/>
          <w:szCs w:val="18"/>
          <w:color w:val="auto"/>
        </w:rPr>
      </w:pPr>
    </w:p>
    <w:p>
      <w:pPr>
        <w:ind w:left="920" w:right="200" w:firstLine="421"/>
        <w:spacing w:after="0" w:line="277" w:lineRule="auto"/>
        <w:tabs>
          <w:tab w:leader="none" w:pos="1585" w:val="left"/>
        </w:tabs>
        <w:numPr>
          <w:ilvl w:val="1"/>
          <w:numId w:val="83"/>
        </w:numPr>
        <w:rPr>
          <w:rFonts w:ascii="Arial" w:cs="Arial" w:eastAsia="Arial" w:hAnsi="Arial"/>
          <w:sz w:val="18"/>
          <w:szCs w:val="18"/>
          <w:color w:val="auto"/>
        </w:rPr>
      </w:pPr>
      <w:r>
        <w:rPr>
          <w:rFonts w:ascii="Arial" w:cs="Arial" w:eastAsia="Arial" w:hAnsi="Arial"/>
          <w:sz w:val="18"/>
          <w:szCs w:val="18"/>
          <w:color w:val="auto"/>
        </w:rPr>
        <w:t>50% of the Consolidated Net Income of the Company for the period (taken as one accounting period) from the beginning of the fiscal quarter in which the Issue Date occurred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58" w:name="page59"/>
    <w:bookmarkEnd w:id="58"/>
    <w:p>
      <w:pPr>
        <w:ind w:left="46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end of the Company’s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62" w:lineRule="exact"/>
        <w:rPr>
          <w:sz w:val="20"/>
          <w:szCs w:val="20"/>
          <w:color w:val="auto"/>
        </w:rPr>
      </w:pPr>
    </w:p>
    <w:p>
      <w:pPr>
        <w:ind w:left="460" w:right="200" w:firstLine="421"/>
        <w:spacing w:after="0" w:line="255" w:lineRule="auto"/>
        <w:tabs>
          <w:tab w:leader="none" w:pos="1135"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assets other than cash, including any Permitted Business) received by the Company since the Issue Date as a contribution to its common equity capital or from the issue or sale of Equity Interests of the Company (other than Disqualified Stock)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non-cash net proceeds shall be assets of the type used or useful in a Permitted Business; </w:t>
      </w:r>
      <w:r>
        <w:rPr>
          <w:rFonts w:ascii="Arial" w:cs="Arial" w:eastAsia="Arial" w:hAnsi="Arial"/>
          <w:sz w:val="18"/>
          <w:szCs w:val="18"/>
          <w:i w:val="1"/>
          <w:iCs w:val="1"/>
          <w:color w:val="auto"/>
        </w:rPr>
        <w:t>plus</w:t>
      </w:r>
    </w:p>
    <w:p>
      <w:pPr>
        <w:spacing w:after="0" w:line="85" w:lineRule="exact"/>
        <w:rPr>
          <w:rFonts w:ascii="Arial" w:cs="Arial" w:eastAsia="Arial" w:hAnsi="Arial"/>
          <w:sz w:val="18"/>
          <w:szCs w:val="18"/>
          <w:color w:val="auto"/>
        </w:rPr>
      </w:pPr>
    </w:p>
    <w:p>
      <w:pPr>
        <w:ind w:left="460" w:right="460" w:firstLine="421"/>
        <w:spacing w:after="0" w:line="297" w:lineRule="auto"/>
        <w:tabs>
          <w:tab w:leader="none" w:pos="1125"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an amount equal to the net reduction in or return on Investments (other than Permitted Investments) made by the Company and its Restricted Subsidiaries subsequent to the Issue Date resulting from repurchases, repayments or redemptions of such Investments, proceeds realized on the sale of any such Investment and proceeds representing the return of capital on any such Investment and dividends and distributions with respect thereto, in each case received by the Company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with respect to any Investment, the foregoing sum shall not exceed the amount of such Investment; </w:t>
      </w:r>
      <w:r>
        <w:rPr>
          <w:rFonts w:ascii="Arial" w:cs="Arial" w:eastAsia="Arial" w:hAnsi="Arial"/>
          <w:sz w:val="16"/>
          <w:szCs w:val="16"/>
          <w:i w:val="1"/>
          <w:iCs w:val="1"/>
          <w:color w:val="auto"/>
        </w:rPr>
        <w:t>plus</w:t>
      </w:r>
    </w:p>
    <w:p>
      <w:pPr>
        <w:spacing w:after="0" w:line="50" w:lineRule="exact"/>
        <w:rPr>
          <w:rFonts w:ascii="Arial" w:cs="Arial" w:eastAsia="Arial" w:hAnsi="Arial"/>
          <w:sz w:val="16"/>
          <w:szCs w:val="16"/>
          <w:color w:val="auto"/>
        </w:rPr>
      </w:pPr>
    </w:p>
    <w:p>
      <w:pPr>
        <w:ind w:left="460" w:right="20" w:firstLine="421"/>
        <w:spacing w:after="0" w:line="255" w:lineRule="auto"/>
        <w:tabs>
          <w:tab w:leader="none" w:pos="1135"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the amount by which Indebtedness or Disqualified Stock incurred or issued since the Issue Date is reduced on the Company’s consolidated balance sheet upon the conversion or exchange (other than by a Subsidiary of the Company) into Capital Stock of the Company that is not Disqualified Stock (less the amount of any cash, or the Fair Market Value of any other asset, distributed by the Company or any Restricted Subsidiary upon such conversion or exchange);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will not exceed the aggregate Net Proceeds received by the Company or any Restricted Subsidiary since the Issue Date from the issuance and sale (other than to a Subsidiary of the Company) of such Indebtedness or Disqualified Stock; </w:t>
      </w:r>
      <w:r>
        <w:rPr>
          <w:rFonts w:ascii="Arial" w:cs="Arial" w:eastAsia="Arial" w:hAnsi="Arial"/>
          <w:sz w:val="18"/>
          <w:szCs w:val="18"/>
          <w:i w:val="1"/>
          <w:iCs w:val="1"/>
          <w:color w:val="auto"/>
        </w:rPr>
        <w:t>plus</w:t>
      </w:r>
    </w:p>
    <w:p>
      <w:pPr>
        <w:spacing w:after="0" w:line="85" w:lineRule="exact"/>
        <w:rPr>
          <w:rFonts w:ascii="Arial" w:cs="Arial" w:eastAsia="Arial" w:hAnsi="Arial"/>
          <w:sz w:val="18"/>
          <w:szCs w:val="18"/>
          <w:color w:val="auto"/>
        </w:rPr>
      </w:pPr>
    </w:p>
    <w:p>
      <w:pPr>
        <w:ind w:left="460" w:right="160" w:firstLine="421"/>
        <w:spacing w:after="0" w:line="302" w:lineRule="auto"/>
        <w:tabs>
          <w:tab w:leader="none" w:pos="1125"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100% of any dividends received by the Company or a Restricted Subsidiary of the Company after the Issue Date from an Unrestricted Subsidiary of the Company, to the extent that such dividends were not otherwise included in the Consolidated Net Income of the Company for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amount calculated pursuant to this clause (e) may not exceed the aggregate amount of Restricted Investments made by the Company and its Restricted Subsidiaries in such Unrestricted Subsidiary since the Issue Date; </w:t>
      </w:r>
      <w:r>
        <w:rPr>
          <w:rFonts w:ascii="Arial" w:cs="Arial" w:eastAsia="Arial" w:hAnsi="Arial"/>
          <w:sz w:val="16"/>
          <w:szCs w:val="16"/>
          <w:i w:val="1"/>
          <w:iCs w:val="1"/>
          <w:color w:val="auto"/>
        </w:rPr>
        <w:t>plus</w:t>
      </w:r>
    </w:p>
    <w:p>
      <w:pPr>
        <w:spacing w:after="0" w:line="46" w:lineRule="exact"/>
        <w:rPr>
          <w:rFonts w:ascii="Arial" w:cs="Arial" w:eastAsia="Arial" w:hAnsi="Arial"/>
          <w:sz w:val="16"/>
          <w:szCs w:val="16"/>
          <w:color w:val="auto"/>
        </w:rPr>
      </w:pPr>
    </w:p>
    <w:p>
      <w:pPr>
        <w:ind w:left="460" w:right="40" w:firstLine="421"/>
        <w:spacing w:after="0" w:line="288" w:lineRule="auto"/>
        <w:tabs>
          <w:tab w:leader="none" w:pos="1105" w:val="left"/>
        </w:tabs>
        <w:numPr>
          <w:ilvl w:val="1"/>
          <w:numId w:val="84"/>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the Company designated as such after the Issue Date is redesignated as a Restricted Subsidiary after the Issue Date, in a transaction that is treated as a Restricted Investment (and not a Permitted Investment), the Fair Market Value of the Company’s Investment in such Subsidiary as of the date of such redesignation provided that the amount calculated pursuant to this clause</w:t>
      </w:r>
    </w:p>
    <w:p>
      <w:pPr>
        <w:ind w:left="460" w:right="260" w:firstLine="1"/>
        <w:spacing w:after="0" w:line="261"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not exceed the aggregate amount of Restricted Investments made by the Company and its Restricted Subsidiaries in such Unrestricted Subsidiary made since the Issue Date.</w:t>
      </w:r>
    </w:p>
    <w:p>
      <w:pPr>
        <w:spacing w:after="0" w:line="292" w:lineRule="exact"/>
        <w:rPr>
          <w:sz w:val="20"/>
          <w:szCs w:val="20"/>
          <w:color w:val="auto"/>
        </w:rPr>
      </w:pPr>
    </w:p>
    <w:p>
      <w:pPr>
        <w:ind w:left="260" w:hanging="256"/>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firstLine="443"/>
        <w:spacing w:after="0" w:line="264"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irrevocable redemption within 90 days after the date of declaration of the dividend or distribution or giving of the redemption notice, as the case may be, if at the date of declaration or notice, the dividend or distribution or redemption payment would have complied with the provisions of this Indenture;</w:t>
      </w:r>
    </w:p>
    <w:p>
      <w:pPr>
        <w:spacing w:after="0" w:line="73" w:lineRule="exact"/>
        <w:rPr>
          <w:rFonts w:ascii="Arial" w:cs="Arial" w:eastAsia="Arial" w:hAnsi="Arial"/>
          <w:sz w:val="18"/>
          <w:szCs w:val="18"/>
          <w:color w:val="auto"/>
        </w:rPr>
      </w:pPr>
    </w:p>
    <w:p>
      <w:pPr>
        <w:ind w:right="180" w:firstLine="443"/>
        <w:spacing w:after="0" w:line="259"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(ii)(b) of Section 4.07(a) hereof;</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700" w:top="274" w:right="259" w:bottom="1440" w:gutter="0" w:footer="0" w:header="0"/>
        </w:sectPr>
      </w:pPr>
    </w:p>
    <w:bookmarkStart w:id="59" w:name="page60"/>
    <w:bookmarkEnd w:id="59"/>
    <w:p>
      <w:pPr>
        <w:ind w:right="180" w:firstLine="443"/>
        <w:spacing w:after="0" w:line="264"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repurchase, redemption, defeasance or other acquisition or retirement for value of Indebtedness of the Company or any Guarantor that is contractually subordinated to the Notes or to any Note Guarantee in exchange for, or with the net cash proceeds from a substantially concurrent incurrence of, Permitted Refinancing Indebtedness;</w:t>
      </w:r>
    </w:p>
    <w:p>
      <w:pPr>
        <w:spacing w:after="0" w:line="73" w:lineRule="exact"/>
        <w:rPr>
          <w:rFonts w:ascii="Arial" w:cs="Arial" w:eastAsia="Arial" w:hAnsi="Arial"/>
          <w:sz w:val="18"/>
          <w:szCs w:val="18"/>
          <w:color w:val="auto"/>
        </w:rPr>
      </w:pPr>
    </w:p>
    <w:p>
      <w:pPr>
        <w:ind w:right="74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of the Company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62" w:lineRule="exact"/>
        <w:rPr>
          <w:rFonts w:ascii="Arial" w:cs="Arial" w:eastAsia="Arial" w:hAnsi="Arial"/>
          <w:sz w:val="18"/>
          <w:szCs w:val="18"/>
          <w:color w:val="auto"/>
        </w:rPr>
      </w:pPr>
    </w:p>
    <w:p>
      <w:pPr>
        <w:ind w:firstLine="443"/>
        <w:spacing w:after="0" w:line="272" w:lineRule="auto"/>
        <w:tabs>
          <w:tab w:leader="none" w:pos="693"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be caused thereby, the repurchase, redemption or other acquisition or retirement for value of any Equity Interests of the Company or any Restricted Subsidiary of the Company held by any current or former officer, director or employee of the Company or any Restricted Subsidiary (or permitted transferees of such officers, directors or employees) pursuant to any equity subscription agreement, stock option agreement, stockholders’ agreement or similar agreement or other agreement approved by the Board of Directors;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aggregate price paid for all such repurchased, redeemed, acquired or retired Equity Interests may not exceed $5.0 million in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twelve-month period, with unused amounts pursuant to this clause (5) being carried over to one or more succeeding twelve-month periods;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such amount exceed $10.0 million in any twelve-month period;</w:t>
      </w:r>
    </w:p>
    <w:p>
      <w:pPr>
        <w:spacing w:after="0" w:line="69" w:lineRule="exact"/>
        <w:rPr>
          <w:rFonts w:ascii="Arial" w:cs="Arial" w:eastAsia="Arial" w:hAnsi="Arial"/>
          <w:sz w:val="17"/>
          <w:szCs w:val="17"/>
          <w:color w:val="auto"/>
        </w:rPr>
      </w:pPr>
    </w:p>
    <w:p>
      <w:pPr>
        <w:ind w:right="60" w:firstLine="443"/>
        <w:spacing w:after="0" w:line="259"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warrants or other convertible securities to the extent such Equity Interests represent all or a portion of the exercise price of those stock options, warrants or other convertible securities or are surrendered in connection with satisfying any federal or state income tax withholding obligation related to any such exercise or vesting of any stock options, warrants, convertible securities or other equity award;</w:t>
      </w:r>
    </w:p>
    <w:p>
      <w:pPr>
        <w:spacing w:after="0" w:line="78" w:lineRule="exact"/>
        <w:rPr>
          <w:rFonts w:ascii="Arial" w:cs="Arial" w:eastAsia="Arial" w:hAnsi="Arial"/>
          <w:sz w:val="18"/>
          <w:szCs w:val="18"/>
          <w:color w:val="auto"/>
        </w:rPr>
      </w:pPr>
    </w:p>
    <w:p>
      <w:pPr>
        <w:ind w:right="440" w:firstLine="443"/>
        <w:spacing w:after="0" w:line="264"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Issue Date not in violation of the covenant described in Section 4.09 hereof to the extent such dividends are included in the definition of “Fixed Charges”;</w:t>
      </w:r>
    </w:p>
    <w:p>
      <w:pPr>
        <w:spacing w:after="0" w:line="73" w:lineRule="exact"/>
        <w:rPr>
          <w:rFonts w:ascii="Arial" w:cs="Arial" w:eastAsia="Arial" w:hAnsi="Arial"/>
          <w:sz w:val="18"/>
          <w:szCs w:val="18"/>
          <w:color w:val="auto"/>
        </w:rPr>
      </w:pPr>
    </w:p>
    <w:p>
      <w:pPr>
        <w:ind w:right="18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declaration and payment of regular quarterly dividends on the Company’s common Equity Interests in accordance with past practice and not to exceed $20.0 million per fiscal year;</w:t>
      </w:r>
    </w:p>
    <w:p>
      <w:pPr>
        <w:spacing w:after="0" w:line="62" w:lineRule="exact"/>
        <w:rPr>
          <w:rFonts w:ascii="Arial" w:cs="Arial" w:eastAsia="Arial" w:hAnsi="Arial"/>
          <w:sz w:val="18"/>
          <w:szCs w:val="18"/>
          <w:color w:val="auto"/>
        </w:rPr>
      </w:pPr>
    </w:p>
    <w:p>
      <w:pPr>
        <w:ind w:right="6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cash payments in lieu of issuance of fractional shares in connection with the exercise of warrants, stock options or other securities convertible into or exchangeable for the Equity Interests of NN, Inc. or a Restricted Subsidiary;</w:t>
      </w:r>
    </w:p>
    <w:p>
      <w:pPr>
        <w:spacing w:after="0" w:line="62" w:lineRule="exact"/>
        <w:rPr>
          <w:rFonts w:ascii="Arial" w:cs="Arial" w:eastAsia="Arial" w:hAnsi="Arial"/>
          <w:sz w:val="18"/>
          <w:szCs w:val="18"/>
          <w:color w:val="auto"/>
        </w:rPr>
      </w:pPr>
    </w:p>
    <w:p>
      <w:pPr>
        <w:ind w:firstLine="443"/>
        <w:spacing w:after="0" w:line="259" w:lineRule="auto"/>
        <w:tabs>
          <w:tab w:leader="none" w:pos="7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(A) upon the exercise of stock options, warrants or similar rights to the extent such Equity Interests represent a portion of the exercise price of those stock options or warrants, (B) as a result of common shares utilized to satisfy tax withholding obligations upon exercise of stock options or vesting of other equity awards or (C) upon the cancellation of stock options, warrants or other equity awards;</w:t>
      </w:r>
    </w:p>
    <w:p>
      <w:pPr>
        <w:spacing w:after="0" w:line="78" w:lineRule="exact"/>
        <w:rPr>
          <w:rFonts w:ascii="Arial" w:cs="Arial" w:eastAsia="Arial" w:hAnsi="Arial"/>
          <w:sz w:val="18"/>
          <w:szCs w:val="18"/>
          <w:color w:val="auto"/>
        </w:rPr>
      </w:pPr>
    </w:p>
    <w:p>
      <w:pPr>
        <w:ind w:right="440" w:firstLine="443"/>
        <w:spacing w:after="0" w:line="277" w:lineRule="auto"/>
        <w:tabs>
          <w:tab w:leader="none" w:pos="7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purchase, repurchase, redemption or other acquisition or retirement for nominal value of common stock or preferred stock purchase rights issued in connection with any stockholder rights plan that may be adopted by the Company;</w:t>
      </w:r>
    </w:p>
    <w:p>
      <w:pPr>
        <w:spacing w:after="0" w:line="62" w:lineRule="exact"/>
        <w:rPr>
          <w:rFonts w:ascii="Arial" w:cs="Arial" w:eastAsia="Arial" w:hAnsi="Arial"/>
          <w:sz w:val="18"/>
          <w:szCs w:val="18"/>
          <w:color w:val="auto"/>
        </w:rPr>
      </w:pPr>
    </w:p>
    <w:p>
      <w:pPr>
        <w:ind w:right="200" w:firstLine="443"/>
        <w:spacing w:after="0" w:line="277" w:lineRule="auto"/>
        <w:tabs>
          <w:tab w:leader="none" w:pos="7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the avoidance of doubt, the Transactions and the payment of fees and expenses in connection with the Transactions and the payment of Receivables Fees;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74" w:right="239" w:bottom="1440" w:gutter="0" w:footer="0" w:header="0"/>
        </w:sectPr>
      </w:pPr>
    </w:p>
    <w:bookmarkStart w:id="60" w:name="page61"/>
    <w:bookmarkEnd w:id="60"/>
    <w:p>
      <w:pPr>
        <w:ind w:left="460" w:right="60" w:firstLine="443"/>
        <w:spacing w:after="0" w:line="255"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Restricted Payments in an aggregate amount since the Issue Date not to exceed $40.0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available to make Restricted Payments pursuant to this clause (13) shall not exceed $10.0 million in the aggregate since the Issue Date when the Consolidated Total Net Debt Ratio is greater than 4.0 to 1.0 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amount available to make Restricted Payments pursuant to this clause (13) shall not exceed $20.0 million in the aggregate since the Issue Date when the Consolidated Total Net Debt Ratio is equal to or less than 4.0 to 1.0 but greater than 3.5 to 1.0 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amount of any Restricted Payment (other than cash) will be the Fair Market Value on the date of the Restricted Payment of the asset(s) or securities proposed to be transferred or issued by the Company or such Restricted Subsidiary, as the case may be, pursuant to the Restricted Payment. For purposes of determining compliance with this Section 4.07, in the event that a payment or other action meets the criteria of more than one of the exceptions described in clauses (1) through (13) of Section 4.07(b) hereof, or is entitled to be made pursuant to Section 4.07(a) hereof (including any payment or other action that constitutes a “Permitted Investment”), the Company will be permitted to classify such payment or other action on the date of its occurrence in any manner that complies with this Section 4.07 (including any payment or other action that constitutes a “Permitted Investment”). Payments or other actions permitted by this Section 4.07 need not be permitted solely by reference to one provision permitting such payment or other action (including any payment or other action that constitutes a “Permitted Investment”), but may be permitted in part by one such provision and in part by one or more other provisions of this Section 4.07 permitting payment or other action (including any payment or other action that constitutes a “Permitted Investment”).</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Restricted Subsidiaries.</w:t>
      </w:r>
    </w:p>
    <w:p>
      <w:pPr>
        <w:spacing w:after="0" w:line="117" w:lineRule="exact"/>
        <w:rPr>
          <w:sz w:val="20"/>
          <w:szCs w:val="20"/>
          <w:color w:val="auto"/>
        </w:rPr>
      </w:pPr>
    </w:p>
    <w:p>
      <w:pPr>
        <w:ind w:right="200" w:firstLine="464"/>
        <w:spacing w:after="0" w:line="277" w:lineRule="auto"/>
        <w:tabs>
          <w:tab w:leader="none" w:pos="7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62" w:lineRule="exact"/>
        <w:rPr>
          <w:rFonts w:ascii="Arial" w:cs="Arial" w:eastAsia="Arial" w:hAnsi="Arial"/>
          <w:sz w:val="18"/>
          <w:szCs w:val="18"/>
          <w:color w:val="auto"/>
        </w:rPr>
      </w:pPr>
    </w:p>
    <w:p>
      <w:pPr>
        <w:ind w:left="460" w:right="40" w:firstLine="443"/>
        <w:spacing w:after="0" w:line="342" w:lineRule="auto"/>
        <w:tabs>
          <w:tab w:leader="none" w:pos="1153" w:val="left"/>
        </w:tabs>
        <w:numPr>
          <w:ilvl w:val="1"/>
          <w:numId w:val="89"/>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left="460" w:right="300" w:firstLine="443"/>
        <w:spacing w:after="0" w:line="302" w:lineRule="auto"/>
        <w:tabs>
          <w:tab w:leader="none" w:pos="1153"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agreements governing Indebtedness outstanding of the Issue Date and Credit Facilities as in effect on the Issue Date and any amendments, restatements, modifications, renewals, increases supplements, refundings, replacements or refinancings of those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amendments, restatements, modifications, renewals, increases, supplements, refundings, replacements or refinancings are not materially more restrictive, taken as a whole, with respect to such encumbrances and restrictions than those contained in those agreements on the Issue Date;</w:t>
      </w:r>
    </w:p>
    <w:p>
      <w:pPr>
        <w:spacing w:after="0" w:line="46" w:lineRule="exact"/>
        <w:rPr>
          <w:rFonts w:ascii="Arial" w:cs="Arial" w:eastAsia="Arial" w:hAnsi="Arial"/>
          <w:sz w:val="16"/>
          <w:szCs w:val="16"/>
          <w:color w:val="auto"/>
        </w:rPr>
      </w:pPr>
    </w:p>
    <w:p>
      <w:pPr>
        <w:ind w:left="460" w:right="920" w:firstLine="443"/>
        <w:spacing w:after="0" w:line="277" w:lineRule="auto"/>
        <w:tabs>
          <w:tab w:leader="none" w:pos="115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this Indenture, the Notes and the Note Guarantees and the Exchange Notes and the related Guarantees to be issued pursuant to the Registration Rights Agreement;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instrument governing Indebtedness or Capital Stock of a Person acquired by the Company or any of its Restricted Subsidiaries as in effect at the time of such acquisition (except to the extent such Indebtedness or Capital Stock was incurred in connection with or in contemplation of such acquisition),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61" w:name="page62"/>
    <w:bookmarkEnd w:id="61"/>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which encumbrance or restriction is not applicable to any Person, or the properties or assets of any Person, other than the Person, or the property or assets of the Person, so acquired and any amendments, restatements, modifications, renewals, increases, supplements, refundings, replacements or refinancings of such instrument;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Indebtedness, such Indebtedness was permitted by the terms of this Indenture to be incurred and in the case of amendments, restatements, modifications, renewals, increases, supplements, refundings, replacements or refinancings, such amendments, restatements, modifications, renewals, increases, supplements, refundings, replacements or refinancings are not more materially more restrictive, taken as a whole, with respect to such encumbrances and restrictions, than those contained in those agreements on the Issue Date;</w:t>
      </w:r>
    </w:p>
    <w:p>
      <w:pPr>
        <w:spacing w:after="0" w:line="57" w:lineRule="exact"/>
        <w:rPr>
          <w:sz w:val="20"/>
          <w:szCs w:val="20"/>
          <w:color w:val="auto"/>
        </w:rPr>
      </w:pPr>
    </w:p>
    <w:p>
      <w:pPr>
        <w:ind w:left="700" w:hanging="257"/>
        <w:spacing w:after="0"/>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customary non-assignment provisions in contracts, leases, licenses and other similar agreements entered into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right="40" w:firstLine="443"/>
        <w:spacing w:after="0" w:line="277" w:lineRule="auto"/>
        <w:tabs>
          <w:tab w:leader="none" w:pos="6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clause (3) of Section 4.08(a) hereof;</w:t>
      </w:r>
    </w:p>
    <w:p>
      <w:pPr>
        <w:spacing w:after="0" w:line="62"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or the assets of a Restricted Subsidiary pending the sale or other disposition of such assets or Restricted Subsidiary;</w:t>
      </w:r>
    </w:p>
    <w:p>
      <w:pPr>
        <w:spacing w:after="0" w:line="62" w:lineRule="exact"/>
        <w:rPr>
          <w:rFonts w:ascii="Arial" w:cs="Arial" w:eastAsia="Arial" w:hAnsi="Arial"/>
          <w:sz w:val="18"/>
          <w:szCs w:val="18"/>
          <w:color w:val="auto"/>
        </w:rPr>
      </w:pPr>
    </w:p>
    <w:p>
      <w:pPr>
        <w:ind w:right="20" w:firstLine="443"/>
        <w:spacing w:after="0" w:line="342" w:lineRule="auto"/>
        <w:tabs>
          <w:tab w:leader="none" w:pos="69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Permitted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15" w:lineRule="exact"/>
        <w:rPr>
          <w:rFonts w:ascii="Arial" w:cs="Arial" w:eastAsia="Arial" w:hAnsi="Arial"/>
          <w:sz w:val="16"/>
          <w:szCs w:val="16"/>
          <w:color w:val="auto"/>
        </w:rPr>
      </w:pPr>
    </w:p>
    <w:p>
      <w:pPr>
        <w:ind w:right="180" w:firstLine="443"/>
        <w:spacing w:after="0" w:line="277" w:lineRule="auto"/>
        <w:tabs>
          <w:tab w:leader="none" w:pos="6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right="140" w:firstLine="443"/>
        <w:spacing w:after="0" w:line="264"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the Company’s Board of Directors, which limitation is applicable only to the assets that are the subject of such agreements;</w:t>
      </w:r>
    </w:p>
    <w:p>
      <w:pPr>
        <w:spacing w:after="0" w:line="73" w:lineRule="exact"/>
        <w:rPr>
          <w:rFonts w:ascii="Arial" w:cs="Arial" w:eastAsia="Arial" w:hAnsi="Arial"/>
          <w:sz w:val="18"/>
          <w:szCs w:val="18"/>
          <w:color w:val="auto"/>
        </w:rPr>
      </w:pPr>
    </w:p>
    <w:p>
      <w:pPr>
        <w:ind w:left="780" w:hanging="33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agreements governing Indebtedness of any Foreign Subsidiary incurred in compliance with this Indenture;</w:t>
      </w:r>
    </w:p>
    <w:p>
      <w:pPr>
        <w:spacing w:after="0" w:line="117" w:lineRule="exact"/>
        <w:rPr>
          <w:rFonts w:ascii="Arial" w:cs="Arial" w:eastAsia="Arial" w:hAnsi="Arial"/>
          <w:sz w:val="18"/>
          <w:szCs w:val="18"/>
          <w:color w:val="auto"/>
        </w:rPr>
      </w:pPr>
    </w:p>
    <w:p>
      <w:pPr>
        <w:ind w:right="220" w:firstLine="443"/>
        <w:spacing w:after="0" w:line="277"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leases or contracts with customers, in each case, entered into in the ordinary course of business;</w:t>
      </w:r>
    </w:p>
    <w:p>
      <w:pPr>
        <w:spacing w:after="0" w:line="62" w:lineRule="exact"/>
        <w:rPr>
          <w:rFonts w:ascii="Arial" w:cs="Arial" w:eastAsia="Arial" w:hAnsi="Arial"/>
          <w:sz w:val="18"/>
          <w:szCs w:val="18"/>
          <w:color w:val="auto"/>
        </w:rPr>
      </w:pPr>
    </w:p>
    <w:p>
      <w:pPr>
        <w:ind w:right="140" w:firstLine="443"/>
        <w:spacing w:after="0" w:line="257"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encumbrance or restriction pursuant to an agreement in effect on the Issue Date, as such encumbrance or restriction is in effect on such date, and any encumbrances or restrictions imposed by amendments, restatements, modifications, renewals, increases, supplements, refundings, replacements or refinancings of such agreement; provided that such amendments, restatements, modifications, renewals, increases, supplements, refundings, replacements or refinancings are not more materially restrictive, taken as a whole, with respect to such encumbrances and restrictions than those contained in those agreements on the Issue Date;</w:t>
      </w:r>
    </w:p>
    <w:p>
      <w:pPr>
        <w:spacing w:after="0" w:line="80" w:lineRule="exact"/>
        <w:rPr>
          <w:rFonts w:ascii="Arial" w:cs="Arial" w:eastAsia="Arial" w:hAnsi="Arial"/>
          <w:sz w:val="18"/>
          <w:szCs w:val="18"/>
          <w:color w:val="auto"/>
        </w:rPr>
      </w:pPr>
    </w:p>
    <w:p>
      <w:pPr>
        <w:ind w:right="340" w:firstLine="443"/>
        <w:spacing w:after="0" w:line="277"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covenants to maintain net worth, total assets or liquidity and similar financial responsibility covenants under contracts with customers or suppliers in the ordinary course of business;</w:t>
      </w:r>
    </w:p>
    <w:p>
      <w:pPr>
        <w:spacing w:after="0" w:line="170" w:lineRule="exact"/>
        <w:rPr>
          <w:rFonts w:ascii="Arial" w:cs="Arial" w:eastAsia="Arial" w:hAnsi="Arial"/>
          <w:sz w:val="18"/>
          <w:szCs w:val="18"/>
          <w:color w:val="auto"/>
        </w:rPr>
      </w:pPr>
    </w:p>
    <w:p>
      <w:pPr>
        <w:ind w:right="580" w:firstLine="443"/>
        <w:spacing w:after="0" w:line="308" w:lineRule="auto"/>
        <w:tabs>
          <w:tab w:leader="none" w:pos="7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any encumbrance or restriction in any agreement or instrument governing or in connection with a Qualified Receivables Transaction;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restrictions apply only to the Receivables that are subject to such Qualified Receivables Transaction; and</w:t>
      </w:r>
    </w:p>
    <w:p>
      <w:pPr>
        <w:spacing w:after="0" w:line="38" w:lineRule="exact"/>
        <w:rPr>
          <w:rFonts w:ascii="Arial" w:cs="Arial" w:eastAsia="Arial" w:hAnsi="Arial"/>
          <w:sz w:val="17"/>
          <w:szCs w:val="17"/>
          <w:color w:val="auto"/>
        </w:rPr>
      </w:pPr>
    </w:p>
    <w:p>
      <w:pPr>
        <w:ind w:firstLine="443"/>
        <w:spacing w:after="0" w:line="264" w:lineRule="auto"/>
        <w:tabs>
          <w:tab w:leader="none" w:pos="7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instrument governing Indebtedness permitted to be incurred under this Indenture so long as the encumbrances and restrictions imposed pursuant to such instruments are no more restrictive, taken as a whole, than those encumbrances and restrictions contained in the Credit Facilities on the Issue Date.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74" w:right="239" w:bottom="1440" w:gutter="0" w:footer="0" w:header="0"/>
        </w:sectPr>
      </w:pPr>
    </w:p>
    <w:bookmarkStart w:id="62" w:name="page63"/>
    <w:bookmarkEnd w:id="62"/>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4.09</w:t>
      </w:r>
      <w:r>
        <w:rPr>
          <w:sz w:val="20"/>
          <w:szCs w:val="20"/>
          <w:color w:val="auto"/>
        </w:rPr>
        <w:tab/>
      </w:r>
      <w:r>
        <w:rPr>
          <w:rFonts w:ascii="Arial" w:cs="Arial" w:eastAsia="Arial" w:hAnsi="Arial"/>
          <w:sz w:val="16"/>
          <w:szCs w:val="16"/>
          <w:i w:val="1"/>
          <w:iCs w:val="1"/>
          <w:color w:val="auto"/>
        </w:rPr>
        <w:t>Incurrence of Indebtedness and Issuance of Preferred Stock.</w:t>
      </w:r>
    </w:p>
    <w:p>
      <w:pPr>
        <w:spacing w:after="0" w:line="117" w:lineRule="exact"/>
        <w:rPr>
          <w:sz w:val="20"/>
          <w:szCs w:val="20"/>
          <w:color w:val="auto"/>
        </w:rPr>
      </w:pPr>
    </w:p>
    <w:p>
      <w:pPr>
        <w:ind w:firstLine="464"/>
        <w:spacing w:after="0" w:line="270" w:lineRule="auto"/>
        <w:tabs>
          <w:tab w:leader="none" w:pos="701"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incur Indebtedness (including Acquired Debt) or issue Disqualified Stock, and any Guarantor may incur Indebtedness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Acquired Debt) or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289" w:lineRule="exact"/>
        <w:rPr>
          <w:rFonts w:ascii="Arial" w:cs="Arial" w:eastAsia="Arial" w:hAnsi="Arial"/>
          <w:sz w:val="17"/>
          <w:szCs w:val="17"/>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provisions of Section 4.09(a) hereof will not prohibit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40" w:firstLine="443"/>
        <w:spacing w:after="0" w:line="279" w:lineRule="auto"/>
        <w:tabs>
          <w:tab w:leader="none" w:pos="1153"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incurrence by the Company and any Restricted Subsidiaries of additional Indebtedness and letters of credit under Credit Facilities in an aggregate principal amount (excluding the amount of any Hedging Obligations and banking service, treasury management and other similar Obligations) at any one time outstanding under this clause (1) (with letters of credit being deemed to have a principal amount equal to the maximum potential liability of the Company and its Restricted Subsidiaries thereunder) not to exceed $725.0 million;</w:t>
      </w:r>
    </w:p>
    <w:p>
      <w:pPr>
        <w:spacing w:after="0" w:line="63" w:lineRule="exact"/>
        <w:rPr>
          <w:rFonts w:ascii="Arial" w:cs="Arial" w:eastAsia="Arial" w:hAnsi="Arial"/>
          <w:sz w:val="17"/>
          <w:szCs w:val="17"/>
          <w:color w:val="auto"/>
        </w:rPr>
      </w:pPr>
    </w:p>
    <w:p>
      <w:pPr>
        <w:ind w:left="460" w:right="660" w:firstLine="443"/>
        <w:spacing w:after="0" w:line="342" w:lineRule="auto"/>
        <w:tabs>
          <w:tab w:leader="none" w:pos="1153"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incurrence by the Company and its Restricted Subsidiaries of the Existing Indebtedness outstanding on the Issue Date (other than Indebtedness outstanding under clause (1) above or clause (3) below and Indebtedness being repaid with the proceeds of the Initial Notes);</w:t>
      </w:r>
    </w:p>
    <w:p>
      <w:pPr>
        <w:spacing w:after="0" w:line="15" w:lineRule="exact"/>
        <w:rPr>
          <w:rFonts w:ascii="Arial" w:cs="Arial" w:eastAsia="Arial" w:hAnsi="Arial"/>
          <w:sz w:val="16"/>
          <w:szCs w:val="16"/>
          <w:color w:val="auto"/>
        </w:rPr>
      </w:pPr>
    </w:p>
    <w:p>
      <w:pPr>
        <w:jc w:val="both"/>
        <w:ind w:left="460" w:right="60" w:firstLine="443"/>
        <w:spacing w:after="0" w:line="259" w:lineRule="auto"/>
        <w:tabs>
          <w:tab w:leader="none" w:pos="1153"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and the related Note Guarantees to be issued on the Issue Date and the Exchange Notes and the related Note Guarantees to be issued pursuant to the Registration Rights Agreement (and any Exchange Notes issued in exchange for Additional Notes properly incurred under this Indenture, where the terms of such Exchange Notes are substantially identical to such Additional Notes);</w:t>
      </w:r>
    </w:p>
    <w:p>
      <w:pPr>
        <w:spacing w:after="0" w:line="78" w:lineRule="exact"/>
        <w:rPr>
          <w:rFonts w:ascii="Arial" w:cs="Arial" w:eastAsia="Arial" w:hAnsi="Arial"/>
          <w:sz w:val="18"/>
          <w:szCs w:val="18"/>
          <w:color w:val="auto"/>
        </w:rPr>
      </w:pPr>
    </w:p>
    <w:p>
      <w:pPr>
        <w:ind w:left="460" w:right="240" w:firstLine="443"/>
        <w:spacing w:after="0" w:line="273" w:lineRule="auto"/>
        <w:tabs>
          <w:tab w:leader="none" w:pos="1153"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the incurrence by the Company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used in the business of the Company or any of its Restricted Subsidiaries,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aggregate principal amount of any such incurrence does not cause the aggregate principal amount of Indebtedness then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clause (4), including all Permitted Refinancing Indebtedness incurred to renew, refund, refinance, replace, defease or discharge any Indebtedness incurred pursuant to this clause (4), to exceed $40.0 million;</w:t>
      </w:r>
    </w:p>
    <w:p>
      <w:pPr>
        <w:spacing w:after="0" w:line="70" w:lineRule="exact"/>
        <w:rPr>
          <w:rFonts w:ascii="Arial" w:cs="Arial" w:eastAsia="Arial" w:hAnsi="Arial"/>
          <w:sz w:val="17"/>
          <w:szCs w:val="17"/>
          <w:color w:val="auto"/>
        </w:rPr>
      </w:pPr>
    </w:p>
    <w:p>
      <w:pPr>
        <w:ind w:left="460" w:firstLine="443"/>
        <w:spacing w:after="0" w:line="286" w:lineRule="auto"/>
        <w:tabs>
          <w:tab w:leader="none" w:pos="1153"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Permitted Refinancing Indebtedness in exchange for, or the net proceeds of which are used to renew, refund, refinance, replace, defease or discharge any Indebtedness (other than intercompany Indebtedness) that was permitted by this Indenture to be incurred under Section 4.09(a) hereof or clauses (2), (3), (4), (5), (14) or (19) of this Section 4.09(b);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63" w:name="page64"/>
    <w:bookmarkEnd w:id="63"/>
    <w:p>
      <w:pPr>
        <w:ind w:right="180" w:firstLine="443"/>
        <w:spacing w:after="0" w:line="277" w:lineRule="auto"/>
        <w:tabs>
          <w:tab w:leader="none" w:pos="693"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incurrence by the Company or any of its Restricted Subsidiaries of intercompany Indebtedness between or among the Company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460" w:right="60" w:firstLine="421"/>
        <w:spacing w:after="0" w:line="264" w:lineRule="auto"/>
        <w:tabs>
          <w:tab w:leader="none" w:pos="1125"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the payee is not the Company or a Guarantor, such Indebtedness must be expressly subordinated to the prior payment in full in cash of all Obligations then due with respect to the Notes, in the case of the Company, or the Note Guarantee, in the case of a Guarantor; and</w:t>
      </w:r>
    </w:p>
    <w:p>
      <w:pPr>
        <w:spacing w:after="0" w:line="73" w:lineRule="exact"/>
        <w:rPr>
          <w:rFonts w:ascii="Arial" w:cs="Arial" w:eastAsia="Arial" w:hAnsi="Arial"/>
          <w:sz w:val="18"/>
          <w:szCs w:val="18"/>
          <w:color w:val="auto"/>
        </w:rPr>
      </w:pPr>
    </w:p>
    <w:p>
      <w:pPr>
        <w:ind w:left="460" w:right="100" w:firstLine="421"/>
        <w:spacing w:after="0" w:line="279" w:lineRule="auto"/>
        <w:tabs>
          <w:tab w:leader="none" w:pos="1135" w:val="left"/>
        </w:tabs>
        <w:numPr>
          <w:ilvl w:val="1"/>
          <w:numId w:val="92"/>
        </w:numPr>
        <w:rPr>
          <w:rFonts w:ascii="Arial" w:cs="Arial" w:eastAsia="Arial" w:hAnsi="Arial"/>
          <w:sz w:val="17"/>
          <w:szCs w:val="17"/>
          <w:color w:val="auto"/>
        </w:rPr>
      </w:pPr>
      <w:r>
        <w:rPr>
          <w:rFonts w:ascii="Arial" w:cs="Arial" w:eastAsia="Arial" w:hAnsi="Arial"/>
          <w:sz w:val="17"/>
          <w:szCs w:val="17"/>
          <w:color w:val="auto"/>
        </w:rPr>
        <w:t>(i) any subsequent issuance or transfer of Equity Interests that results in any such Indebtedness being held by a Person other than the Company or a Restricted Subsidiary of the Company and (ii) any sale or other transfer of any such Indebtedness to a Person that is not either the Company or a Restricted Subsidiary of the Company, will be deemed, in each case, to constitute an incurrence of such Indebtedness by the Company or such Restricted Subsidiary, as the case may be, that was not permitted by this clause (6);</w:t>
      </w:r>
    </w:p>
    <w:p>
      <w:pPr>
        <w:spacing w:after="0" w:line="63" w:lineRule="exact"/>
        <w:rPr>
          <w:rFonts w:ascii="Arial" w:cs="Arial" w:eastAsia="Arial" w:hAnsi="Arial"/>
          <w:sz w:val="17"/>
          <w:szCs w:val="17"/>
          <w:color w:val="auto"/>
        </w:rPr>
      </w:pPr>
    </w:p>
    <w:p>
      <w:pPr>
        <w:ind w:right="260" w:firstLine="443"/>
        <w:spacing w:after="0" w:line="277" w:lineRule="auto"/>
        <w:tabs>
          <w:tab w:leader="none" w:pos="6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issuance by any of the Company’s Restricted Subsidiaries to the Company or to any of its Restricted Subsidiaries of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460" w:right="360" w:firstLine="421"/>
        <w:spacing w:after="0" w:line="277" w:lineRule="auto"/>
        <w:tabs>
          <w:tab w:leader="none" w:pos="112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ind w:left="460" w:right="60" w:firstLine="421"/>
        <w:spacing w:after="0" w:line="264" w:lineRule="auto"/>
        <w:tabs>
          <w:tab w:leader="none" w:pos="11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the Company or a Restricted Subsidiary of the Company, will be deemed, in each case, to constitute an issuance of such preferred stock by such Restricted Subsidiary that was not permitted by this clause (7);</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w:t>
      </w:r>
    </w:p>
    <w:p>
      <w:pPr>
        <w:spacing w:after="0" w:line="117" w:lineRule="exact"/>
        <w:rPr>
          <w:rFonts w:ascii="Arial" w:cs="Arial" w:eastAsia="Arial" w:hAnsi="Arial"/>
          <w:sz w:val="18"/>
          <w:szCs w:val="18"/>
          <w:color w:val="auto"/>
        </w:rPr>
      </w:pPr>
    </w:p>
    <w:p>
      <w:pPr>
        <w:ind w:right="120" w:firstLine="443"/>
        <w:spacing w:after="0" w:line="312" w:lineRule="auto"/>
        <w:tabs>
          <w:tab w:leader="none" w:pos="693"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guarantee by the Company or any of the Guarantors of Indebtedness of the Company or a Restricted Subsidiary of the Company that was permitted to be incurred by another provision of this Section 4.09;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then such Guarantee shall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38" w:lineRule="exact"/>
        <w:rPr>
          <w:rFonts w:ascii="Arial" w:cs="Arial" w:eastAsia="Arial" w:hAnsi="Arial"/>
          <w:sz w:val="16"/>
          <w:szCs w:val="16"/>
          <w:color w:val="auto"/>
        </w:rPr>
      </w:pPr>
    </w:p>
    <w:p>
      <w:pPr>
        <w:jc w:val="both"/>
        <w:ind w:right="500" w:firstLine="443"/>
        <w:spacing w:after="0" w:line="264"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in respect of workers’ compensation claims, self-insurance obligations, bankers’ acceptances, performance, completion and surety bonds and completion, performance and other guarantees in the ordinary course of business;</w:t>
      </w:r>
    </w:p>
    <w:p>
      <w:pPr>
        <w:spacing w:after="0" w:line="73" w:lineRule="exact"/>
        <w:rPr>
          <w:rFonts w:ascii="Arial" w:cs="Arial" w:eastAsia="Arial" w:hAnsi="Arial"/>
          <w:sz w:val="18"/>
          <w:szCs w:val="18"/>
          <w:color w:val="auto"/>
        </w:rPr>
      </w:pPr>
    </w:p>
    <w:p>
      <w:pPr>
        <w:ind w:right="80" w:firstLine="443"/>
        <w:spacing w:after="0" w:line="279" w:lineRule="auto"/>
        <w:tabs>
          <w:tab w:leader="none" w:pos="7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in respect of banking service, treasury management and other similar Obligations (including without limitation Indebtedness arising from the honoring by a bank or other financial institution of a check, draft or similar instrument inadvertently drawn against insufficient funds or in respect of netting services, overdraft protection and otherwise in connection with deposit accounts, so long as such Indebtedness is covered within five business days);</w:t>
      </w:r>
    </w:p>
    <w:p>
      <w:pPr>
        <w:spacing w:after="0" w:line="63" w:lineRule="exact"/>
        <w:rPr>
          <w:rFonts w:ascii="Arial" w:cs="Arial" w:eastAsia="Arial" w:hAnsi="Arial"/>
          <w:sz w:val="17"/>
          <w:szCs w:val="17"/>
          <w:color w:val="auto"/>
        </w:rPr>
      </w:pPr>
    </w:p>
    <w:p>
      <w:pPr>
        <w:jc w:val="both"/>
        <w:ind w:firstLine="443"/>
        <w:spacing w:after="0" w:line="312" w:lineRule="auto"/>
        <w:tabs>
          <w:tab w:leader="none" w:pos="7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incurrence by Foreign Subsidiaries of Indebtedness in an aggregate principal amount at any time outstanding pursuant to this clause (12), including all Permitted Refinancing Indebtedness incurred to renew, refund, refinance, replace, defease or discharge any Indebtedness incurred pursuant to this clause (12), not to exceed $25.0 million (or the equivalent thereof, measured at the time of each incurrence, in applicable foreign currency);</w:t>
      </w:r>
    </w:p>
    <w:p>
      <w:pPr>
        <w:spacing w:after="0" w:line="38" w:lineRule="exact"/>
        <w:rPr>
          <w:rFonts w:ascii="Arial" w:cs="Arial" w:eastAsia="Arial" w:hAnsi="Arial"/>
          <w:sz w:val="16"/>
          <w:szCs w:val="16"/>
          <w:color w:val="auto"/>
        </w:rPr>
      </w:pPr>
    </w:p>
    <w:p>
      <w:pPr>
        <w:ind w:right="40" w:firstLine="443"/>
        <w:spacing w:after="0" w:line="286" w:lineRule="auto"/>
        <w:tabs>
          <w:tab w:leader="none" w:pos="78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incurrence of Indebtedness arising from any agreement entered into by the Company or any of its Restricted Subsidiaries providing for indemnification, purchase price adjustment or similar obligations, in each case, incurred or assumed in connection with the acquisition or disposition of any business or assets of the Company or any of its Restricted Subsidiaries or Capital Stock of any of its Restricted</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700" w:top="274" w:right="239" w:bottom="1440" w:gutter="0" w:footer="0" w:header="0"/>
        </w:sectPr>
      </w:pPr>
    </w:p>
    <w:bookmarkStart w:id="64" w:name="page65"/>
    <w:bookmarkEnd w:id="64"/>
    <w:p>
      <w:pPr>
        <w:ind w:left="460"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maximum aggregate liability in respect of all such Indebtedness incurred pursuant to this clause (13) shall at no time exceed the gross proceeds actually received by the Company and its Restricted Subsidiaries in connection with such acquisitions or dispositions;</w:t>
      </w:r>
    </w:p>
    <w:p>
      <w:pPr>
        <w:spacing w:after="0" w:line="16" w:lineRule="exact"/>
        <w:rPr>
          <w:sz w:val="20"/>
          <w:szCs w:val="20"/>
          <w:color w:val="auto"/>
        </w:rPr>
      </w:pPr>
    </w:p>
    <w:p>
      <w:pPr>
        <w:ind w:left="1240" w:hanging="337"/>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of Permitted Acquisition Debt;</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incurrence of Indebtedness arising in connection with endorsement of instruments for deposit in the ordinary course of business;</w:t>
      </w:r>
    </w:p>
    <w:p>
      <w:pPr>
        <w:spacing w:after="0" w:line="128" w:lineRule="exact"/>
        <w:rPr>
          <w:rFonts w:ascii="Arial" w:cs="Arial" w:eastAsia="Arial" w:hAnsi="Arial"/>
          <w:sz w:val="17"/>
          <w:szCs w:val="17"/>
          <w:color w:val="auto"/>
        </w:rPr>
      </w:pPr>
    </w:p>
    <w:p>
      <w:pPr>
        <w:ind w:left="460" w:right="620" w:firstLine="443"/>
        <w:spacing w:after="0" w:line="308" w:lineRule="auto"/>
        <w:tabs>
          <w:tab w:leader="none" w:pos="124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incurrence of Indebtedness consisting of take-or-pay obligations contained in supply agreements relating to products, services or commodities of a type that the Company or any of its Subsidiaries uses or sells in the ordinary course of business;</w:t>
      </w:r>
    </w:p>
    <w:p>
      <w:pPr>
        <w:spacing w:after="0" w:line="38" w:lineRule="exact"/>
        <w:rPr>
          <w:rFonts w:ascii="Arial" w:cs="Arial" w:eastAsia="Arial" w:hAnsi="Arial"/>
          <w:sz w:val="17"/>
          <w:szCs w:val="17"/>
          <w:color w:val="auto"/>
        </w:rPr>
      </w:pPr>
    </w:p>
    <w:p>
      <w:pPr>
        <w:ind w:left="1240" w:hanging="337"/>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of Indebtedness consisting of the financing of insurance premiums;</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of Indebtedness consisting of Guarantees incurred in the ordinary course of business under repurchase agreements or similar agreements in connection with the financing of sales of goods in the ordinary course of business; and</w:t>
      </w:r>
    </w:p>
    <w:p>
      <w:pPr>
        <w:spacing w:after="0" w:line="62" w:lineRule="exact"/>
        <w:rPr>
          <w:rFonts w:ascii="Arial" w:cs="Arial" w:eastAsia="Arial" w:hAnsi="Arial"/>
          <w:sz w:val="18"/>
          <w:szCs w:val="18"/>
          <w:color w:val="auto"/>
        </w:rPr>
      </w:pPr>
    </w:p>
    <w:p>
      <w:pPr>
        <w:ind w:left="460" w:right="40" w:firstLine="443"/>
        <w:spacing w:after="0" w:line="259" w:lineRule="auto"/>
        <w:tabs>
          <w:tab w:leader="none" w:pos="12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by the Company or any Restricted Subsidiary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(19), not to exceed the greater of (x) $50.0 million and (y) 3.0% of Total Assets as of the date of any such incurrence.</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Company will not incur, and the Company will not permit any Guarantor to, directly or indirectly, incur any Indebtedness (including Acquired Debt) that is subordinated or junior in right of payment to any Indebtedness of the Company or such Guarantor, as the case may be, unless such Indebtedness is expressly subordinated in right of payment to the Notes or such Guarantor’s Note Guarantee to the extent and in the same manner as such Indebtedness is subordinated to other Indebtedness of the Company or such Guarantor,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unsecured Indebtedness will not be deemed or treated as subordinated or junior to secured Indebtedness merely because it is unsecured or is secured by different collateral or (2) Senior Debt will not be deemed or treated as subordinated or junior to any other Senior Debt merely because it has a junior priority with respect to the same collateral.</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For purposes of determining compliance with this Section 4.09, in the event that an item of proposed Indebtedness meets the criteria of more than one of the categories of Permitted Debt described in clauses (1) through (19) above or is entitled to be incurred pursuant to Section 4.09(a) hereof, the Company will be permitted to classify such item of Indebtedness on the date of its incurrence, or later reclassify all or a portion of such item of Indebtedness, in any manner that complies with this Section 4.09. Indebtedness permitted by this Section 4.09 need not be permitted solely by reference to one provision permitting such Indebtedness but may be permitted in part by one such provision and in part by one or more other provisions of this Section 4.09 permitting such Indebtedness. Indebtedness under Credit Facilities outstanding on the date on which Notes are first issued and authenticated under this Indenture will be deemed to have been incurred on such date in reliance on the exception provided by clause (1) of the definition of Permitted Debt and may not later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the payment of fees and premiums and additional payments with respect to Indebtedness, the realization of any Permitted Lien, a change in GAAP or an interpretation thereunder that results in an obligation of such Person that exists at such time becoming Indebtedness, and the payment of dividends on Disqualified Stock in the form of additional shares of the same class of Disqualified Stock will not be deemed to be an incurrence of Indebtedness or an issuance of Disqualified Stock for purposes of this Section 4.09;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of any such accrual of interest, accretion or amortization of original issue discount or payment of interest is included in Fixed Charges of the Company as accrued, accreted or paid, as the case may be. Notwithstanding any other provision of this Section 4.09, the maximum amount of Indebtedness that the Company or any Restricted Subsidiary may incur pursuant to this Section 4.09 shall not be deemed to be exceeded solely as a result of fluctuations in exchange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65" w:name="page66"/>
    <w:bookmarkEnd w:id="65"/>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rates or currency values. For purposes of determining compliance with, and the outstanding principal amount of, any particular Indebtedness incurred pursuant to this Section 4.09, any other obligation of the obligor on such Indebtedness (or of any other Person that could have incurred such Indebtedness under this Section 4.09)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140" w:hanging="237"/>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Asset Sales.</w:t>
      </w:r>
    </w:p>
    <w:p>
      <w:pPr>
        <w:spacing w:after="0" w:line="117" w:lineRule="exact"/>
        <w:rPr>
          <w:sz w:val="20"/>
          <w:szCs w:val="20"/>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as the case may be) receives consideration at the time of the Asset Sale at least equal to the Fair Market Value of the assets or Equity Interests sold or issued or otherwise disposed of; and</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or Cash Equivalents. For purposes of this clause (2), each of the following shall be deemed to be cash:</w:t>
      </w:r>
    </w:p>
    <w:p>
      <w:pPr>
        <w:spacing w:after="0" w:line="62" w:lineRule="exact"/>
        <w:rPr>
          <w:rFonts w:ascii="Arial" w:cs="Arial" w:eastAsia="Arial" w:hAnsi="Arial"/>
          <w:sz w:val="18"/>
          <w:szCs w:val="18"/>
          <w:color w:val="auto"/>
        </w:rPr>
      </w:pPr>
    </w:p>
    <w:p>
      <w:pPr>
        <w:jc w:val="both"/>
        <w:ind w:left="920" w:firstLine="421"/>
        <w:spacing w:after="0" w:line="259" w:lineRule="auto"/>
        <w:tabs>
          <w:tab w:leader="none" w:pos="1635"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liabilities, as shown on the Company’s most recent internal balance sheet, of the Company or any Restricted Subsidiary (other than contingent liabilities and liabilities that are by their terms subordinated to the Notes or any Note Guarantee) that are unconditionally assumed by the transferee of any such assets to the extent that the Company or the applicable Restricted Subsidiary is released from all liability with respect thereto;</w:t>
      </w:r>
    </w:p>
    <w:p>
      <w:pPr>
        <w:spacing w:after="0" w:line="78" w:lineRule="exact"/>
        <w:rPr>
          <w:rFonts w:ascii="Arial" w:cs="Arial" w:eastAsia="Arial" w:hAnsi="Arial"/>
          <w:sz w:val="18"/>
          <w:szCs w:val="18"/>
          <w:color w:val="auto"/>
        </w:rPr>
      </w:pPr>
    </w:p>
    <w:p>
      <w:pPr>
        <w:ind w:left="920" w:right="60" w:firstLine="421"/>
        <w:spacing w:after="0" w:line="264" w:lineRule="auto"/>
        <w:tabs>
          <w:tab w:leader="none" w:pos="1625"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converted by the Company or such Restricted Subsidiary into cash or Cash Equivalents within 180 days after receipt, to the extent of the cash or Cash Equivalents received in that conversion;</w:t>
      </w:r>
    </w:p>
    <w:p>
      <w:pPr>
        <w:spacing w:after="0" w:line="73" w:lineRule="exact"/>
        <w:rPr>
          <w:rFonts w:ascii="Arial" w:cs="Arial" w:eastAsia="Arial" w:hAnsi="Arial"/>
          <w:sz w:val="18"/>
          <w:szCs w:val="18"/>
          <w:color w:val="auto"/>
        </w:rPr>
      </w:pPr>
    </w:p>
    <w:p>
      <w:pPr>
        <w:ind w:left="920" w:right="80" w:firstLine="421"/>
        <w:spacing w:after="0" w:line="257" w:lineRule="auto"/>
        <w:tabs>
          <w:tab w:leader="none" w:pos="1625"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any Restricted Subsidiary in such Asset Sale having an aggregate Fair Market Value, taken together with all other Designated Noncash Consideration received pursuant to this clause (C) that is at that time outstanding in the aggregate, not to exceed the greater of (x) $40.0 million and (y) 2.5%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80" w:lineRule="exact"/>
        <w:rPr>
          <w:rFonts w:ascii="Arial" w:cs="Arial" w:eastAsia="Arial" w:hAnsi="Arial"/>
          <w:sz w:val="18"/>
          <w:szCs w:val="18"/>
          <w:color w:val="auto"/>
        </w:rPr>
      </w:pPr>
    </w:p>
    <w:p>
      <w:pPr>
        <w:ind w:left="1640" w:hanging="299"/>
        <w:spacing w:after="0"/>
        <w:tabs>
          <w:tab w:leader="none" w:pos="164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Section 4.10(b) hereof;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66" w:name="page67"/>
    <w:bookmarkEnd w:id="66"/>
    <w:p>
      <w:pPr>
        <w:ind w:left="1620" w:hanging="279"/>
        <w:spacing w:after="0"/>
        <w:tabs>
          <w:tab w:leader="none" w:pos="1620" w:val="left"/>
        </w:tabs>
        <w:numPr>
          <w:ilvl w:val="2"/>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combination of the consideration specified in the foregoing clauses (A) through (D) of this Section 4.10(a).</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Within 365 days after the receipt of any Net Proceeds from an Asset Sale, the Company (or the applicable Restricted Subsidiary, as the case may be) may apply such Net Proceeds at its option:</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repay Senior Debt that is secured by a Lien, which Lien is permitted by this Indenture and, if such Senior Debt repaid is revolving credit Indebtedness, to correspondingly reduce commitments with respect thereto;</w:t>
      </w:r>
    </w:p>
    <w:p>
      <w:pPr>
        <w:spacing w:after="0" w:line="62" w:lineRule="exact"/>
        <w:rPr>
          <w:rFonts w:ascii="Arial" w:cs="Arial" w:eastAsia="Arial" w:hAnsi="Arial"/>
          <w:sz w:val="18"/>
          <w:szCs w:val="18"/>
          <w:color w:val="auto"/>
        </w:rPr>
      </w:pPr>
    </w:p>
    <w:p>
      <w:pPr>
        <w:ind w:left="460" w:right="240" w:firstLine="443"/>
        <w:spacing w:after="0" w:line="308" w:lineRule="auto"/>
        <w:tabs>
          <w:tab w:leader="none" w:pos="1153"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to acquire all or substantially all of the assets of, or any Capital Stock of, another Permitted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acquisition of Capital Stock, the Permitted Business is or becomes or is merged with or into a Restricted Subsidiary of the Company;</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make a capital expenditure;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acquire other assets that are not classified as current assets under GAAP and that are used or useful in a Permitted Business;</w:t>
      </w:r>
    </w:p>
    <w:p>
      <w:pPr>
        <w:spacing w:after="0" w:line="117" w:lineRule="exact"/>
        <w:rPr>
          <w:rFonts w:ascii="Arial" w:cs="Arial" w:eastAsia="Arial" w:hAnsi="Arial"/>
          <w:sz w:val="18"/>
          <w:szCs w:val="18"/>
          <w:color w:val="auto"/>
        </w:rPr>
      </w:pPr>
    </w:p>
    <w:p>
      <w:pPr>
        <w:ind w:left="460" w:right="400" w:firstLine="443"/>
        <w:spacing w:after="0" w:line="291" w:lineRule="auto"/>
        <w:tabs>
          <w:tab w:leader="none" w:pos="1153"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to repay other Senior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Company (or the applicable Restricted Subsidiary, as the case may be) reduces Obligations under Senior Debt other than the Notes, the Company shall equally and ratably reduce Obligations under the Notes pursuant to</w:t>
      </w:r>
    </w:p>
    <w:p>
      <w:pPr>
        <w:ind w:left="460" w:right="80"/>
        <w:spacing w:after="0" w:line="277" w:lineRule="auto"/>
        <w:rPr>
          <w:rFonts w:ascii="Arial" w:cs="Arial" w:eastAsia="Arial" w:hAnsi="Arial"/>
          <w:sz w:val="16"/>
          <w:szCs w:val="16"/>
          <w:color w:val="auto"/>
        </w:rPr>
      </w:pPr>
      <w:r>
        <w:rPr>
          <w:rFonts w:ascii="Arial" w:cs="Arial" w:eastAsia="Arial" w:hAnsi="Arial"/>
          <w:sz w:val="17"/>
          <w:szCs w:val="17"/>
          <w:color w:val="auto"/>
        </w:rPr>
        <w:t>Section 3.07 through open-market purchases (to the extent such purchases are at or above 100% of the principal amount thereof) or by making an offer (in accordance with the procedures set forth in Section 3.09) to all Holders to purchase their Notes at 100% of the principal amount thereof, plus the amount of accrued and unpaid interest and Additional Interest, if any, on the amount of Notes to be prepaid; or</w:t>
      </w:r>
    </w:p>
    <w:p>
      <w:pPr>
        <w:spacing w:after="0" w:line="65" w:lineRule="exact"/>
        <w:rPr>
          <w:rFonts w:ascii="Arial" w:cs="Arial" w:eastAsia="Arial" w:hAnsi="Arial"/>
          <w:sz w:val="16"/>
          <w:szCs w:val="16"/>
          <w:color w:val="auto"/>
        </w:rPr>
      </w:pPr>
    </w:p>
    <w:p>
      <w:pPr>
        <w:ind w:left="460" w:right="600" w:firstLine="443"/>
        <w:spacing w:after="0" w:line="277" w:lineRule="auto"/>
        <w:tabs>
          <w:tab w:leader="none" w:pos="115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combination of the repayments, acquisitions and expenditures permitted by the immediately foregoing clauses (1) through (5) of this Section 4.10(b);</w:t>
      </w:r>
    </w:p>
    <w:p>
      <w:pPr>
        <w:spacing w:after="0" w:line="17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clauses (2), (3) and (4) above of this Section 4.10(b), a binding commitment entered into not later than such 365th day will extend</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for such investment or other payment for up to an additional 180 days after the end of such 365-day period so long as the Company or a Restricted Subsidiary enters into such commitment with the good faith expectation that such Net Proceeds will be applied to satisfy such commitment within such</w:t>
      </w:r>
    </w:p>
    <w:p>
      <w:pPr>
        <w:ind w:right="80"/>
        <w:spacing w:after="0" w:line="253" w:lineRule="auto"/>
        <w:rPr>
          <w:sz w:val="20"/>
          <w:szCs w:val="20"/>
          <w:color w:val="auto"/>
        </w:rPr>
      </w:pPr>
      <w:r>
        <w:rPr>
          <w:rFonts w:ascii="Arial" w:cs="Arial" w:eastAsia="Arial" w:hAnsi="Arial"/>
          <w:sz w:val="18"/>
          <w:szCs w:val="18"/>
          <w:color w:val="auto"/>
        </w:rPr>
        <w:t>180 days (an “</w:t>
      </w:r>
      <w:r>
        <w:rPr>
          <w:rFonts w:ascii="Arial" w:cs="Arial" w:eastAsia="Arial" w:hAnsi="Arial"/>
          <w:sz w:val="18"/>
          <w:szCs w:val="18"/>
          <w:i w:val="1"/>
          <w:iCs w:val="1"/>
          <w:color w:val="auto"/>
        </w:rPr>
        <w:t>Acceptable Commitment</w:t>
      </w:r>
      <w:r>
        <w:rPr>
          <w:rFonts w:ascii="Arial" w:cs="Arial" w:eastAsia="Arial" w:hAnsi="Arial"/>
          <w:sz w:val="18"/>
          <w:szCs w:val="18"/>
          <w:color w:val="auto"/>
        </w:rPr>
        <w:t>”). In the event an Acceptable Commitment is later cancelled or terminated for any reason before the Net Proceeds are applied in connection therewith but after the end of the original 365-day period, then such Net Proceeds will be deemed to constitute Excess Proceeds on the date of such cancellation or termination. In addition to the foregoing, at any time and on one or more occasions prior to such 365th day (as extended, if applicable), the Company in its sole discretion may apply Net Proceeds from one or more Asset Sales to make an Asset Sale Offer as described below in this Section 4.10.</w:t>
      </w:r>
    </w:p>
    <w:p>
      <w:pPr>
        <w:spacing w:after="0" w:line="19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Any Net Proceeds from Asset Sales that are not applied or invested as provided in Section 4.10(b) hereof will constitute “</w:t>
      </w:r>
      <w:r>
        <w:rPr>
          <w:rFonts w:ascii="Arial" w:cs="Arial" w:eastAsia="Arial" w:hAnsi="Arial"/>
          <w:sz w:val="17"/>
          <w:szCs w:val="17"/>
          <w:i w:val="1"/>
          <w:iCs w:val="1"/>
          <w:color w:val="auto"/>
        </w:rPr>
        <w:t>Excess Proceeds</w:t>
      </w:r>
      <w:r>
        <w:rPr>
          <w:rFonts w:ascii="Arial" w:cs="Arial" w:eastAsia="Arial" w:hAnsi="Arial"/>
          <w:sz w:val="17"/>
          <w:szCs w:val="17"/>
          <w:color w:val="auto"/>
        </w:rPr>
        <w:t xml:space="preserve">.” When the aggregate amount of Excess Proceeds exceeds $40.0 million (or such lesser amount that the Company determines), the Company will make an Asset Sale Offer to all Holders of Notes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in accordance with Section 3.09 hereof to purchase the maximum principal amount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that may be purchased out of the Excess Proceeds. The offer price in any Asset Sale Offer will be equal to 100% of the principal amount plus accrued and unpaid interest and Additional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tendered into such Asset Sale Offer exceeds the amount of Excess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7" w:name="page68"/>
    <w:bookmarkEnd w:id="6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Proceeds, the Trustee shall select the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DTC procedures applicable to Global Notes. Upon completion of each Asset Sale Offer, the amount of Excess Proceeds will be reset at zero.</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3.09 hereof or this Section 4.10, the Company will comply with the applicable securities laws and regulations and will not be deemed to have breached its obligations under Section 3.09 hereof or this Section 4.10 by virtue of such compliance.</w:t>
      </w:r>
    </w:p>
    <w:p>
      <w:pPr>
        <w:spacing w:after="0" w:line="33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Transactions with Affiliates.</w:t>
      </w:r>
    </w:p>
    <w:p>
      <w:pPr>
        <w:spacing w:after="0" w:line="117" w:lineRule="exact"/>
        <w:rPr>
          <w:sz w:val="20"/>
          <w:szCs w:val="20"/>
          <w:color w:val="auto"/>
        </w:rPr>
      </w:pPr>
    </w:p>
    <w:p>
      <w:pPr>
        <w:jc w:val="both"/>
        <w:ind w:right="40" w:firstLine="464"/>
        <w:spacing w:after="0" w:line="286" w:lineRule="auto"/>
        <w:tabs>
          <w:tab w:leader="none" w:pos="70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7"/>
          <w:szCs w:val="17"/>
          <w:i w:val="1"/>
          <w:iCs w:val="1"/>
          <w:color w:val="auto"/>
        </w:rPr>
        <w:t>Affiliate Transaction</w:t>
      </w:r>
      <w:r>
        <w:rPr>
          <w:rFonts w:ascii="Arial" w:cs="Arial" w:eastAsia="Arial" w:hAnsi="Arial"/>
          <w:sz w:val="17"/>
          <w:szCs w:val="17"/>
          <w:color w:val="auto"/>
        </w:rPr>
        <w:t>”), unless:</w:t>
      </w:r>
    </w:p>
    <w:p>
      <w:pPr>
        <w:spacing w:after="0" w:line="57" w:lineRule="exact"/>
        <w:rPr>
          <w:rFonts w:ascii="Arial" w:cs="Arial" w:eastAsia="Arial" w:hAnsi="Arial"/>
          <w:sz w:val="17"/>
          <w:szCs w:val="17"/>
          <w:color w:val="auto"/>
        </w:rPr>
      </w:pPr>
    </w:p>
    <w:p>
      <w:pPr>
        <w:ind w:left="460" w:firstLine="443"/>
        <w:spacing w:after="0" w:line="286" w:lineRule="auto"/>
        <w:tabs>
          <w:tab w:leader="none" w:pos="1153" w:val="left"/>
        </w:tabs>
        <w:numPr>
          <w:ilvl w:val="1"/>
          <w:numId w:val="98"/>
        </w:numPr>
        <w:rPr>
          <w:rFonts w:ascii="Arial" w:cs="Arial" w:eastAsia="Arial" w:hAnsi="Arial"/>
          <w:sz w:val="17"/>
          <w:szCs w:val="17"/>
          <w:color w:val="auto"/>
        </w:rPr>
      </w:pPr>
      <w:r>
        <w:rPr>
          <w:rFonts w:ascii="Arial" w:cs="Arial" w:eastAsia="Arial" w:hAnsi="Arial"/>
          <w:sz w:val="17"/>
          <w:szCs w:val="17"/>
          <w:color w:val="auto"/>
        </w:rPr>
        <w:t>with respect to any Affiliate Transaction or series of related Affiliate Transactions involving aggregate consideration in excess of $5.0 million, the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w:t>
      </w:r>
    </w:p>
    <w:p>
      <w:pPr>
        <w:spacing w:after="0" w:line="2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$15.0 million, the Company delivers to the Trustee a resolution of the Board of Directors of the Company set forth in an Officer’s Certificate certifying that such Affiliate Transaction complies with clause (1) of this Section 4.11(a) and that such Affiliate Transaction has been approved by a majority of the disinterested members of the Board of Directors of the Company.</w:t>
      </w:r>
    </w:p>
    <w:p>
      <w:pPr>
        <w:spacing w:after="0" w:line="190" w:lineRule="exact"/>
        <w:rPr>
          <w:sz w:val="20"/>
          <w:szCs w:val="20"/>
          <w:color w:val="auto"/>
        </w:rPr>
      </w:pPr>
    </w:p>
    <w:p>
      <w:pPr>
        <w:ind w:left="720" w:hanging="256"/>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following items will not be deemed to be Affiliate Transactions and, therefore, will not be subject to the provisions of Section 4.11(a) hereof:</w:t>
      </w:r>
    </w:p>
    <w:p>
      <w:pPr>
        <w:spacing w:after="0" w:line="140" w:lineRule="exact"/>
        <w:rPr>
          <w:rFonts w:ascii="Arial" w:cs="Arial" w:eastAsia="Arial" w:hAnsi="Arial"/>
          <w:sz w:val="16"/>
          <w:szCs w:val="16"/>
          <w:color w:val="auto"/>
        </w:rPr>
      </w:pPr>
    </w:p>
    <w:p>
      <w:pPr>
        <w:ind w:left="460" w:right="60" w:firstLine="443"/>
        <w:spacing w:after="0" w:line="255" w:lineRule="auto"/>
        <w:tabs>
          <w:tab w:leader="none" w:pos="1153"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employment agreement, employee benefit plan, officer or director indemnification agreement, or any similar arrangement (including vacation plans, health and life insurance plans, deferred compensation plans, retirement or savings plans, and stock option, stock ownership and similar plans) entered into by the Company or any of its Restricted Subsidiaries, any payment of compensation (including awards or grants in cash, securities or other payments) for the personal service of officers and employees of the Company or any of its Restricted Subsidiaries and payments of reasonable directors fees, in each case entered into or paid by the Company or any of its Restricted Subsidiaries in the ordinary course of business and payments pursuant thereto;</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Company) that is an Affiliate of the Company solely because the Company owns or controls, directly or through a Restricted Subsidiary, an Equity Interest in such Person;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loans and advances to officers, directors or employees of the Company or any of its Restricted Subsidiaries made in the ordinary course 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Restricted Payments that do not violate Section 4.07 hereof and Investments that constitute Permitted Investments;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8" w:name="page69"/>
    <w:bookmarkEnd w:id="68"/>
    <w:p>
      <w:pPr>
        <w:ind w:left="460" w:right="18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where the Company delivers to the trustee an opinion as to the fairness to the Company or such Subsidiary of such transactions from a financial point of view issued by an accounting, appraisal or investment banking firm of national standing;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purchases and sales of raw materials or inventory in the ordinary course of business on market terms;</w:t>
      </w:r>
    </w:p>
    <w:p>
      <w:pPr>
        <w:spacing w:after="0" w:line="117"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transactions between the Company or any Restricted Subsidiary and any joint venture or Unrestricted Subsidiary of the Company entered into in the ordinary course of business; provided that such transactions are on terms that are no less favorable to the Company or the relevant Restricted Subsidiary than those that would have been obtained in a comparable transaction by the Company or such Restricted Subsidiary with an unrelated Person;</w:t>
      </w:r>
    </w:p>
    <w:p>
      <w:pPr>
        <w:spacing w:after="0" w:line="78" w:lineRule="exact"/>
        <w:rPr>
          <w:rFonts w:ascii="Arial" w:cs="Arial" w:eastAsia="Arial" w:hAnsi="Arial"/>
          <w:sz w:val="18"/>
          <w:szCs w:val="18"/>
          <w:color w:val="auto"/>
        </w:rPr>
      </w:pPr>
    </w:p>
    <w:p>
      <w:pPr>
        <w:ind w:left="1240" w:hanging="337"/>
        <w:spacing w:after="0"/>
        <w:tabs>
          <w:tab w:leader="none" w:pos="12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sales, contributions, conveyances and other transfers of Receivables in connection with any Qualified Receivables Transaction; and</w:t>
      </w:r>
    </w:p>
    <w:p>
      <w:pPr>
        <w:spacing w:after="0" w:line="128" w:lineRule="exact"/>
        <w:rPr>
          <w:rFonts w:ascii="Arial" w:cs="Arial" w:eastAsia="Arial" w:hAnsi="Arial"/>
          <w:sz w:val="17"/>
          <w:szCs w:val="17"/>
          <w:color w:val="auto"/>
        </w:rPr>
      </w:pPr>
    </w:p>
    <w:p>
      <w:pPr>
        <w:ind w:left="460" w:right="440" w:firstLine="443"/>
        <w:spacing w:after="0" w:line="342" w:lineRule="auto"/>
        <w:tabs>
          <w:tab w:leader="none" w:pos="12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transaction arising out of an agreement existing on the Issue Date and described in the Offering Memorandum and any amendment thereto or replacement thereof that, taken as a whole, is no less favorable to the Company than the agreement as in effect on the Issue Date.</w:t>
      </w:r>
    </w:p>
    <w:p>
      <w:pPr>
        <w:spacing w:after="0" w:line="27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5"/>
          <w:szCs w:val="15"/>
          <w:i w:val="1"/>
          <w:iCs w:val="1"/>
          <w:color w:val="auto"/>
        </w:rPr>
        <w:t>Liens.</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Company will not, and will not permit any of its Restricted Subsidiaries to, create, incur, assume or otherwise cause or suffer to exist or become effective any Lien of any kind (other than Permitted Liens) securing Indebtedness, or Attributable Debt upon any of their property or assets, now owned or hereafter acquired, unless all payments due under this Indenture and the Notes are secured (a) in the case of any Senior Debt so secured, on an equal and ratable basis with the Obligations so secured until such time as such Obligations are no longer secured by a Lien and (b) in the case of any subordinated Indebtedness so secured, on a senior basis with the Obligations so secured until such time as such Obligations are no longer secured by a Lien. Any Lien created for the benefit of the Holders of the Notes pursuant to this Section 4.12 will provide by its terms that such Lien will be automatically and unconditionally released and discharged upon the release and discharge of the initial Lien giving rise to such Lien.</w:t>
      </w: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7"/>
          <w:szCs w:val="17"/>
          <w:i w:val="1"/>
          <w:iCs w:val="1"/>
          <w:color w:val="auto"/>
        </w:rPr>
        <w:t>[Intentionally Omitted.]</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Corporate Existence.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Article 5 hereof, the Company shall do or cause to be done all things necessary to preserve and keep in full force and effect:</w:t>
      </w:r>
    </w:p>
    <w:p>
      <w:pPr>
        <w:spacing w:after="0" w:line="117" w:lineRule="exact"/>
        <w:rPr>
          <w:sz w:val="20"/>
          <w:szCs w:val="20"/>
          <w:color w:val="auto"/>
        </w:rPr>
      </w:pPr>
    </w:p>
    <w:p>
      <w:pPr>
        <w:ind w:left="460" w:right="680" w:firstLine="443"/>
        <w:spacing w:after="0" w:line="308" w:lineRule="auto"/>
        <w:tabs>
          <w:tab w:leader="none" w:pos="115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38" w:lineRule="exact"/>
        <w:rPr>
          <w:rFonts w:ascii="Arial" w:cs="Arial" w:eastAsia="Arial" w:hAnsi="Arial"/>
          <w:sz w:val="17"/>
          <w:szCs w:val="17"/>
          <w:color w:val="auto"/>
        </w:rPr>
      </w:pPr>
    </w:p>
    <w:p>
      <w:pPr>
        <w:ind w:left="460" w:right="80" w:firstLine="443"/>
        <w:spacing w:after="0" w:line="279" w:lineRule="auto"/>
        <w:tabs>
          <w:tab w:leader="none" w:pos="115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rights (charter and statutory), licenses and franchises of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3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i w:val="1"/>
          <w:iCs w:val="1"/>
          <w:color w:val="auto"/>
        </w:rPr>
        <w:t>Offer to Repurchase Upon Change of Control.</w:t>
      </w:r>
    </w:p>
    <w:p>
      <w:pPr>
        <w:spacing w:after="0" w:line="117" w:lineRule="exact"/>
        <w:rPr>
          <w:sz w:val="20"/>
          <w:szCs w:val="20"/>
          <w:color w:val="auto"/>
        </w:rPr>
      </w:pPr>
    </w:p>
    <w:p>
      <w:pPr>
        <w:ind w:firstLine="464"/>
        <w:spacing w:after="0" w:line="264" w:lineRule="auto"/>
        <w:tabs>
          <w:tab w:leader="none" w:pos="7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the occurrence of a Change of Control, the Company will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to repurchase all or any part (equal to $2,000 or integral multiples of $1,000 in excess thereof) of that Holder’s Notes at a purchase price in cash equal to 101% of the aggregate principal amount of Notes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repurchased plus accrued and unpaid interest and Additional Interest, if any, on the Notes repurchased to the date of purchase, subject to the rights of Holders on the relevant record date to receive interest due on the relevant interest payment date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the Notes of any Holder must be equal to $2,000 in principal amount or integral multiples of $1,000 in excess thereof. Within 30 days following any Change of Control, the Company will deliver a notice to each Holder and the Trustee describing the transaction or transactions that constitute the Change of Control and stating:</w:t>
      </w:r>
    </w:p>
    <w:p>
      <w:pPr>
        <w:spacing w:after="0" w:line="80" w:lineRule="exact"/>
        <w:rPr>
          <w:sz w:val="20"/>
          <w:szCs w:val="20"/>
          <w:color w:val="auto"/>
        </w:rPr>
      </w:pPr>
    </w:p>
    <w:p>
      <w:pPr>
        <w:ind w:left="1160" w:hanging="257"/>
        <w:spacing w:after="0"/>
        <w:tabs>
          <w:tab w:leader="none" w:pos="11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4.15 and that all Notes tendered will be accepted for payment;</w:t>
      </w:r>
    </w:p>
    <w:p>
      <w:pPr>
        <w:spacing w:after="0" w:line="128" w:lineRule="exact"/>
        <w:rPr>
          <w:rFonts w:ascii="Arial" w:cs="Arial" w:eastAsia="Arial" w:hAnsi="Arial"/>
          <w:sz w:val="17"/>
          <w:szCs w:val="17"/>
          <w:color w:val="auto"/>
        </w:rPr>
      </w:pPr>
    </w:p>
    <w:p>
      <w:pPr>
        <w:ind w:left="460" w:right="600" w:firstLine="443"/>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purchase price and the purchase date, which shall be no earlier than 30 days and no later than 60 days from the date such notice is delivered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ind w:left="460" w:right="300" w:firstLine="443"/>
        <w:spacing w:after="0" w:line="312"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38" w:lineRule="exact"/>
        <w:rPr>
          <w:rFonts w:ascii="Arial" w:cs="Arial" w:eastAsia="Arial" w:hAnsi="Arial"/>
          <w:sz w:val="16"/>
          <w:szCs w:val="16"/>
          <w:color w:val="auto"/>
        </w:rPr>
      </w:pPr>
    </w:p>
    <w:p>
      <w:pPr>
        <w:ind w:left="460" w:right="400" w:firstLine="443"/>
        <w:spacing w:after="0" w:line="312"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a facsimile transmission or letter setting forth the name of the Holder, the principal amount of Notes delivered for purchase, and a statement that such Holder is withdrawing his election to have the Notes purchased; and</w:t>
      </w:r>
    </w:p>
    <w:p>
      <w:pPr>
        <w:spacing w:after="0" w:line="38" w:lineRule="exact"/>
        <w:rPr>
          <w:rFonts w:ascii="Arial" w:cs="Arial" w:eastAsia="Arial" w:hAnsi="Arial"/>
          <w:sz w:val="16"/>
          <w:szCs w:val="16"/>
          <w:color w:val="auto"/>
        </w:rPr>
      </w:pPr>
    </w:p>
    <w:p>
      <w:pPr>
        <w:ind w:left="460" w:right="80" w:firstLine="443"/>
        <w:spacing w:after="0" w:line="342"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that Holders whose Notes are being purchased only in part will be issued new Notes equal in principal amount to the unpurchased portion of the Notes surrendered, which unpurchased portion must be equal to $2,000 in principal amount or integral multiples of $1,000 in excess thereof.</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the Notes pursuant to a Change of Control Offer. To the extent that the provisions of any securities laws or regulations conflict with the provisions of Sections 3.09 or 4.15 hereof, the Company will comply with the applicable securities laws and regulations and will not be deemed to have breached its obligations under Section 3.09 hereof or this Section 4.15 by virtue of such compliance.</w:t>
      </w:r>
    </w:p>
    <w:p>
      <w:pPr>
        <w:spacing w:after="0" w:line="296" w:lineRule="exact"/>
        <w:rPr>
          <w:sz w:val="20"/>
          <w:szCs w:val="20"/>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deposit with the Paying Agent (or, if the Company or any of its Restricted Subsidiaries is acting as Paying Agent, segregate and hold in trust)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70" w:name="page71"/>
    <w:bookmarkEnd w:id="70"/>
    <w:p>
      <w:pPr>
        <w:ind w:right="8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receiving the Change of Control Payment from the Company, the Paying Agent will promptly deliver (but in any case not later than five days after the Change of Control Payment Date) to each Holder of Notes properly tendered the Change of Control Payment for such Notes, and the Trustee will promptly authenticate and deliver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must be equal to $2,000 in principal amount or integral multiples of $1,000 in excess thereof. The Company will publicly announce the results of the Change of Control Offer on or as soon as practicable after the Change of Control Payment Date.</w:t>
      </w:r>
    </w:p>
    <w:p>
      <w:pPr>
        <w:spacing w:after="0" w:line="158" w:lineRule="exact"/>
        <w:rPr>
          <w:sz w:val="20"/>
          <w:szCs w:val="20"/>
          <w:color w:val="auto"/>
        </w:rPr>
      </w:pPr>
    </w:p>
    <w:p>
      <w:pPr>
        <w:ind w:right="80" w:firstLine="464"/>
        <w:spacing w:after="0" w:line="302" w:lineRule="auto"/>
        <w:tabs>
          <w:tab w:leader="none" w:pos="70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and Section 3.09 hereof and purchases all Notes properly tendered and not withdrawn under the Change of Control Offer, or (2) notice of redemption has been given pursuant to Section 3.07 hereof, unless and until there is a default in payment of the applicable redemption price.</w:t>
      </w:r>
    </w:p>
    <w:p>
      <w:pPr>
        <w:spacing w:after="0" w:line="154" w:lineRule="exact"/>
        <w:rPr>
          <w:rFonts w:ascii="Arial" w:cs="Arial" w:eastAsia="Arial" w:hAnsi="Arial"/>
          <w:sz w:val="16"/>
          <w:szCs w:val="16"/>
          <w:color w:val="auto"/>
        </w:rPr>
      </w:pPr>
    </w:p>
    <w:p>
      <w:pPr>
        <w:ind w:right="20" w:firstLine="464"/>
        <w:spacing w:after="0" w:line="264"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 Change of Control Offer may be made in advance of a Change of Control, conditioned upon the consummation of such Change of Control, if a definitive agreement is in place for the Change of Control at the time the Change of Control Offer is made.</w:t>
      </w:r>
    </w:p>
    <w:p>
      <w:pPr>
        <w:spacing w:after="0" w:line="181" w:lineRule="exact"/>
        <w:rPr>
          <w:rFonts w:ascii="Arial" w:cs="Arial" w:eastAsia="Arial" w:hAnsi="Arial"/>
          <w:sz w:val="18"/>
          <w:szCs w:val="18"/>
          <w:color w:val="auto"/>
        </w:rPr>
      </w:pPr>
    </w:p>
    <w:p>
      <w:pPr>
        <w:ind w:firstLine="464"/>
        <w:spacing w:after="0" w:line="272" w:lineRule="auto"/>
        <w:tabs>
          <w:tab w:leader="none" w:pos="7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Holders of not less than 90% in aggregate principal amount of the outstanding notes validly tender and do not withdraw such notes in a Change of Control Offer and the Company, or any other Person making a Change of Control Offer in lieu of the Company as described above, purchases all of the notes validly tendered and not withdrawn by such holders, the Company will have the right, upon not less than 30 nor more than 60 days’ prior notice, given not more than 30 days following such purchase pursuant to the Change of Control Offer described above, to redeem all notes that remain outstanding following such purchase at a redemption price in cash equal to the applicable Change of Control Payment plus, to the extent not included in the Change of Control Payment, accrued and unpaid interest and Additional Interest, if any, to the date of redemption (subject to the right of holders of record on the relevant record date to receive interest due on an interest payment date that is on or prior to the date of purchase).</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7"/>
          <w:szCs w:val="17"/>
          <w:i w:val="1"/>
          <w:iCs w:val="1"/>
          <w:color w:val="auto"/>
        </w:rPr>
        <w:t>[Intentionally Omitted.]</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i w:val="1"/>
          <w:iCs w:val="1"/>
          <w:color w:val="auto"/>
        </w:rPr>
        <w:t>Limitation on Sale and Leaseback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Company will not, and will not permit any of its Restricted Subsidiaries to, enter into any Sale and Leaseback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Restricted Subsidiary may enter into a Sale and Leaseback Transaction if:</w:t>
      </w:r>
    </w:p>
    <w:p>
      <w:pPr>
        <w:spacing w:after="0" w:line="103" w:lineRule="exact"/>
        <w:rPr>
          <w:sz w:val="20"/>
          <w:szCs w:val="20"/>
          <w:color w:val="auto"/>
        </w:rPr>
      </w:pPr>
    </w:p>
    <w:p>
      <w:pPr>
        <w:ind w:left="460" w:right="500" w:firstLine="433"/>
        <w:spacing w:after="0" w:line="342" w:lineRule="auto"/>
        <w:tabs>
          <w:tab w:leader="none" w:pos="114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or that Restricted Subsidiary, as applicable, could have incurred Indebtedness in an amount equal to the Attributable Debt relating to such Sale and Leaseback Transaction under the Fixed Charge Coverage Ratio test in Section 4.09(a) hereof; and</w:t>
      </w:r>
    </w:p>
    <w:p>
      <w:pPr>
        <w:spacing w:after="0" w:line="15" w:lineRule="exact"/>
        <w:rPr>
          <w:rFonts w:ascii="Arial" w:cs="Arial" w:eastAsia="Arial" w:hAnsi="Arial"/>
          <w:sz w:val="16"/>
          <w:szCs w:val="16"/>
          <w:color w:val="auto"/>
        </w:rPr>
      </w:pPr>
    </w:p>
    <w:p>
      <w:pPr>
        <w:ind w:left="460" w:right="400" w:firstLine="443"/>
        <w:spacing w:after="0" w:line="277" w:lineRule="auto"/>
        <w:tabs>
          <w:tab w:leader="none" w:pos="11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does not violate, and the Company or such Restricted Subsidiary applies the proceeds of such transaction in compliance with, Section 4.10 hereof.</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7"/>
          <w:szCs w:val="17"/>
          <w:i w:val="1"/>
          <w:iCs w:val="1"/>
          <w:color w:val="auto"/>
        </w:rPr>
        <w:t>[Intentionally Omitted.]</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7"/>
          <w:szCs w:val="17"/>
          <w:i w:val="1"/>
          <w:iCs w:val="1"/>
          <w:color w:val="auto"/>
        </w:rPr>
        <w:t>[Intentionally Omitted.]</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i w:val="1"/>
          <w:iCs w:val="1"/>
          <w:color w:val="auto"/>
        </w:rPr>
        <w:t>Additional Note Guarantees.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If the Company or any of its Restricted Subsidiaries acquires or creates another Domestic Subsidiary after the Issue Date, and such Domestic Subsidiary Guarantees the Company’s obligations under any Credit Facility or incurs any Indebtedness under any Credit Facility, then the Company will cause that newly acquired or created Domestic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71" w:name="page72"/>
    <w:bookmarkEnd w:id="71"/>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to execute a notation of Note Guarantee pursuant to a supplemental indenture substantially in the form of Exhibit F hereto, in form and substance satisfactory to the Trustee and deliver an Opinion of Counsel to the Trustee within 20 Business Days of the date on which it was acquired or created (or ceased to be an Immaterial Subsidiary, to the extent applicable) to the effect that such supplemental indenture has been duly authorized, executed and delivered by that Domestic Subsidiary and constitutes a valid and binding agreement of that Domestic Subsidiary, enforceable in accordance with its terms (subject to customary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Domestic Subsidiary that constitutes an Immaterial Subsidiary need not become a Guarantor until such time as it ceases to be an Immaterial Subsidiary. The form of notation of such Note Guarantee is attached as Exhibit E hereto.</w:t>
      </w:r>
    </w:p>
    <w:p>
      <w:pPr>
        <w:spacing w:after="0" w:line="3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of Directors of the Company may designate any Restricted Subsidiary to be an Unrestricted Subsidiary if that designation would not cause a Default and if that designation otherwise is consistent with the definition of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that designation will only be permitted if the Investment would be permitted at that time (either as a Restricted Payment or as a Permitted Investment) and if such Restricted Subsidiary otherwise meets the definition of an Unrestricted Subsidiary. Such designation will reduce the amount available for Restricted Payments or Permitted Investments, as applicable.</w:t>
      </w:r>
    </w:p>
    <w:p>
      <w:pPr>
        <w:spacing w:after="0" w:line="18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Any designation of a Subsidiary of the Company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unless such Unrestricted Subsidiary is made to meet such requirements.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Board of Directors of the Company may at any time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will be deemed to be an incurrence of Indebtedness by a Restricted Subsidiary of the Company of any outstanding Indebtedness and Liens of such Unrestricted Subsidiary and such designation will only be permitted if (1) such Indebtedness and Liens are permitted under Sections 4.09 and 4.12 hereof, calculated on a pro forma basis as if such designation had occurred at the beginning of the four-quarter reference period; and (2) no Default or Event of Default would be in existence following such designation.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117" w:lineRule="exact"/>
        <w:rPr>
          <w:sz w:val="20"/>
          <w:szCs w:val="20"/>
          <w:color w:val="auto"/>
        </w:rPr>
      </w:pPr>
    </w:p>
    <w:p>
      <w:pPr>
        <w:ind w:right="240" w:firstLine="464"/>
        <w:spacing w:after="0" w:line="264" w:lineRule="auto"/>
        <w:tabs>
          <w:tab w:leader="none" w:pos="7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not, directly or indirectly: (i) consolidate or merge with or into another Person (whether or not the Company is the surviving corporation); or (ii) sell, assign, transfer, convey or otherwise dispose of all or substantially all of the properties or assets of the Company and its Restricted Subsidiaries taken as a whole, in one or more related transactions, to another Person, unless: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Company is the surviving corporation; or</w:t>
      </w:r>
    </w:p>
    <w:p>
      <w:pPr>
        <w:spacing w:after="0" w:line="117" w:lineRule="exact"/>
        <w:rPr>
          <w:rFonts w:ascii="Arial" w:cs="Arial" w:eastAsia="Arial" w:hAnsi="Arial"/>
          <w:sz w:val="18"/>
          <w:szCs w:val="18"/>
          <w:color w:val="auto"/>
        </w:rPr>
      </w:pPr>
    </w:p>
    <w:p>
      <w:pPr>
        <w:jc w:val="both"/>
        <w:ind w:left="920" w:right="320" w:firstLine="421"/>
        <w:spacing w:after="0" w:line="264" w:lineRule="auto"/>
        <w:tabs>
          <w:tab w:leader="none" w:pos="159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to which such sale, assignment, transfer, conveyance or other disposition has been made is an entity organized or existing under the laws of the United States, any state of the United States or the District of Columbia;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72" w:name="page73"/>
    <w:bookmarkEnd w:id="72"/>
    <w:p>
      <w:pPr>
        <w:ind w:left="460" w:firstLine="443"/>
        <w:spacing w:after="0" w:line="259"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formed by or surviving any such consolidation or merger (if other than the Company) or the Person to which such sale, assignment, transfer, conveyance or other disposition has been made assumes all the obligations of the Company under the Notes, this Indenture and the Registration Rights Agreement (if the Company’s registration obligations thereunder have not been completed) pursuant to agreements reasonably satisfactory to the Trustee;</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17" w:lineRule="exact"/>
        <w:rPr>
          <w:rFonts w:ascii="Arial" w:cs="Arial" w:eastAsia="Arial" w:hAnsi="Arial"/>
          <w:sz w:val="18"/>
          <w:szCs w:val="18"/>
          <w:color w:val="auto"/>
        </w:rPr>
      </w:pPr>
    </w:p>
    <w:p>
      <w:pPr>
        <w:ind w:left="460" w:firstLine="443"/>
        <w:spacing w:after="0" w:line="276" w:lineRule="auto"/>
        <w:tabs>
          <w:tab w:leader="none" w:pos="115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 or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(a) be permitted to incur at least $1.00 of additional Indebtedness pursuant to the Fixed Charge Coverage Ratio test set forth in Section 4.09(a) hereof or (b) have a Fixed Charge Coverage Ratio that is no less than the Fixed Charge Coverage Ratio of the Company immediately prior to such transaction; and</w:t>
      </w:r>
    </w:p>
    <w:p>
      <w:pPr>
        <w:spacing w:after="0" w:line="64" w:lineRule="exact"/>
        <w:rPr>
          <w:rFonts w:ascii="Arial" w:cs="Arial" w:eastAsia="Arial" w:hAnsi="Arial"/>
          <w:sz w:val="17"/>
          <w:szCs w:val="17"/>
          <w:color w:val="auto"/>
        </w:rPr>
      </w:pPr>
    </w:p>
    <w:p>
      <w:pPr>
        <w:jc w:val="both"/>
        <w:ind w:left="460" w:right="740" w:firstLine="443"/>
        <w:spacing w:after="0" w:line="264"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delivers to the Trustee an Officer’s Certificate and an Opinion of Counsel (on which the Trustee may conclusively and exclusively rely), each stating that the Company has complied with all conditions precedent and that such transaction does not contravene the requirements of this Indenture.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the Company will not, directly or indirectly, lease all or substantially all of its and its Restricted Subsidiaries’ properties or assets, taken as a whole, in one or more related transactions, to any other Person.</w:t>
      </w:r>
    </w:p>
    <w:p>
      <w:pPr>
        <w:spacing w:after="0" w:line="279" w:lineRule="exact"/>
        <w:rPr>
          <w:sz w:val="20"/>
          <w:szCs w:val="20"/>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under the laws of the United States, any state of the United States or the District of Columbia; or</w:t>
      </w:r>
    </w:p>
    <w:p>
      <w:pPr>
        <w:spacing w:after="0" w:line="62" w:lineRule="exact"/>
        <w:rPr>
          <w:rFonts w:ascii="Arial" w:cs="Arial" w:eastAsia="Arial" w:hAnsi="Arial"/>
          <w:sz w:val="18"/>
          <w:szCs w:val="18"/>
          <w:color w:val="auto"/>
        </w:rPr>
      </w:pPr>
    </w:p>
    <w:p>
      <w:pPr>
        <w:ind w:left="460" w:right="720" w:firstLine="443"/>
        <w:spacing w:after="0" w:line="277" w:lineRule="auto"/>
        <w:tabs>
          <w:tab w:leader="none" w:pos="115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Company and its Restricted Subsidiaries.</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any consolidation or merger, or any sale, assignment, transfer, lease, conveyance or other disposition of all or substantially all of the properties or assets of the Company and its Restricted Subsidiaries taken as a whole in a transaction that is subject to, and that complies with the provisions of,</w:t>
      </w:r>
    </w:p>
    <w:p>
      <w:pPr>
        <w:ind w:right="120"/>
        <w:spacing w:after="0" w:line="252" w:lineRule="auto"/>
        <w:rPr>
          <w:sz w:val="20"/>
          <w:szCs w:val="20"/>
          <w:color w:val="auto"/>
        </w:rPr>
      </w:pPr>
      <w:r>
        <w:rPr>
          <w:rFonts w:ascii="Arial" w:cs="Arial" w:eastAsia="Arial" w:hAnsi="Arial"/>
          <w:sz w:val="18"/>
          <w:szCs w:val="18"/>
          <w:color w:val="auto"/>
        </w:rPr>
        <w:t xml:space="preserve">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DEFAULTS AND REMEDIES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Additional Interest, if any, with respect to, the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default in the payment when due (at maturity, upon redemption or otherwise) of the principal of, or premium, if any, on, the Notes;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the provisions of Section 5.01 hereof;</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Section 4.03 hereof for 90 days after written notice to the Company by the Trustee or the Holders of at least 25% in aggregate principal amount of the Notes then outstanding;</w:t>
      </w:r>
    </w:p>
    <w:p>
      <w:pPr>
        <w:spacing w:after="0" w:line="62" w:lineRule="exact"/>
        <w:rPr>
          <w:rFonts w:ascii="Arial" w:cs="Arial" w:eastAsia="Arial" w:hAnsi="Arial"/>
          <w:sz w:val="18"/>
          <w:szCs w:val="18"/>
          <w:color w:val="auto"/>
        </w:rPr>
      </w:pPr>
    </w:p>
    <w:p>
      <w:pPr>
        <w:ind w:left="460" w:right="280" w:firstLine="443"/>
        <w:spacing w:after="0" w:line="342" w:lineRule="auto"/>
        <w:tabs>
          <w:tab w:leader="none" w:pos="1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failure by the Company or any of its Restricted Subsidiaries to comply with any of the other agreements in this Indenture for 60 days after written notice to the Company by the Trustee or the Holders of at least 25% in aggregate principal amount of the Notes then outstanding;</w:t>
      </w:r>
    </w:p>
    <w:p>
      <w:pPr>
        <w:spacing w:after="0" w:line="15" w:lineRule="exact"/>
        <w:rPr>
          <w:rFonts w:ascii="Arial" w:cs="Arial" w:eastAsia="Arial" w:hAnsi="Arial"/>
          <w:sz w:val="16"/>
          <w:szCs w:val="16"/>
          <w:color w:val="auto"/>
        </w:rPr>
      </w:pPr>
    </w:p>
    <w:p>
      <w:pPr>
        <w:ind w:left="460" w:firstLine="443"/>
        <w:spacing w:after="0" w:line="312" w:lineRule="auto"/>
        <w:tabs>
          <w:tab w:leader="none" w:pos="1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Issue Date, if that default:</w:t>
      </w:r>
    </w:p>
    <w:p>
      <w:pPr>
        <w:spacing w:after="0" w:line="38" w:lineRule="exact"/>
        <w:rPr>
          <w:rFonts w:ascii="Arial" w:cs="Arial" w:eastAsia="Arial" w:hAnsi="Arial"/>
          <w:sz w:val="16"/>
          <w:szCs w:val="16"/>
          <w:color w:val="auto"/>
        </w:rPr>
      </w:pPr>
    </w:p>
    <w:p>
      <w:pPr>
        <w:ind w:left="920" w:right="480" w:firstLine="421"/>
        <w:spacing w:after="0" w:line="277" w:lineRule="auto"/>
        <w:tabs>
          <w:tab w:leader="none" w:pos="158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caused by a failure to pay principal on such Indebtedness at Stated Maturity after giving effect to any grace period (a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920" w:right="140" w:firstLine="421"/>
        <w:spacing w:after="0" w:line="259" w:lineRule="auto"/>
        <w:tabs>
          <w:tab w:leader="none" w:pos="159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Stated Maturity, and, in each case, the principal amount of any such Indebtedness, together with the principal amount of any other such Indebtedness under which there has been a Payment Default or the maturity of which has been so accelerated, aggregates $45.0 million or more and such Indebtedness has not been discharged or such acceleration has not been rescinded or annulled, as applicable, within 30 days;</w:t>
      </w:r>
    </w:p>
    <w:p>
      <w:pPr>
        <w:spacing w:after="0" w:line="78"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or more final non-appealable judgments entered against the Company or any Restricted Subsidiary by a court or courts of competent jurisdiction aggregating in excess of $45.0 million, excluding amounts covered by third-party indemnities or insurance, which judgments are not paid, discharged or stayed for a period of 60 days after the date on which the right to appeal has expired;</w:t>
      </w:r>
    </w:p>
    <w:p>
      <w:pPr>
        <w:spacing w:after="0" w:line="73" w:lineRule="exact"/>
        <w:rPr>
          <w:rFonts w:ascii="Arial" w:cs="Arial" w:eastAsia="Arial" w:hAnsi="Arial"/>
          <w:sz w:val="18"/>
          <w:szCs w:val="18"/>
          <w:color w:val="auto"/>
        </w:rPr>
      </w:pPr>
    </w:p>
    <w:p>
      <w:pPr>
        <w:ind w:left="460" w:right="240" w:firstLine="443"/>
        <w:spacing w:after="0" w:line="312" w:lineRule="auto"/>
        <w:tabs>
          <w:tab w:leader="none" w:pos="1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permitted by this Indenture, any Note Guarantee by a Guarantor that is a Significant Subsidiary of the Company is held in any judicial proceeding to be unenforceable or invalid or ceases for any reason to be in full force and effect, or any Guarantor that is a Significant Subsidiary of the Company, or any Person acting on behalf of any such Guarantor, denies or disaffirms its obligations under its Note Guarantee; and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0" w:right="279" w:bottom="1440" w:gutter="0" w:footer="0" w:header="0"/>
        </w:sectPr>
      </w:pPr>
    </w:p>
    <w:bookmarkStart w:id="74" w:name="page75"/>
    <w:bookmarkEnd w:id="74"/>
    <w:p>
      <w:pPr>
        <w:ind w:left="460" w:firstLine="443"/>
        <w:spacing w:after="0" w:line="277"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and</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sz w:val="20"/>
          <w:szCs w:val="20"/>
          <w:color w:val="auto"/>
        </w:rPr>
      </w:pPr>
    </w:p>
    <w:p>
      <w:pPr>
        <w:ind w:left="920" w:right="700" w:firstLine="421"/>
        <w:spacing w:after="0" w:line="308" w:lineRule="auto"/>
        <w:tabs>
          <w:tab w:leader="none" w:pos="15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38" w:lineRule="exact"/>
        <w:rPr>
          <w:rFonts w:ascii="Arial" w:cs="Arial" w:eastAsia="Arial" w:hAnsi="Arial"/>
          <w:sz w:val="17"/>
          <w:szCs w:val="17"/>
          <w:color w:val="auto"/>
        </w:rPr>
      </w:pPr>
    </w:p>
    <w:p>
      <w:pPr>
        <w:jc w:val="both"/>
        <w:ind w:left="920" w:right="80" w:firstLine="421"/>
        <w:spacing w:after="0" w:line="259" w:lineRule="auto"/>
        <w:tabs>
          <w:tab w:leader="none" w:pos="16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78" w:lineRule="exact"/>
        <w:rPr>
          <w:rFonts w:ascii="Arial" w:cs="Arial" w:eastAsia="Arial" w:hAnsi="Arial"/>
          <w:sz w:val="18"/>
          <w:szCs w:val="18"/>
          <w:color w:val="auto"/>
        </w:rPr>
      </w:pPr>
    </w:p>
    <w:p>
      <w:pPr>
        <w:ind w:left="920" w:right="220" w:firstLine="421"/>
        <w:spacing w:after="0" w:line="277" w:lineRule="auto"/>
        <w:tabs>
          <w:tab w:leader="none" w:pos="1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orders the liquidation of the Company or any of its Restricted Subsidiaries that is a Significant Subsidiary or any group of Restricted Subsidiaries of the Company that, taken together, would constitute a Significant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case of an Event of Default specified in clause (7) or (9) of Section 6.01 hereof, with respect to the Company, all outstanding Notes will become due and payable immediately without further action or notice. If any other Event of Default occurs and is continuing, the Trustee or the Holders of at least 25% in aggregate principal amount of the then outstanding Notes may by written notice to the Company declare all the Notes to be due and payable immediately.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any such declaration, the Notes shall become due and payable immediately.</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or Additional Interest, if any, that has become due solely because of the acceleration) have been cured or waived.</w:t>
      </w:r>
    </w:p>
    <w:p>
      <w:pPr>
        <w:spacing w:after="0" w:line="33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If an Event of Default occurs and is continuing, the Trustee may pursue any available remedy to collect the payment of principal, premium, if any, and Additional Interest, if any, and interest on the Notes or to enforce the performance of any provision of the Notes or this Indenture.</w:t>
      </w:r>
    </w:p>
    <w:p>
      <w:pPr>
        <w:spacing w:after="0" w:line="14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5" w:name="page76"/>
    <w:bookmarkEnd w:id="75"/>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6.04</w:t>
      </w:r>
      <w:r>
        <w:rPr>
          <w:sz w:val="20"/>
          <w:szCs w:val="20"/>
          <w:color w:val="auto"/>
        </w:rPr>
        <w:tab/>
      </w:r>
      <w:r>
        <w:rPr>
          <w:rFonts w:ascii="Arial" w:cs="Arial" w:eastAsia="Arial" w:hAnsi="Arial"/>
          <w:sz w:val="16"/>
          <w:szCs w:val="16"/>
          <w:i w:val="1"/>
          <w:iCs w:val="1"/>
          <w:color w:val="auto"/>
        </w:rPr>
        <w:t>Waiver of Past Defaults.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and Additional Interest, if any, or interest on, the Notes, including in connection with an offer to purchase (other than the non-payment of interest or premium, if any, or Additional Interest, if any, on, or principal of, the Notes that become due solely because of the acceleration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not less than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2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Holders of not less than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(it being understood that the Trustee does not have an affirmative duty to ascertain whether or not any such directions are unduly prejudicial to such Holders) or that may involve the Trustee in personal liability. The Trustee may take any other action deemed proper by the Trustee which is not inconsistent with such direction.</w:t>
      </w:r>
    </w:p>
    <w:p>
      <w:pPr>
        <w:spacing w:after="0" w:line="34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may pursue a remedy with respect to this Indenture or the Notes only if:</w:t>
      </w:r>
    </w:p>
    <w:p>
      <w:pPr>
        <w:spacing w:after="0" w:line="117"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Holders of at least 25% in aggregate principal amount of the then outstanding Notes make a written request to the Trustee to pursue the</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remedy;</w:t>
      </w:r>
    </w:p>
    <w:p>
      <w:pPr>
        <w:spacing w:after="0" w:line="102" w:lineRule="exact"/>
        <w:rPr>
          <w:rFonts w:ascii="Arial" w:cs="Arial" w:eastAsia="Arial" w:hAnsi="Arial"/>
          <w:sz w:val="17"/>
          <w:szCs w:val="17"/>
          <w:color w:val="auto"/>
        </w:rPr>
      </w:pPr>
    </w:p>
    <w:p>
      <w:pPr>
        <w:ind w:left="460" w:right="540" w:firstLine="443"/>
        <w:spacing w:after="0" w:line="277" w:lineRule="auto"/>
        <w:tabs>
          <w:tab w:leader="none" w:pos="11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or indemnity satisfactory to the Trustee against any loss, liability or expense;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security or indemnity; and</w:t>
      </w:r>
    </w:p>
    <w:p>
      <w:pPr>
        <w:spacing w:after="0" w:line="128" w:lineRule="exact"/>
        <w:rPr>
          <w:rFonts w:ascii="Arial" w:cs="Arial" w:eastAsia="Arial" w:hAnsi="Arial"/>
          <w:sz w:val="17"/>
          <w:szCs w:val="17"/>
          <w:color w:val="auto"/>
        </w:rPr>
      </w:pPr>
    </w:p>
    <w:p>
      <w:pPr>
        <w:ind w:left="460" w:right="520" w:firstLine="443"/>
        <w:spacing w:after="0" w:line="277" w:lineRule="auto"/>
        <w:tabs>
          <w:tab w:leader="none" w:pos="11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do not give the Trustee a direction inconsistent with such request.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 Note to receive payment of principal, premium, if any, and Additional Interest, if any, and interest on the Note, on or after the respective due dates expressed in the Note (including in connection with an Asset Sale Offer or Change of Control Offer), or to bring suit for the enforcement of any such payment on or after such respective dates, shall not be impaired or affected without the consent of such Holder.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76" w:name="page77"/>
    <w:bookmarkEnd w:id="76"/>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6.08</w:t>
      </w:r>
      <w:r>
        <w:rPr>
          <w:sz w:val="20"/>
          <w:szCs w:val="20"/>
          <w:color w:val="auto"/>
        </w:rPr>
        <w:tab/>
      </w:r>
      <w:r>
        <w:rPr>
          <w:rFonts w:ascii="Arial" w:cs="Arial" w:eastAsia="Arial" w:hAnsi="Arial"/>
          <w:sz w:val="16"/>
          <w:szCs w:val="16"/>
          <w:i w:val="1"/>
          <w:iCs w:val="1"/>
          <w:color w:val="auto"/>
        </w:rPr>
        <w:t>Collection Suit by Trustee.</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an Event of Default specified in Section 6.01(1) or (2) hereof occurs and is continuing, without the possession of any of the Notes or the production thereof in any proceeding related thereto, the Trustee is authorized to recover judgment in its own name and as trustee of an express trust against the Company or any Guarantor for the whole amount of principal of, premium and Additional Interest,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(including without limitation any amounts due to the Trustee pursuant to Section 7.07 hereof), its agents and counsel.</w:t>
      </w:r>
    </w:p>
    <w:p>
      <w:pPr>
        <w:spacing w:after="0" w:line="34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Guarantor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After an Event of Default, any moneys or properties distributable in respect of the Company’s or any Guarantor’s obligations under this Indenture, or if the Trustee collects any money or property pursuant to this Article 6, it shall pay out the money and property in the following order:</w:t>
      </w:r>
    </w:p>
    <w:p>
      <w:pPr>
        <w:spacing w:after="0" w:line="38" w:lineRule="exact"/>
        <w:rPr>
          <w:sz w:val="20"/>
          <w:szCs w:val="20"/>
          <w:color w:val="auto"/>
        </w:rPr>
      </w:pPr>
    </w:p>
    <w:p>
      <w:pPr>
        <w:ind w:left="460" w:right="220" w:firstLine="43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62" w:lineRule="exact"/>
        <w:rPr>
          <w:sz w:val="20"/>
          <w:szCs w:val="20"/>
          <w:color w:val="auto"/>
        </w:rPr>
      </w:pPr>
    </w:p>
    <w:p>
      <w:pPr>
        <w:ind w:left="460" w:right="140" w:firstLine="438"/>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if any, and Additional Interest,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if any, and Additional Interest, if any, and interest, respectively; and</w:t>
      </w:r>
    </w:p>
    <w:p>
      <w:pPr>
        <w:spacing w:after="0" w:line="73" w:lineRule="exact"/>
        <w:rPr>
          <w:sz w:val="20"/>
          <w:szCs w:val="20"/>
          <w:color w:val="auto"/>
        </w:rPr>
      </w:pPr>
    </w:p>
    <w:p>
      <w:pPr>
        <w:ind w:left="460" w:right="260" w:firstLine="43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any other obligors on the Notes, including the Guarantors, or to such party as a court of competent jurisdiction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direct.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77" w:name="page78"/>
    <w:bookmarkEnd w:id="77"/>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6.11</w:t>
      </w:r>
      <w:r>
        <w:rPr>
          <w:sz w:val="20"/>
          <w:szCs w:val="20"/>
          <w:color w:val="auto"/>
        </w:rPr>
        <w:tab/>
      </w:r>
      <w:r>
        <w:rPr>
          <w:rFonts w:ascii="Arial" w:cs="Arial" w:eastAsia="Arial" w:hAnsi="Arial"/>
          <w:sz w:val="16"/>
          <w:szCs w:val="16"/>
          <w:i w:val="1"/>
          <w:iCs w:val="1"/>
          <w:color w:val="auto"/>
        </w:rPr>
        <w:t>Undertaking for Costs.</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i w:val="1"/>
          <w:iCs w:val="1"/>
          <w:color w:val="auto"/>
        </w:rPr>
        <w:t>Duties of Trustee.</w:t>
      </w:r>
    </w:p>
    <w:p>
      <w:pPr>
        <w:spacing w:after="0" w:line="117" w:lineRule="exact"/>
        <w:rPr>
          <w:sz w:val="20"/>
          <w:szCs w:val="20"/>
          <w:color w:val="auto"/>
        </w:rPr>
      </w:pPr>
    </w:p>
    <w:p>
      <w:pPr>
        <w:ind w:firstLine="464"/>
        <w:spacing w:after="0" w:line="264" w:lineRule="auto"/>
        <w:tabs>
          <w:tab w:leader="none" w:pos="7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460" w:right="140" w:firstLine="443"/>
        <w:spacing w:after="0" w:line="257"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the absence of willful misconduct or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specifically required to be furnished to it under this Indenture to determine whether or not they conform on their face to the requirements of this Indenture (but need not confirm or investigate the accuracy of any mathematical calculations or other facts stated therein).</w:t>
      </w:r>
    </w:p>
    <w:p>
      <w:pPr>
        <w:spacing w:after="0" w:line="188"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or bad faith, except that: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the terms hereof.</w:t>
      </w:r>
    </w:p>
    <w:p>
      <w:pPr>
        <w:spacing w:after="0" w:line="170"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right="200" w:firstLine="464"/>
        <w:spacing w:after="0" w:line="259" w:lineRule="auto"/>
        <w:tabs>
          <w:tab w:leader="none" w:pos="7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hereunder or in the exercise of any of its rights or powers. The Trustee will be under no obligation to exercise any of its rights and powers under this Indenture at the request or direction of any Holders, unless such Holder has offered to the Trustee security and indemnity satisfactory to it against any loss, liability or expense.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8" w:name="page79"/>
    <w:bookmarkEnd w:id="78"/>
    <w:p>
      <w:pPr>
        <w:ind w:right="80" w:firstLine="464"/>
        <w:spacing w:after="0" w:line="277" w:lineRule="auto"/>
        <w:tabs>
          <w:tab w:leader="none" w:pos="681"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TIA § 315(a) through (d):</w:t>
      </w:r>
    </w:p>
    <w:p>
      <w:pPr>
        <w:spacing w:after="0" w:line="117" w:lineRule="exact"/>
        <w:rPr>
          <w:sz w:val="20"/>
          <w:szCs w:val="20"/>
          <w:color w:val="auto"/>
        </w:rPr>
      </w:pPr>
    </w:p>
    <w:p>
      <w:pPr>
        <w:ind w:left="460" w:right="20" w:firstLine="443"/>
        <w:spacing w:after="0" w:line="279" w:lineRule="auto"/>
        <w:tabs>
          <w:tab w:leader="none" w:pos="114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Trustee may conclusively rely upon, and shall be fully protected in acting or refraining from acting upon, any document believed by it to be genuine and to have been signed or presented by the proper Person. The Trustee need not investigate any fact or matter stated in any such document. The Trustee shall receive financial reports and statements of the Company as provided herein, but shall have no duty to review or analyze such reports or statements to determine compliance with covenants or other obligations of the Company.</w:t>
      </w:r>
    </w:p>
    <w:p>
      <w:pPr>
        <w:spacing w:after="0" w:line="63" w:lineRule="exact"/>
        <w:rPr>
          <w:rFonts w:ascii="Arial" w:cs="Arial" w:eastAsia="Arial" w:hAnsi="Arial"/>
          <w:sz w:val="17"/>
          <w:szCs w:val="17"/>
          <w:color w:val="auto"/>
        </w:rPr>
      </w:pPr>
    </w:p>
    <w:p>
      <w:pPr>
        <w:ind w:left="460" w:right="120" w:firstLine="443"/>
        <w:spacing w:after="0" w:line="257"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otherwise set forth in this Indenture, 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80" w:lineRule="exact"/>
        <w:rPr>
          <w:rFonts w:ascii="Arial" w:cs="Arial" w:eastAsia="Arial" w:hAnsi="Arial"/>
          <w:sz w:val="18"/>
          <w:szCs w:val="18"/>
          <w:color w:val="auto"/>
        </w:rPr>
      </w:pPr>
    </w:p>
    <w:p>
      <w:pPr>
        <w:ind w:left="1140" w:hanging="237"/>
        <w:spacing w:after="0"/>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 appointed with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due care.</w:t>
      </w:r>
    </w:p>
    <w:p>
      <w:pPr>
        <w:spacing w:after="0" w:line="102" w:lineRule="exact"/>
        <w:rPr>
          <w:rFonts w:ascii="Arial" w:cs="Arial" w:eastAsia="Arial" w:hAnsi="Arial"/>
          <w:sz w:val="16"/>
          <w:szCs w:val="16"/>
          <w:color w:val="auto"/>
        </w:rPr>
      </w:pPr>
    </w:p>
    <w:p>
      <w:pPr>
        <w:ind w:left="460" w:right="480" w:firstLine="443"/>
        <w:spacing w:after="0" w:line="277"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62" w:lineRule="exact"/>
        <w:rPr>
          <w:rFonts w:ascii="Arial" w:cs="Arial" w:eastAsia="Arial" w:hAnsi="Arial"/>
          <w:sz w:val="18"/>
          <w:szCs w:val="18"/>
          <w:color w:val="auto"/>
        </w:rPr>
      </w:pPr>
    </w:p>
    <w:p>
      <w:pPr>
        <w:jc w:val="both"/>
        <w:ind w:left="460" w:right="140" w:firstLine="443"/>
        <w:spacing w:after="0" w:line="264" w:lineRule="auto"/>
        <w:tabs>
          <w:tab w:leader="none" w:pos="11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satisfactory indemnity or security against the losses, liabilities and expenses that might be incurred by it in compliance with such request or direction.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or exercise of its powers or duties hereunder.</w:t>
      </w:r>
    </w:p>
    <w:p>
      <w:pPr>
        <w:spacing w:after="0" w:line="128" w:lineRule="exact"/>
        <w:rPr>
          <w:rFonts w:ascii="Arial" w:cs="Arial" w:eastAsia="Arial" w:hAnsi="Arial"/>
          <w:sz w:val="17"/>
          <w:szCs w:val="17"/>
          <w:color w:val="auto"/>
        </w:rPr>
      </w:pPr>
    </w:p>
    <w:p>
      <w:pPr>
        <w:ind w:left="460" w:right="20" w:firstLine="443"/>
        <w:spacing w:after="0" w:line="257" w:lineRule="auto"/>
        <w:tabs>
          <w:tab w:leader="none" w:pos="11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with respect to Section 4.01 hereof, the Trustee shall have no duty to inquire as to the performance of the Company with respect to the covenants contained in Article 4 hereof. In addition, Trustee shall not deemed to have notice or be charged with knowledge of any Default or Event of Default unless the Trustee shall have received from the Company, any Guarantor or any other obligor upon the Notes or from any Holder written notice thereof at its address set forth in Section 13.02 hereof, and such notice references the Notes and this Indenture. In the absence of any such notice, the Trustee may conclusively assume that no Default or Event of Default exists.</w:t>
      </w:r>
    </w:p>
    <w:p>
      <w:pPr>
        <w:spacing w:after="0" w:line="80" w:lineRule="exact"/>
        <w:rPr>
          <w:rFonts w:ascii="Arial" w:cs="Arial" w:eastAsia="Arial" w:hAnsi="Arial"/>
          <w:sz w:val="18"/>
          <w:szCs w:val="18"/>
          <w:color w:val="auto"/>
        </w:rPr>
      </w:pPr>
    </w:p>
    <w:p>
      <w:pPr>
        <w:ind w:left="460" w:right="180" w:firstLine="443"/>
        <w:spacing w:after="0" w:line="264" w:lineRule="auto"/>
        <w:tabs>
          <w:tab w:leader="none" w:pos="11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as Agent, and to each agent, custodian and other Person employed to act hereunder.</w:t>
      </w:r>
    </w:p>
    <w:p>
      <w:pPr>
        <w:spacing w:after="0" w:line="73" w:lineRule="exact"/>
        <w:rPr>
          <w:rFonts w:ascii="Arial" w:cs="Arial" w:eastAsia="Arial" w:hAnsi="Arial"/>
          <w:sz w:val="18"/>
          <w:szCs w:val="18"/>
          <w:color w:val="auto"/>
        </w:rPr>
      </w:pPr>
    </w:p>
    <w:p>
      <w:pPr>
        <w:ind w:left="460" w:right="200" w:firstLine="443"/>
        <w:spacing w:after="0" w:line="264" w:lineRule="auto"/>
        <w:tabs>
          <w:tab w:leader="none" w:pos="11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79" w:name="page80"/>
    <w:bookmarkEnd w:id="79"/>
    <w:p>
      <w:pPr>
        <w:jc w:val="both"/>
        <w:ind w:left="460"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57"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special, indirect, punitive or consequential loss or damage of any kind</w:t>
      </w:r>
    </w:p>
    <w:p>
      <w:pPr>
        <w:spacing w:after="0" w:line="34" w:lineRule="exact"/>
        <w:rPr>
          <w:rFonts w:ascii="Arial" w:cs="Arial" w:eastAsia="Arial" w:hAnsi="Arial"/>
          <w:sz w:val="17"/>
          <w:szCs w:val="17"/>
          <w:color w:val="auto"/>
        </w:rPr>
      </w:pPr>
    </w:p>
    <w:p>
      <w:pPr>
        <w:ind w:left="460" w:right="140"/>
        <w:spacing w:after="0" w:line="261" w:lineRule="auto"/>
        <w:rPr>
          <w:rFonts w:ascii="Arial" w:cs="Arial" w:eastAsia="Arial" w:hAnsi="Arial"/>
          <w:sz w:val="17"/>
          <w:szCs w:val="17"/>
          <w:color w:val="auto"/>
        </w:rPr>
      </w:pPr>
      <w:r>
        <w:rPr>
          <w:rFonts w:ascii="Arial" w:cs="Arial" w:eastAsia="Arial" w:hAnsi="Arial"/>
          <w:sz w:val="18"/>
          <w:szCs w:val="18"/>
          <w:color w:val="auto"/>
        </w:rPr>
        <w:t>whatsoever (including, but not limited to, loss of profit), irrespective of whether the Trustee has been advised of the likelihood of such loss or damage and regardless of the form of action.</w:t>
      </w:r>
    </w:p>
    <w:p>
      <w:pPr>
        <w:spacing w:after="0" w:line="33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defined in the TIA, it must eliminate such conflict within 90 days, apply to the SEC for permission to continue as trustee (if this Indenture has been qualified under the TIA and to the extent permitted by TIA § 3.10(b)) or resign. If the Trustee fails to eliminate the conflicting interest, obtain permission or resign within 10 days of the expiration of the 90-day period, the Trustee is required to notify the Holders to this effect, and any Holder that has been a bona fide Holder for at least six months may petition a court to remove the Trustee and appoint a successor trustee. Any Agent may do the same with like rights and duties. The Trustee is also subject to Sections 7.10 and 7.11 hereof.</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Trustee will not be responsible for and makes no representation as to the validity or adequacy of this Indenture or the Notes or the Note Guarantees,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and the Statement of Eligibility on Form T-1 to be supplied to the Company in connection with the Exchange Offer Registration Statement and/or Shelf Registration Statement.</w:t>
      </w:r>
    </w:p>
    <w:p>
      <w:pPr>
        <w:spacing w:after="0" w:line="3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 Default or Event of Default occurs and is continuing and if it is known to the Trustee, the Trustee will mail or deliver to Holders of Notes a notice of the Default or Event of Default within 90 days after receipt of notice of the occurrence of the Event of Default.</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Reports by Trustee to Holders of the Notes.</w:t>
      </w:r>
    </w:p>
    <w:p>
      <w:pPr>
        <w:spacing w:after="0" w:line="117" w:lineRule="exact"/>
        <w:rPr>
          <w:sz w:val="20"/>
          <w:szCs w:val="20"/>
          <w:color w:val="auto"/>
        </w:rPr>
      </w:pPr>
    </w:p>
    <w:p>
      <w:pPr>
        <w:ind w:firstLine="464"/>
        <w:spacing w:after="0" w:line="259" w:lineRule="auto"/>
        <w:tabs>
          <w:tab w:leader="none" w:pos="7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60 days after each April 15 beginning April 15, 2016, and for so long as Notes remain outstanding, the Trustee will deliver to the Holders of the Notes a brief report dated as of such reporting date that complies with TIA § 313(a) (but if no event described in TIA § 313(a) has occurred within the twelve months preceding the reporting date, no report need be transmitted). The Trustee also will comply with TIA § 313(b)(2). The Trustee will also transmit or deliver all reports as required by TIA § 313(c).</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copy of each report at the time of its delivery to the Holders of Notes will be delivered by the Trustee to the Company and filed by the Trustee with the SEC, if required, and each stock exchange on which the Notes are listed, if any, in accordance with TIA § 313(d). The Company will promptly notify the Trustee in writing when the Notes are listed on any stock exchange.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80" w:name="page81"/>
    <w:bookmarkEnd w:id="80"/>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7.07</w:t>
      </w:r>
      <w:r>
        <w:rPr>
          <w:sz w:val="20"/>
          <w:szCs w:val="20"/>
          <w:color w:val="auto"/>
        </w:rPr>
        <w:tab/>
      </w:r>
      <w:r>
        <w:rPr>
          <w:rFonts w:ascii="Arial" w:cs="Arial" w:eastAsia="Arial" w:hAnsi="Arial"/>
          <w:sz w:val="16"/>
          <w:szCs w:val="16"/>
          <w:i w:val="1"/>
          <w:iCs w:val="1"/>
          <w:color w:val="auto"/>
        </w:rPr>
        <w:t>Compensation and Indemnity.</w:t>
      </w:r>
    </w:p>
    <w:p>
      <w:pPr>
        <w:spacing w:after="0" w:line="117" w:lineRule="exact"/>
        <w:rPr>
          <w:sz w:val="20"/>
          <w:szCs w:val="20"/>
          <w:color w:val="auto"/>
        </w:rPr>
      </w:pPr>
    </w:p>
    <w:p>
      <w:pPr>
        <w:jc w:val="both"/>
        <w:ind w:right="120" w:firstLine="464"/>
        <w:spacing w:after="0" w:line="279" w:lineRule="auto"/>
        <w:tabs>
          <w:tab w:leader="none" w:pos="70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71" w:lineRule="exact"/>
        <w:rPr>
          <w:rFonts w:ascii="Arial" w:cs="Arial" w:eastAsia="Arial" w:hAnsi="Arial"/>
          <w:sz w:val="17"/>
          <w:szCs w:val="17"/>
          <w:color w:val="auto"/>
        </w:rPr>
      </w:pPr>
    </w:p>
    <w:p>
      <w:pPr>
        <w:ind w:right="80" w:firstLine="464"/>
        <w:spacing w:after="0" w:line="269" w:lineRule="auto"/>
        <w:tabs>
          <w:tab w:leader="none" w:pos="71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and the Guarantors will, jointly and severally, indemnify the Trustee (which for purposes of this Section 7.07 shall include its officers, directors, stockholders, employees and agents) against any and all losses, liabilities or expenses (including without limitation taxes other than taxes based on the income of the Trustee)incurred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negligence, willful misconduct or bad faith.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 Neither the Company nor any Guarantor need reimburse any expense or indemnify against any loss, liability or expense incurred by the Trustee through its own negligence, willful misconduct or bad faith.</w:t>
      </w:r>
    </w:p>
    <w:p>
      <w:pPr>
        <w:spacing w:after="0" w:line="179" w:lineRule="exact"/>
        <w:rPr>
          <w:rFonts w:ascii="Arial" w:cs="Arial" w:eastAsia="Arial" w:hAnsi="Arial"/>
          <w:sz w:val="17"/>
          <w:szCs w:val="17"/>
          <w:color w:val="auto"/>
        </w:rPr>
      </w:pPr>
    </w:p>
    <w:p>
      <w:pPr>
        <w:ind w:right="160" w:firstLine="464"/>
        <w:spacing w:after="0" w:line="277"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7.07 will survive the resignation or removal of the Trustee and satisfaction and discharge of this Indenture (including without limitation taxes other than taxes based on the income of the Trustee).</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Notes on all money or property held or collected by the Trustee, except that held in trust to pay principal and interest on particular Notes. Such Lien will survive the satisfaction and discharge of this Indenture.</w:t>
      </w:r>
    </w:p>
    <w:p>
      <w:pPr>
        <w:spacing w:after="0" w:line="181"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6.01(8) or (9) hereof occurs, the expenses and the compensation for the services (including the fees and expenses of its agents and counsel) are intended to constitute expenses of administration under any Bankruptcy Law.</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will comply with the provisions of TIA § 313(b)(2) to the extent applicable.</w:t>
      </w:r>
    </w:p>
    <w:p>
      <w:pPr>
        <w:spacing w:after="0" w:line="225"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“Trustee” for the purposes of this Section 7.07 shall include any predecessor Trustee and the Trustee in each of its capacities hereunder and each agent, custodian and other person employed to act hereunder; provided, however, that the negligence, willful misconduct or bad faith of any Trustee hereunder shall not affect the rights of any other Trustee hereunder.</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117" w:lineRule="exact"/>
        <w:rPr>
          <w:sz w:val="20"/>
          <w:szCs w:val="20"/>
          <w:color w:val="auto"/>
        </w:rPr>
      </w:pPr>
    </w:p>
    <w:p>
      <w:pPr>
        <w:ind w:right="20" w:firstLine="464"/>
        <w:spacing w:after="0" w:line="277" w:lineRule="auto"/>
        <w:tabs>
          <w:tab w:leader="none" w:pos="7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81" w:name="page82"/>
    <w:bookmarkEnd w:id="81"/>
    <w:p>
      <w:pPr>
        <w:ind w:right="200" w:firstLine="464"/>
        <w:spacing w:after="0" w:line="264" w:lineRule="auto"/>
        <w:tabs>
          <w:tab w:leader="none" w:pos="7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140" w:firstLine="464"/>
        <w:spacing w:after="0" w:line="264" w:lineRule="auto"/>
        <w:tabs>
          <w:tab w:leader="none" w:pos="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81" w:lineRule="exact"/>
        <w:rPr>
          <w:rFonts w:ascii="Arial" w:cs="Arial" w:eastAsia="Arial" w:hAnsi="Arial"/>
          <w:sz w:val="18"/>
          <w:szCs w:val="18"/>
          <w:color w:val="auto"/>
        </w:rPr>
      </w:pPr>
    </w:p>
    <w:p>
      <w:pPr>
        <w:ind w:right="340" w:firstLine="464"/>
        <w:spacing w:after="0" w:line="264" w:lineRule="auto"/>
        <w:tabs>
          <w:tab w:leader="none" w:pos="7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right="360" w:firstLine="464"/>
        <w:spacing w:after="0" w:line="308" w:lineRule="auto"/>
        <w:tabs>
          <w:tab w:leader="none" w:pos="7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20" w:firstLine="464"/>
        <w:spacing w:after="0" w:line="255" w:lineRule="auto"/>
        <w:tabs>
          <w:tab w:leader="none" w:pos="68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deliver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34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Indenture will always have a Trustee who satisfies the requirements of TIA § 310(a)(1), (2) and (5). The Trustee is subject to TIA § 310(b). There shall be excluded from the operation of TIA Section 310(b)(i) any securities under any indenture or indentures under which other securities or certificates of interest or participation in other securities of the Company or any of the Guarantors are outstanding if the requirements for such exclusion set forth in TIA Section 310(b)(i) are met.</w:t>
      </w:r>
    </w:p>
    <w:p>
      <w:pPr>
        <w:spacing w:after="0" w:line="33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Preferential Collection of Claims Against Company.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may, at its option and at any time, elect to have either Sections 8.02 or 8.03 hereof be applied to all outstanding Notes upon compliance with the conditions set forth below in this Article 8.</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Company’s exercise under Section 8.01 hereof of the option applicable to this Section 8.02, the Company and each of the Guarantors will, subject to the satisfaction of the conditions set forth in Section 8.04 hereof, be deemed to have been discharged from their obligations with respect to all outstanding Notes (including the Note Guarantees) on and after the date the conditions set forth below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58" w:lineRule="exact"/>
        <w:rPr>
          <w:sz w:val="20"/>
          <w:szCs w:val="20"/>
          <w:color w:val="auto"/>
        </w:rPr>
      </w:pPr>
    </w:p>
    <w:p>
      <w:pPr>
        <w:ind w:left="460" w:right="60" w:firstLine="443"/>
        <w:spacing w:after="0" w:line="277"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Additional Interest, if any, on, such Notes when such payments are due from the trust referred to in Section 8.04 hereof;</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Company’s and the Guarantors’ obligations in connection therewith;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Sections 8.01, 8.02, 8.04, 8.05, 8.06 and 8.07 of this Article 8.</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 If the Company exercises its Legal Defeasance option, each Guarantor will be released from all of its obligations with respect to its Note Guarantee.</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Guarantors will, subject to the satisfaction of the conditions set forth in Section 8.04 hereof, be released from each of their obligations under the covenants contained in Sections 4.03, 4.07, 4.08, 4.09, 4.10, 4.11, 4.12, 4.15, 4.17, 4.19, 4.20, 4.21 hereof and clause (4) of Section 5.01(a) hereof with respect to the outstanding Notes (including the Note Guarantees) on and after the date the conditions set forth in Section 8.04 hereof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0" w:right="259" w:bottom="1440" w:gutter="0" w:footer="0" w:header="0"/>
        </w:sectPr>
      </w:pPr>
    </w:p>
    <w:bookmarkStart w:id="83" w:name="page84"/>
    <w:bookmarkEnd w:id="83"/>
    <w:p>
      <w:pPr>
        <w:jc w:val="both"/>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the events described in Sections 6.01(3) through 6.01(5) hereof will not constitute Events of Default.</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460" w:right="40" w:firstLine="443"/>
        <w:spacing w:after="0" w:line="255"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reasonably acceptable to the Trustee, expressed in a written certification thereof delivered to the Trustee, to pay the principal of, or interest and premium, if any, and Additional Interest,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case of an election under Section 8.02 hereof, the Company must deliver to the Trustee an Opinion of Counsel confirming that:</w:t>
      </w:r>
    </w:p>
    <w:p>
      <w:pPr>
        <w:spacing w:after="0" w:line="128" w:lineRule="exact"/>
        <w:rPr>
          <w:rFonts w:ascii="Arial" w:cs="Arial" w:eastAsia="Arial" w:hAnsi="Arial"/>
          <w:sz w:val="17"/>
          <w:szCs w:val="17"/>
          <w:color w:val="auto"/>
        </w:rPr>
      </w:pPr>
    </w:p>
    <w:p>
      <w:pPr>
        <w:ind w:left="1580" w:hanging="239"/>
        <w:spacing w:after="0"/>
        <w:tabs>
          <w:tab w:leader="none" w:pos="15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federal income tax law,</w:t>
      </w:r>
    </w:p>
    <w:p>
      <w:pPr>
        <w:spacing w:after="0" w:line="117"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57" w:lineRule="exact"/>
        <w:rPr>
          <w:sz w:val="20"/>
          <w:szCs w:val="20"/>
          <w:color w:val="auto"/>
        </w:rPr>
      </w:pPr>
    </w:p>
    <w:p>
      <w:pPr>
        <w:ind w:left="460" w:right="140" w:firstLine="443"/>
        <w:spacing w:after="0" w:line="259"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w:t>
      </w:r>
    </w:p>
    <w:p>
      <w:pPr>
        <w:spacing w:after="0" w:line="62"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73"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84" w:name="page85"/>
    <w:bookmarkEnd w:id="84"/>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Additional Interest, if any, and interest, but such money need not be segregated from other funds except to the extent required by law.</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33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or any of its Subsidiaries, in trust for the payment of the principal of, premium or Additional Interest, if any, or interest on, any Note and remaining unclaimed for two years after such principal, premium, if any, or Additional Interest, if any, or interest has become due and payable shall, subject to applicable abandoned property law, be paid to the Company on its request or (if then held by the Company or any of its Subsidiaries)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makes any payment of principal of, premium, if any, or Additional Interest, if any, or interest on, any Note following the reinstatement of its obligations, the Company will be subrogated to the rights of the Holders of such Notes to receive such payment from the money held by the Trustee or Paying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AMENDMENT, SUPPLEMENT AND WAIVER</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Notwithstanding Section 9.02 hereof, the Company, the Guarantors (except that no existing Guarantor need execute a supplemental indenture substantially in the form of Exhibit F hereto pursuant to clause (8) of this Section 9.01) and the Trustee may amend or supplement this Indenture or the Notes or the Note Guarantees without the consent of any Holder to:</w:t>
      </w:r>
    </w:p>
    <w:p>
      <w:pPr>
        <w:spacing w:after="0" w:line="73"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17" w:lineRule="exact"/>
        <w:rPr>
          <w:rFonts w:ascii="Arial" w:cs="Arial" w:eastAsia="Arial" w:hAnsi="Arial"/>
          <w:sz w:val="18"/>
          <w:szCs w:val="18"/>
          <w:color w:val="auto"/>
        </w:rPr>
      </w:pPr>
    </w:p>
    <w:p>
      <w:pPr>
        <w:ind w:left="460" w:right="380" w:firstLine="443"/>
        <w:spacing w:after="0" w:line="277"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for the assumption of the Company’s or a Guarantor’s obligations to Holders of Notes and Note Guarantees by a successor to the Company or such Guarantor pursuant to Article 5 or Article 11 hereof;</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Holders or that does not adversely affect the legal rights hereunder of any Holder;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this Indenture under the TIA;</w:t>
      </w:r>
    </w:p>
    <w:p>
      <w:pPr>
        <w:spacing w:after="0" w:line="117" w:lineRule="exact"/>
        <w:rPr>
          <w:rFonts w:ascii="Arial" w:cs="Arial" w:eastAsia="Arial" w:hAnsi="Arial"/>
          <w:sz w:val="18"/>
          <w:szCs w:val="18"/>
          <w:color w:val="auto"/>
        </w:rPr>
      </w:pPr>
    </w:p>
    <w:p>
      <w:pPr>
        <w:ind w:left="460" w:right="300" w:firstLine="443"/>
        <w:spacing w:after="0" w:line="264" w:lineRule="auto"/>
        <w:tabs>
          <w:tab w:leader="none" w:pos="11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conform the text of this Indenture, the Note Guarantees or the Notes to any provision of the “Description of the Notes” section of the Company’s Offering Memorandum, to the extent that such provision in that “Description of the Notes” was intended to be a verbatim recitation of a provision of this Indenture, the Note Guarantees or the Notes;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for the issuance of Additional Notes in accordance with the limitations set forth in this Indenture as of the Issue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Note Guarantee with respect to the Notes;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this Indenture of a successor Trustee.</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Upon the request of the Company and upon receipt by the Trustee of the documents described in Section 7.02 hereof, the Trustee will join with the Company and, if applicable,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3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below in this Section 9.02, the Company, the Guarantors and the Trustee may amend or supplement this Indenture (including, without limitation, Sections 3.09, 4.10 and 4.15 hereof) and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Sections 6.04 and 6.07 hereof, any existing Default or Event of Default (other than a Default or Event of Default in the payment of the principal of, premium, if any, or Additional Interest, if any, or interest on, the Notes,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0" w:right="239" w:bottom="1440" w:gutter="0" w:footer="0" w:header="0"/>
        </w:sectPr>
      </w:pPr>
    </w:p>
    <w:bookmarkStart w:id="86" w:name="page87"/>
    <w:bookmarkEnd w:id="86"/>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 payment default resulting from an acceleration that has been rescinded) or compliance with any provision of this Indenture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hereof shall determine which Notes are considered to be “outstanding” for purposes of this Section 9.02.</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request of the Company and upon the filing with the Trustee of evidence satisfactory to the Trustee of the consent of the Holders as aforesaid, and upon receipt by the Trustee of the documents described in Section 7.02 hereof,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8"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After an amendment, supplement or waiver under this Section 9.02 becomes effective, the Company will deliver to the Holders of Notes affected thereby a notice briefly describing the amendment, supplement or waiver. Any failure of the Company to deliver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or the Note Guarantees. However, without the consent of each Holder affected, an amendment, supplement or waiver under this Section 9.02 may not (with respect to any Notes held by a non-consenting Holder):</w:t>
      </w:r>
    </w:p>
    <w:p>
      <w:pPr>
        <w:spacing w:after="0" w:line="70"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reduce any amount payable on any redemption of the Notes or the initial non-call periods during which the Notes may not be redeemed;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jc w:val="both"/>
        <w:ind w:left="460" w:right="60" w:firstLine="443"/>
        <w:spacing w:after="0" w:line="264"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Additional Interest,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interest or premium, if any, or Additional Interest, if any, on, the Notes;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3.09, 4.10 or 4.15 hereof);</w:t>
      </w:r>
    </w:p>
    <w:p>
      <w:pPr>
        <w:spacing w:after="0" w:line="117" w:lineRule="exact"/>
        <w:rPr>
          <w:rFonts w:ascii="Arial" w:cs="Arial" w:eastAsia="Arial" w:hAnsi="Arial"/>
          <w:sz w:val="18"/>
          <w:szCs w:val="18"/>
          <w:color w:val="auto"/>
        </w:rPr>
      </w:pPr>
    </w:p>
    <w:p>
      <w:pPr>
        <w:ind w:left="460" w:right="46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this Indenture, except in accordance with the terms of this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87" w:name="page88"/>
    <w:bookmarkEnd w:id="87"/>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 to, or modify the ranking of, the Notes that would adversely affect the Holders of the Notes; or</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in Sections 9.01 and 9.02.</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Compliance with Trust Indenture Act.</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 that complies with the TIA as then in effect.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may, in the circumstances permitted by the TIA, set any day as the record date for the purpose of determining the Holders of outstanding Notes entitled to give or take any request, demand, authorization, direction, notice, consent, waiver, or other action provided or permitted by this Indenture to be given or taken by Holders of the Notes.</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33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Notes.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Alternatively, the Company in exchange for all Notes may issue and the Trustee shall, upon receipt of an Authentication Order, authenticate new Notes that reflect the amendment, supplement or waiver.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38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w:t>
      </w:r>
    </w:p>
    <w:p>
      <w:pPr>
        <w:ind w:right="180"/>
        <w:spacing w:after="0" w:line="255" w:lineRule="auto"/>
        <w:rPr>
          <w:sz w:val="20"/>
          <w:szCs w:val="20"/>
          <w:color w:val="auto"/>
        </w:rPr>
      </w:pPr>
      <w:r>
        <w:rPr>
          <w:rFonts w:ascii="Arial" w:cs="Arial" w:eastAsia="Arial" w:hAnsi="Arial"/>
          <w:sz w:val="18"/>
          <w:szCs w:val="18"/>
          <w:color w:val="auto"/>
        </w:rPr>
        <w:t>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and that it will be the legal, valid and binding obligation of the Company and the Guarantors in accordance with its terms.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4" w:right="27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[INTENTIONALLY OMITTED.]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GUARANTEES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5"/>
          <w:szCs w:val="15"/>
          <w:i w:val="1"/>
          <w:iCs w:val="1"/>
          <w:color w:val="auto"/>
        </w:rPr>
        <w:t>Guarantee.</w:t>
      </w:r>
    </w:p>
    <w:p>
      <w:pPr>
        <w:spacing w:after="0" w:line="117" w:lineRule="exact"/>
        <w:rPr>
          <w:sz w:val="20"/>
          <w:szCs w:val="20"/>
          <w:color w:val="auto"/>
        </w:rPr>
      </w:pPr>
    </w:p>
    <w:p>
      <w:pPr>
        <w:ind w:right="20" w:firstLine="464"/>
        <w:spacing w:after="0" w:line="264"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73" w:lineRule="exact"/>
        <w:rPr>
          <w:rFonts w:ascii="Arial" w:cs="Arial" w:eastAsia="Arial" w:hAnsi="Arial"/>
          <w:sz w:val="18"/>
          <w:szCs w:val="18"/>
          <w:color w:val="auto"/>
        </w:rPr>
      </w:pPr>
    </w:p>
    <w:p>
      <w:pPr>
        <w:ind w:left="460" w:firstLine="443"/>
        <w:spacing w:after="0" w:line="259" w:lineRule="auto"/>
        <w:tabs>
          <w:tab w:leader="none" w:pos="115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principal of, premium, if any, and Additional Interest, if any,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78" w:lineRule="exact"/>
        <w:rPr>
          <w:rFonts w:ascii="Arial" w:cs="Arial" w:eastAsia="Arial" w:hAnsi="Arial"/>
          <w:sz w:val="18"/>
          <w:szCs w:val="18"/>
          <w:color w:val="auto"/>
        </w:rPr>
      </w:pPr>
    </w:p>
    <w:p>
      <w:pPr>
        <w:ind w:left="460" w:right="140" w:firstLine="443"/>
        <w:spacing w:after="0" w:line="342" w:lineRule="auto"/>
        <w:tabs>
          <w:tab w:leader="none" w:pos="1153"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24"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40" w:firstLine="464"/>
        <w:spacing w:after="0" w:line="272" w:lineRule="auto"/>
        <w:tabs>
          <w:tab w:leader="none" w:pos="71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Guarantors hereby agree that, to the fullest extent permitted by applicable law, their obligations hereunder are unconditional, irrespective of the validity, regularity or enforceability of the Notes or this Indenture, the absence of any action to enforce the same, any waiver or consent by any Holder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fullest extent permitted by applicable law, diligence, presentment, demand of payment, filing of claims with a court in the event of insolvency or bankruptcy of the Company, any right to require a proceeding first against the Company, protest, notice and all demands whatsoever and covenant that this Note Guarantee will not be discharged except by complete performance of the obligations contained in the Notes and this Indenture.</w:t>
      </w:r>
    </w:p>
    <w:p>
      <w:pPr>
        <w:spacing w:after="0" w:line="177" w:lineRule="exact"/>
        <w:rPr>
          <w:rFonts w:ascii="Arial" w:cs="Arial" w:eastAsia="Arial" w:hAnsi="Arial"/>
          <w:sz w:val="17"/>
          <w:szCs w:val="17"/>
          <w:color w:val="auto"/>
        </w:rPr>
      </w:pPr>
    </w:p>
    <w:p>
      <w:pPr>
        <w:ind w:right="20" w:firstLine="464"/>
        <w:spacing w:after="0" w:line="264"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181" w:lineRule="exact"/>
        <w:rPr>
          <w:rFonts w:ascii="Arial" w:cs="Arial" w:eastAsia="Arial" w:hAnsi="Arial"/>
          <w:sz w:val="18"/>
          <w:szCs w:val="18"/>
          <w:color w:val="auto"/>
        </w:rPr>
      </w:pPr>
    </w:p>
    <w:p>
      <w:pPr>
        <w:ind w:right="40" w:firstLine="464"/>
        <w:spacing w:after="0" w:line="291" w:lineRule="auto"/>
        <w:tabs>
          <w:tab w:leader="none" w:pos="7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0" w:right="259" w:bottom="1440" w:gutter="0" w:footer="0" w:header="0"/>
        </w:sectPr>
      </w:pPr>
    </w:p>
    <w:bookmarkStart w:id="89" w:name="page90"/>
    <w:bookmarkEnd w:id="89"/>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11.02</w:t>
      </w:r>
      <w:r>
        <w:rPr>
          <w:sz w:val="20"/>
          <w:szCs w:val="20"/>
          <w:color w:val="auto"/>
        </w:rPr>
        <w:tab/>
      </w:r>
      <w:r>
        <w:rPr>
          <w:rFonts w:ascii="Arial" w:cs="Arial" w:eastAsia="Arial" w:hAnsi="Arial"/>
          <w:sz w:val="17"/>
          <w:szCs w:val="17"/>
          <w:i w:val="1"/>
          <w:iCs w:val="1"/>
          <w:color w:val="auto"/>
        </w:rPr>
        <w:t>[Intentionally Omitted.]</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7"/>
          <w:szCs w:val="17"/>
          <w:i w:val="1"/>
          <w:iCs w:val="1"/>
          <w:color w:val="auto"/>
        </w:rPr>
        <w:t>Limitation on Guarantor Liability.</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i w:val="1"/>
          <w:iCs w:val="1"/>
          <w:color w:val="auto"/>
        </w:rPr>
        <w:t>Execution and Delivery of Note Guarantee.</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To evidence its Note Guarantee set forth in Section 11.01 hereof, each Guarantor hereby agrees that a notation of such Note Guarantee substantially in the form attached as Exhibit E hereto will be endorsed by an Officer of such Guarantor on each Note authenticated and delivered by the Trustee and that this Indenture will be executed on behalf of such Guarantor by one of its Officers.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Each Guarantor hereby agrees that its Note Guarantee set forth in Section 11.01 hereof will remain in full force and effect notwithstanding any failure to endorse on each Note a notation of such Note Guarantee.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Note Guarantee set forth in this Indenture on behalf of the Guarantors.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event that the Company or any of its Restricted Subsidiaries creates or acquires any Domestic Subsidiary after the Issue Date, if required by Section 4.20 hereof, the Company will cause such Domestic Subsidiary to comply with the provisions of Section 4.20 hereof and this Article 11, to the extent applicable.</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Except as otherwise provided in Section 11.06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73"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333"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firstLine="421"/>
        <w:spacing w:after="0" w:line="302" w:lineRule="auto"/>
        <w:tabs>
          <w:tab w:leader="none" w:pos="158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 such Guarantor shall be the Person surviving any such consolidation or merger or (ii) the Person acquiring the assets in any such sale or other disposition or the Person formed by or surviving any such consolidation or merger unconditionally assumes all the obligations of that Guarantor under this Indenture, its Note Guarantee and the Registration Rights Agreement (if such Guarantor’s registration obligations thereunder have not been completed) on the terms set forth herein or therein, pursuant to a supplemental indenture satisfactory to the Trustee; or</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74" w:right="279" w:bottom="1440" w:gutter="0" w:footer="0" w:header="0"/>
        </w:sectPr>
      </w:pPr>
    </w:p>
    <w:bookmarkStart w:id="90" w:name="page91"/>
    <w:bookmarkEnd w:id="90"/>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such sale or other disposition does not violate Section 4.10 hereof.</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case of any such consolidation, merger, sale or conveyance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will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Company and delivered to the Trustee. All the Note Guarantees so issued will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6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Except as set forth in Articles 4 and 5 hereof, and notwithstanding clauses 2(a) and 2(b) in this Section 11.05,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3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4"/>
          <w:szCs w:val="14"/>
          <w:i w:val="1"/>
          <w:iCs w:val="1"/>
          <w:color w:val="auto"/>
        </w:rPr>
        <w:t>Releases.</w:t>
      </w:r>
    </w:p>
    <w:p>
      <w:pPr>
        <w:spacing w:after="0" w:line="117" w:lineRule="exact"/>
        <w:rPr>
          <w:sz w:val="20"/>
          <w:szCs w:val="20"/>
          <w:color w:val="auto"/>
        </w:rPr>
      </w:pPr>
    </w:p>
    <w:p>
      <w:pPr>
        <w:ind w:firstLine="464"/>
        <w:spacing w:after="0" w:line="270" w:lineRule="auto"/>
        <w:tabs>
          <w:tab w:leader="none" w:pos="70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In the event of any sale or other disposition of all or substantially all of the assets or all of the Capital Stock of any Guarantor, by way of merger, consolidation or otherwise, or a sale or other disposition of all of the Capital Stock of any Guarantor, in each case to a Person that is not (either before or after giving effect to such transactions) the Company or a Restricted Subsidiary of the Company,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Note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Proceeds of such sale or other disposition are applied in accordance with the provisions of Section 4.10 hereof. Upon delivery by the Company to the Trustee of an Officer’s Certificate and an Opinion of Counsel to the effect that such sale or other disposition was made by the Company in accordance with the provisions of Section 4.10 hereof, the Trustee will execute any documents reasonably required in order to evidence the release of any Guarantor from its obligations under its Note Guarantee.</w:t>
      </w:r>
    </w:p>
    <w:p>
      <w:pPr>
        <w:spacing w:after="0" w:line="181" w:lineRule="exact"/>
        <w:rPr>
          <w:rFonts w:ascii="Arial" w:cs="Arial" w:eastAsia="Arial" w:hAnsi="Arial"/>
          <w:sz w:val="17"/>
          <w:szCs w:val="17"/>
          <w:color w:val="auto"/>
        </w:rPr>
      </w:pPr>
    </w:p>
    <w:p>
      <w:pPr>
        <w:ind w:right="280" w:firstLine="464"/>
        <w:spacing w:after="0" w:line="277" w:lineRule="auto"/>
        <w:tabs>
          <w:tab w:leader="none" w:pos="7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designation of any Guarantor as an Unrestricted Subsidiary in accordance with the terms of this Indenture, such Guarantor will be released and relieved of any obligations under its Note Guarantee.</w:t>
      </w:r>
    </w:p>
    <w:p>
      <w:pPr>
        <w:spacing w:after="0" w:line="170" w:lineRule="exact"/>
        <w:rPr>
          <w:rFonts w:ascii="Arial" w:cs="Arial" w:eastAsia="Arial" w:hAnsi="Arial"/>
          <w:sz w:val="18"/>
          <w:szCs w:val="18"/>
          <w:color w:val="auto"/>
        </w:rPr>
      </w:pPr>
    </w:p>
    <w:p>
      <w:pPr>
        <w:ind w:right="460" w:firstLine="464"/>
        <w:spacing w:after="0" w:line="277" w:lineRule="auto"/>
        <w:tabs>
          <w:tab w:leader="none" w:pos="7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defeasance in accordance with Article 8 hereof or satisfaction and discharge of this Indenture in accordance with Article 12 hereof, each Guarantor will be released and relieved of any obligations under its Note Guarantee.</w:t>
      </w:r>
    </w:p>
    <w:p>
      <w:pPr>
        <w:spacing w:after="0" w:line="170"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guarantee the Notes pursuant to Section 4.20, each Guarantor will be released and relieved of any obligations under its Note Guarantee.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Any Guarantor not released from its obligations under its Note Guarantee as provided in this Section 11.06 will remain liable for the full amount of principal of and interest and premium, if any, and Additional Interest, if any, on the Notes and for the other obligations of any Guarantor under this Indenture as provided in this Article 11.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Satisfaction and Discharge.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333"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right="60" w:firstLine="421"/>
        <w:spacing w:after="0" w:line="264" w:lineRule="auto"/>
        <w:tabs>
          <w:tab w:leader="none" w:pos="158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3" w:lineRule="exact"/>
        <w:rPr>
          <w:rFonts w:ascii="Arial" w:cs="Arial" w:eastAsia="Arial" w:hAnsi="Arial"/>
          <w:sz w:val="18"/>
          <w:szCs w:val="18"/>
          <w:color w:val="auto"/>
        </w:rPr>
      </w:pPr>
    </w:p>
    <w:p>
      <w:pPr>
        <w:ind w:left="920" w:right="60" w:firstLine="421"/>
        <w:spacing w:after="0" w:line="273" w:lineRule="auto"/>
        <w:tabs>
          <w:tab w:leader="none" w:pos="159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delivery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Additional Interest, if any, and accrued interest to the date of maturity or redemption;</w:t>
      </w:r>
    </w:p>
    <w:p>
      <w:pPr>
        <w:spacing w:after="0" w:line="70" w:lineRule="exact"/>
        <w:rPr>
          <w:rFonts w:ascii="Arial" w:cs="Arial" w:eastAsia="Arial" w:hAnsi="Arial"/>
          <w:sz w:val="17"/>
          <w:szCs w:val="17"/>
          <w:color w:val="auto"/>
        </w:rPr>
      </w:pPr>
    </w:p>
    <w:p>
      <w:pPr>
        <w:jc w:val="both"/>
        <w:ind w:left="460" w:right="200" w:firstLine="443"/>
        <w:spacing w:after="0" w:line="312" w:lineRule="auto"/>
        <w:tabs>
          <w:tab w:leader="none" w:pos="115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material agreement or instrument to which the Company or any Guarantor is a party or by which the Company or any Guarantor is bound;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subclause (b) of clause (1) of this Section 12.01, the provisions of Sections 12.02 and 8.06 hereof will survive. In addition, nothing in this Section 12.01 will be deemed to discharge those provisions of Section 7.07 hereof, that, by their terms, survive the satisfaction and discharge of this Indenture.</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Application of Trust Money.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Additional Interest, if any) and interest for whose payment such money has been deposited with the Trustee; but such money need not be segregated from other funds except to the extent required by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0" w:right="239" w:bottom="1440" w:gutter="0" w:footer="0" w:header="0"/>
        </w:sectPr>
      </w:pPr>
    </w:p>
    <w:bookmarkStart w:id="92" w:name="page93"/>
    <w:bookmarkEnd w:id="92"/>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12.01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or Additional Interest,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i w:val="1"/>
          <w:iCs w:val="1"/>
          <w:color w:val="auto"/>
        </w:rPr>
        <w:t>Trust Indenture Act Controls.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§318(c), the imposed duties will control.</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i w:val="1"/>
          <w:iCs w:val="1"/>
          <w:color w:val="auto"/>
        </w:rPr>
        <w:t>Notices.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by first class mail (registered or certified, return receipt requested), facsimile transmission or overnight air courier guaranteeing next day delivery, to the others’ address: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and/or any Guarantor: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(423) 743-2670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James H. Dorton, Senior Vice President – Chief Financial Officer</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(423) 434-8389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Matthew S. Heiter, Senior Vice President and General Counsel</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Baker, Donelson, Bearman, Caldwell &amp; Berkowitz, PC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Tennessee Building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165 Madison Avenue, Suite 2000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Memphis, TN 38103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(901) 577-4234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Richard F. Mattern, Esq.</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 Commerce Street, Suite 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(615) 251-0737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Wally Jones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274" w:right="33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Waller Lansden Dortch &amp; Davis,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511 Union Street, Suite 2700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Nashville, TN 37219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(615) 244-6804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Beth Vessel</w:t>
      </w:r>
    </w:p>
    <w:p>
      <w:pPr>
        <w:spacing w:after="0" w:line="21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TIA § 313(c), to the extent required by the TIA. Failure to mail a notice or communication to a Holder or any defect in it will not affect its sufficiency with respect to other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 receives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Company, the Trustee, the Registrar and anyone else shall have the protection of TIA § 312(c).</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otherwise provided in this Section 13.04, upon any request or application by the Company to the Trustee to take any action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the Company shall furnish to the Trustee:</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 an Officer’s Certificate in form and substance reasonably satisfactory to the Trustee (which must include the statements set forth in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13.05 hereof) stating that, in the opinion of the signers, all conditions precedent and covenants, if any, provided for in this Indenture relating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proposed action have been satisfied; and</w:t>
      </w:r>
    </w:p>
    <w:p>
      <w:pPr>
        <w:spacing w:after="0" w:line="103" w:lineRule="exact"/>
        <w:rPr>
          <w:sz w:val="20"/>
          <w:szCs w:val="20"/>
          <w:color w:val="auto"/>
        </w:rPr>
      </w:pPr>
    </w:p>
    <w:p>
      <w:pPr>
        <w:ind w:left="460" w:right="860" w:firstLine="443"/>
        <w:spacing w:after="0" w:line="342" w:lineRule="auto"/>
        <w:tabs>
          <w:tab w:leader="none" w:pos="115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Notwithstanding any provision in this Indenture to the contrary, the Company shall not be required to furnish to the Trustee an Officer’s Certificate or Opinion of Counsel in connection with the issuance of the Initial Notes on the Issue Date or the issuance of the Exchange Notes in connection with the consummation of the Exchange Offer.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94" w:name="page95"/>
    <w:bookmarkEnd w:id="94"/>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an Officer’s Certificate provided pursuant to Section 4.04 hereof or a certificate provided pursuant to TIA § 314(a)(4)) must comply with the provisions of TIA § 314(e) and must include:</w:t>
      </w:r>
    </w:p>
    <w:p>
      <w:pPr>
        <w:spacing w:after="0" w:line="73"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which may include reliance on certifications or representations provided or made by others, to enable him or her to express an informed opinion as to whether or not such covenant or condition has been satisfied;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5"/>
          <w:szCs w:val="15"/>
          <w:i w:val="1"/>
          <w:iCs w:val="1"/>
          <w:color w:val="auto"/>
        </w:rPr>
        <w:t>Rules by Trustee and Agents.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i w:val="1"/>
          <w:iCs w:val="1"/>
          <w:color w:val="auto"/>
        </w:rPr>
        <w:t>No Personal Liability of Directors, Officers, Employees, Incorporators and Stockholders.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No past, present or future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3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6"/>
          <w:szCs w:val="16"/>
          <w:i w:val="1"/>
          <w:iCs w:val="1"/>
          <w:color w:val="auto"/>
        </w:rPr>
        <w:t>Governing Law.</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3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5"/>
          <w:szCs w:val="15"/>
          <w:i w:val="1"/>
          <w:iCs w:val="1"/>
          <w:color w:val="auto"/>
        </w:rPr>
        <w:t>Successors.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11.06 hereof.</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274" w:right="299" w:bottom="1440" w:gutter="0" w:footer="0" w:header="0"/>
        </w:sectPr>
      </w:pPr>
    </w:p>
    <w:bookmarkStart w:id="95" w:name="page96"/>
    <w:bookmarkEnd w:id="95"/>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13.11</w:t>
      </w:r>
      <w:r>
        <w:rPr>
          <w:sz w:val="20"/>
          <w:szCs w:val="20"/>
          <w:color w:val="auto"/>
        </w:rPr>
        <w:tab/>
      </w:r>
      <w:r>
        <w:rPr>
          <w:rFonts w:ascii="Arial" w:cs="Arial" w:eastAsia="Arial" w:hAnsi="Arial"/>
          <w:sz w:val="16"/>
          <w:szCs w:val="16"/>
          <w:i w:val="1"/>
          <w:iCs w:val="1"/>
          <w:color w:val="auto"/>
        </w:rPr>
        <w:t>Severability.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Counterpart Originals.</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3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6"/>
          <w:szCs w:val="16"/>
          <w:i w:val="1"/>
          <w:iCs w:val="1"/>
          <w:color w:val="auto"/>
        </w:rPr>
        <w:t>Table of Contents, Headings, etc.</w:t>
      </w:r>
    </w:p>
    <w:p>
      <w:pPr>
        <w:spacing w:after="0" w:line="117"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7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6"/>
          <w:szCs w:val="16"/>
          <w:i w:val="1"/>
          <w:iCs w:val="1"/>
          <w:color w:val="auto"/>
        </w:rPr>
        <w:t>Waiver of Jury Trial.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THE COMPANY, THE GUARANTORS AND THE TRUSTEE, AND BY ITS ACCEPTANCE THEREOF, EACH HOLDER OF A NOTE, HEREBY IRREVOCABLY WAIVES, TO THE FULLEST EXTENT PERMITTED BY APPLICABLE LAW, ANY AND ALL RIGHT TO TRIAL BY JURY IN ANY LEGAL PROCEEDING ARISING OUT OF OR RELATING TO THIS INDENTURE, THE NOTES, THE NOTE GUARANTEES OR THE TRANSACTIONS CONTEMPLATED HEREBY.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96" w:name="page97"/>
    <w:bookmarkEnd w:id="96"/>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19,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Richard D. Holder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INDUSTRIAL MOLDING CORPORATION</w:t>
      </w:r>
      <w:r>
        <w:rPr>
          <w:rFonts w:ascii="Arial" w:cs="Arial" w:eastAsia="Arial" w:hAnsi="Arial"/>
          <w:sz w:val="18"/>
          <w:szCs w:val="18"/>
          <w:color w:val="auto"/>
        </w:rPr>
        <w:t>, as a</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WHIRLAWAY CORPORATION</w:t>
      </w:r>
      <w:r>
        <w:rPr>
          <w:rFonts w:ascii="Arial" w:cs="Arial" w:eastAsia="Arial" w:hAnsi="Arial"/>
          <w:sz w:val="18"/>
          <w:szCs w:val="18"/>
          <w:color w:val="auto"/>
        </w:rPr>
        <w:t>, as a Guarantor</w:t>
      </w:r>
    </w:p>
    <w:p>
      <w:pPr>
        <w:spacing w:after="0" w:line="22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PNC ACQUISITION COMPANY, INC.</w:t>
      </w:r>
      <w:r>
        <w:rPr>
          <w:rFonts w:ascii="Arial" w:cs="Arial" w:eastAsia="Arial" w:hAnsi="Arial"/>
          <w:sz w:val="17"/>
          <w:szCs w:val="17"/>
          <w:color w:val="auto"/>
        </w:rPr>
        <w:t>, as a Guarantor</w:t>
      </w:r>
    </w:p>
    <w:p>
      <w:pPr>
        <w:spacing w:after="0" w:line="24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PMC ACQUISITION COMPANY, INC.</w:t>
      </w:r>
      <w:r>
        <w:rPr>
          <w:rFonts w:ascii="Arial" w:cs="Arial" w:eastAsia="Arial" w:hAnsi="Arial"/>
          <w:sz w:val="17"/>
          <w:szCs w:val="17"/>
          <w:color w:val="auto"/>
        </w:rPr>
        <w:t>, as a Guarantor</w:t>
      </w:r>
    </w:p>
    <w:p>
      <w:pPr>
        <w:spacing w:after="0" w:line="24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240" w:top="274" w:right="559" w:bottom="1440" w:gutter="0" w:footer="0" w:header="0"/>
        </w:sectPr>
      </w:pPr>
    </w:p>
    <w:bookmarkStart w:id="97" w:name="page98"/>
    <w:bookmarkEnd w:id="9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PMC USA ACQUISITION COMPANY, INC.</w:t>
      </w:r>
      <w:r>
        <w:rPr>
          <w:rFonts w:ascii="Arial" w:cs="Arial" w:eastAsia="Arial" w:hAnsi="Arial"/>
          <w:sz w:val="18"/>
          <w:szCs w:val="18"/>
          <w:color w:val="auto"/>
        </w:rPr>
        <w:t>, 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 DELTA RUBBER COMPANY</w:t>
      </w:r>
      <w:r>
        <w:rPr>
          <w:rFonts w:ascii="Arial" w:cs="Arial" w:eastAsia="Arial" w:hAnsi="Arial"/>
          <w:sz w:val="18"/>
          <w:szCs w:val="18"/>
          <w:color w:val="auto"/>
        </w:rPr>
        <w:t>, 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CAPROCK MANUFACTURING, INC.</w:t>
      </w:r>
      <w:r>
        <w:rPr>
          <w:rFonts w:ascii="Arial" w:cs="Arial" w:eastAsia="Arial" w:hAnsi="Arial"/>
          <w:sz w:val="17"/>
          <w:szCs w:val="17"/>
          <w:color w:val="auto"/>
        </w:rPr>
        <w:t>, as a Guarantor</w:t>
      </w:r>
    </w:p>
    <w:p>
      <w:pPr>
        <w:spacing w:after="0" w:line="24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CAPROCK ENCLOSURES, LLC</w:t>
      </w:r>
      <w:r>
        <w:rPr>
          <w:rFonts w:ascii="Arial" w:cs="Arial" w:eastAsia="Arial" w:hAnsi="Arial"/>
          <w:sz w:val="18"/>
          <w:szCs w:val="18"/>
          <w:color w:val="auto"/>
        </w:rPr>
        <w:t>, 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NN PRECISION PLASTICS, INC.</w:t>
      </w:r>
      <w:r>
        <w:rPr>
          <w:rFonts w:ascii="Arial" w:cs="Arial" w:eastAsia="Arial" w:hAnsi="Arial"/>
          <w:sz w:val="18"/>
          <w:szCs w:val="18"/>
          <w:color w:val="auto"/>
        </w:rPr>
        <w:t>, 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AUTOCAM CORPORATION</w:t>
      </w:r>
      <w:r>
        <w:rPr>
          <w:rFonts w:ascii="Arial" w:cs="Arial" w:eastAsia="Arial" w:hAnsi="Arial"/>
          <w:sz w:val="18"/>
          <w:szCs w:val="18"/>
          <w:color w:val="auto"/>
        </w:rPr>
        <w:t>, 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860"/>
          </w:cols>
          <w:pgMar w:left="1440" w:top="270" w:right="599" w:bottom="1440" w:gutter="0" w:footer="0" w:header="0"/>
        </w:sectPr>
      </w:pPr>
    </w:p>
    <w:bookmarkStart w:id="98" w:name="page99"/>
    <w:bookmarkEnd w:id="9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AUTOCAM-PAX, INC.</w:t>
      </w:r>
      <w:r>
        <w:rPr>
          <w:rFonts w:ascii="Arial" w:cs="Arial" w:eastAsia="Arial" w:hAnsi="Arial"/>
          <w:sz w:val="18"/>
          <w:szCs w:val="18"/>
          <w:color w:val="auto"/>
        </w:rPr>
        <w:t>, as the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 xml:space="preserve">U.S. BANK NATIONAL ASSOCIATION, </w:t>
      </w:r>
      <w:r>
        <w:rPr>
          <w:rFonts w:ascii="Arial" w:cs="Arial" w:eastAsia="Arial" w:hAnsi="Arial"/>
          <w:sz w:val="17"/>
          <w:szCs w:val="17"/>
          <w:color w:val="auto"/>
        </w:rPr>
        <w:t>as Trustee</w:t>
      </w:r>
    </w:p>
    <w:p>
      <w:pPr>
        <w:spacing w:after="0" w:line="24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Connie Jaco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Connie Jaco</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9660"/>
          </w:cols>
          <w:pgMar w:left="1440" w:top="270" w:right="799" w:bottom="1440" w:gutter="0" w:footer="0" w:header="0"/>
        </w:sectPr>
      </w:pPr>
    </w:p>
    <w:bookmarkStart w:id="99" w:name="page100"/>
    <w:bookmarkEnd w:id="99"/>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CUSIP/CINS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10.25% Senior Notes due 2020</w:t>
      </w:r>
    </w:p>
    <w:p>
      <w:pPr>
        <w:sectPr>
          <w:pgSz w:w="11900" w:h="16838" w:orient="portrait"/>
          <w:cols w:equalWidth="0" w:num="1">
            <w:col w:w="11420"/>
          </w:cols>
          <w:pgMar w:left="240" w:top="270"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9980" w:space="720"/>
            <w:col w:w="720"/>
          </w:cols>
          <w:pgMar w:left="240" w:top="270" w:right="23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NN, INC.</w:t>
      </w:r>
    </w:p>
    <w:p>
      <w:pPr>
        <w:sectPr>
          <w:pgSz w:w="11900" w:h="16838" w:orient="portrait"/>
          <w:cols w:equalWidth="0" w:num="1">
            <w:col w:w="11420"/>
          </w:cols>
          <w:pgMar w:left="240" w:top="270"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211" w:lineRule="exact"/>
        <w:rPr>
          <w:sz w:val="20"/>
          <w:szCs w:val="20"/>
          <w:color w:val="auto"/>
        </w:rPr>
      </w:pPr>
    </w:p>
    <w:p>
      <w:pPr>
        <w:sectPr>
          <w:pgSz w:w="11900" w:h="16838" w:orient="portrait"/>
          <w:cols w:equalWidth="0" w:num="2">
            <w:col w:w="2420" w:space="720"/>
            <w:col w:w="8280"/>
          </w:cols>
          <w:pgMar w:left="240" w:top="270" w:right="239" w:bottom="1440" w:gutter="0" w:footer="0" w:header="0"/>
          <w:type w:val="continuous"/>
        </w:sectPr>
      </w:pPr>
    </w:p>
    <w:p>
      <w:pPr>
        <w:spacing w:after="0" w:line="48"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the principal sum of November 1, 2020.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DOLLARS, or such other principal sum as shall be set forth in the Schedule of Exchanges of Interests attached hereto, on</w:t>
      </w:r>
    </w:p>
    <w:p>
      <w:pPr>
        <w:spacing w:after="0" w:line="464" w:lineRule="exact"/>
        <w:rPr>
          <w:sz w:val="20"/>
          <w:szCs w:val="20"/>
          <w:color w:val="auto"/>
        </w:rPr>
      </w:pPr>
    </w:p>
    <w:p>
      <w:pPr>
        <w:sectPr>
          <w:pgSz w:w="11900" w:h="16838" w:orient="portrait"/>
          <w:cols w:equalWidth="0" w:num="2">
            <w:col w:w="1680" w:space="720"/>
            <w:col w:w="902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Interest Payment Dates: May 1 and November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April 15 and October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19,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-19050</wp:posOffset>
            </wp:positionV>
            <wp:extent cx="24612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Authorized Signatory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type w:val="continuous"/>
        </w:sectPr>
      </w:pPr>
    </w:p>
    <w:bookmarkStart w:id="100" w:name="page101"/>
    <w:bookmarkEnd w:id="10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10.25% Senior Notes due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40" w:firstLine="464"/>
        <w:spacing w:after="0" w:line="287" w:lineRule="auto"/>
        <w:tabs>
          <w:tab w:leader="none" w:pos="711"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3"/>
          <w:szCs w:val="13"/>
          <w:i w:val="1"/>
          <w:iCs w:val="1"/>
          <w:color w:val="auto"/>
        </w:rPr>
        <w:t>NTEREST</w:t>
      </w:r>
      <w:r>
        <w:rPr>
          <w:rFonts w:ascii="Arial" w:cs="Arial" w:eastAsia="Arial" w:hAnsi="Arial"/>
          <w:sz w:val="16"/>
          <w:szCs w:val="16"/>
          <w:color w:val="auto"/>
        </w:rPr>
        <w:t>. NN,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interest on the principal amount of this Note at 10.25% per annum</w:t>
      </w:r>
      <w:r>
        <w:rPr>
          <w:rFonts w:ascii="Arial" w:cs="Arial" w:eastAsia="Arial" w:hAnsi="Arial"/>
          <w:sz w:val="16"/>
          <w:szCs w:val="16"/>
          <w:i w:val="1"/>
          <w:iCs w:val="1"/>
          <w:color w:val="auto"/>
        </w:rPr>
        <w:t xml:space="preserve"> </w:t>
      </w:r>
      <w:r>
        <w:rPr>
          <w:rFonts w:ascii="Arial" w:cs="Arial" w:eastAsia="Arial" w:hAnsi="Arial"/>
          <w:sz w:val="16"/>
          <w:szCs w:val="16"/>
          <w:color w:val="auto"/>
        </w:rPr>
        <w:t>from October 19, 2015, until maturity and shall pay the Additional Interest, if any, payable pursuant to Section 4 of the Registration Rights Agreement referred to below. The Company will pay interest and Additional Interest, if any, semi-annually in arrears on May 1 and November 1 of each year, or if any such day is not a Business Day, on the next succeeding Business Day (each, an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May 1, 2016. The Company will pay interest (including post-petition interest in any proceeding under any Bankruptcy Law) on overdue principal and premium, if any, from time to time on demand at a rate that is equal to the rate then in effect to the extent lawful; The Company will pay interest (including post-petition interest in any proceeding under any Bankruptcy Law) on overdue installments of interest and Additional Interest, if any, (without regard to any applicable grace periods) from time to time on demand at the same rate to the extent lawful. Interest will be computed on the basis of a 360-day year of twelve 30-day months.</w:t>
      </w:r>
    </w:p>
    <w:p>
      <w:pPr>
        <w:spacing w:after="0" w:line="172" w:lineRule="exact"/>
        <w:rPr>
          <w:rFonts w:ascii="Arial" w:cs="Arial" w:eastAsia="Arial" w:hAnsi="Arial"/>
          <w:sz w:val="16"/>
          <w:szCs w:val="16"/>
          <w:color w:val="auto"/>
        </w:rPr>
      </w:pPr>
    </w:p>
    <w:p>
      <w:pPr>
        <w:ind w:right="20" w:firstLine="464"/>
        <w:spacing w:after="0" w:line="289" w:lineRule="auto"/>
        <w:tabs>
          <w:tab w:leader="none" w:pos="711"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3"/>
          <w:szCs w:val="13"/>
          <w:i w:val="1"/>
          <w:iCs w:val="1"/>
          <w:color w:val="auto"/>
        </w:rPr>
        <w:t>AYMENT</w:t>
      </w:r>
      <w:r>
        <w:rPr>
          <w:rFonts w:ascii="Arial" w:cs="Arial" w:eastAsia="Arial" w:hAnsi="Arial"/>
          <w:sz w:val="16"/>
          <w:szCs w:val="16"/>
          <w:color w:val="auto"/>
        </w:rPr>
        <w:t>. The Company will pay interest on the Notes (except defaulted interest) and Additional Interest, if any, to the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registered Holders of Notes at the close of business on the April 15 or October 15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Additional Interest, if any, and interest at the office or agency of the Company maintained for such purpose within or without the City and State of New York, or, at the option of the Company, payment of interest and Additional Interest, if any, may be made by check mailed to the Holders at their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premium, if any and Additional Interest,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66" w:lineRule="exact"/>
        <w:rPr>
          <w:rFonts w:ascii="Arial" w:cs="Arial" w:eastAsia="Arial" w:hAnsi="Arial"/>
          <w:sz w:val="16"/>
          <w:szCs w:val="16"/>
          <w:color w:val="auto"/>
        </w:rPr>
      </w:pPr>
    </w:p>
    <w:p>
      <w:pPr>
        <w:ind w:right="20" w:firstLine="464"/>
        <w:spacing w:after="0" w:line="342" w:lineRule="auto"/>
        <w:tabs>
          <w:tab w:leader="none" w:pos="711"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P</w:t>
      </w:r>
      <w:r>
        <w:rPr>
          <w:rFonts w:ascii="Arial" w:cs="Arial" w:eastAsia="Arial" w:hAnsi="Arial"/>
          <w:sz w:val="13"/>
          <w:szCs w:val="13"/>
          <w:i w:val="1"/>
          <w:iCs w:val="1"/>
          <w:color w:val="auto"/>
        </w:rPr>
        <w:t>AYING</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GENT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EGISTRAR</w:t>
      </w:r>
      <w:r>
        <w:rPr>
          <w:rFonts w:ascii="Arial" w:cs="Arial" w:eastAsia="Arial" w:hAnsi="Arial"/>
          <w:sz w:val="16"/>
          <w:szCs w:val="16"/>
          <w:color w:val="auto"/>
        </w:rPr>
        <w:t>. Initially, U.S. Bank National Association, the Trustee under the Indenture, will act as Paying Agent and Registrar.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may change any Paying Agent or Registrar without notice to any Holder. The Company or any of its Subsidiaries may act in any such capacity.</w:t>
      </w:r>
    </w:p>
    <w:p>
      <w:pPr>
        <w:spacing w:after="0" w:line="123" w:lineRule="exact"/>
        <w:rPr>
          <w:rFonts w:ascii="Arial" w:cs="Arial" w:eastAsia="Arial" w:hAnsi="Arial"/>
          <w:sz w:val="16"/>
          <w:szCs w:val="16"/>
          <w:color w:val="auto"/>
        </w:rPr>
      </w:pPr>
    </w:p>
    <w:p>
      <w:pPr>
        <w:ind w:firstLine="464"/>
        <w:spacing w:after="0" w:line="297" w:lineRule="auto"/>
        <w:tabs>
          <w:tab w:leader="none" w:pos="711"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3"/>
          <w:szCs w:val="13"/>
          <w:i w:val="1"/>
          <w:iCs w:val="1"/>
          <w:color w:val="auto"/>
        </w:rPr>
        <w:t>NDENTURE</w:t>
      </w:r>
      <w:r>
        <w:rPr>
          <w:rFonts w:ascii="Arial" w:cs="Arial" w:eastAsia="Arial" w:hAnsi="Arial"/>
          <w:sz w:val="16"/>
          <w:szCs w:val="16"/>
          <w:color w:val="auto"/>
        </w:rPr>
        <w:t>. The Company issued the Notes under an Indenture dated as of October 19, 2015 (the “</w:t>
      </w:r>
      <w:r>
        <w:rPr>
          <w:rFonts w:ascii="Arial" w:cs="Arial" w:eastAsia="Arial" w:hAnsi="Arial"/>
          <w:sz w:val="16"/>
          <w:szCs w:val="16"/>
          <w:i w:val="1"/>
          <w:iCs w:val="1"/>
          <w:color w:val="auto"/>
        </w:rPr>
        <w:t>Indenture</w:t>
      </w:r>
      <w:r>
        <w:rPr>
          <w:rFonts w:ascii="Arial" w:cs="Arial" w:eastAsia="Arial" w:hAnsi="Arial"/>
          <w:sz w:val="16"/>
          <w:szCs w:val="16"/>
          <w:color w:val="auto"/>
        </w:rPr>
        <w:t>”) among the Company, the Guarantors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Trustee. The terms of the Notes include those stated in the Indenture and those made part of the Indenture by reference to the Trust Indenture Act of 1939, as amended (the “</w:t>
      </w:r>
      <w:r>
        <w:rPr>
          <w:rFonts w:ascii="Arial" w:cs="Arial" w:eastAsia="Arial" w:hAnsi="Arial"/>
          <w:sz w:val="16"/>
          <w:szCs w:val="16"/>
          <w:i w:val="1"/>
          <w:iCs w:val="1"/>
          <w:color w:val="auto"/>
        </w:rPr>
        <w:t>TIA</w:t>
      </w:r>
      <w:r>
        <w:rPr>
          <w:rFonts w:ascii="Arial" w:cs="Arial" w:eastAsia="Arial" w:hAnsi="Arial"/>
          <w:sz w:val="16"/>
          <w:szCs w:val="16"/>
          <w:color w:val="auto"/>
        </w:rPr>
        <w:t>”).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266" w:lineRule="exact"/>
        <w:rPr>
          <w:rFonts w:ascii="Arial" w:cs="Arial" w:eastAsia="Arial" w:hAnsi="Arial"/>
          <w:sz w:val="16"/>
          <w:szCs w:val="16"/>
          <w:color w:val="auto"/>
        </w:rPr>
      </w:pPr>
    </w:p>
    <w:p>
      <w:pPr>
        <w:ind w:left="720" w:hanging="256"/>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O</w:t>
      </w:r>
      <w:r>
        <w:rPr>
          <w:rFonts w:ascii="Arial" w:cs="Arial" w:eastAsia="Arial" w:hAnsi="Arial"/>
          <w:sz w:val="15"/>
          <w:szCs w:val="15"/>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EDEMPTION</w:t>
      </w:r>
      <w:r>
        <w:rPr>
          <w:rFonts w:ascii="Arial" w:cs="Arial" w:eastAsia="Arial" w:hAnsi="Arial"/>
          <w:sz w:val="18"/>
          <w:szCs w:val="18"/>
          <w:i w:val="1"/>
          <w:iCs w:val="1"/>
          <w:color w:val="auto"/>
        </w:rPr>
        <w:t>.</w:t>
      </w:r>
    </w:p>
    <w:p>
      <w:pPr>
        <w:spacing w:after="0" w:line="117" w:lineRule="exact"/>
        <w:rPr>
          <w:sz w:val="20"/>
          <w:szCs w:val="20"/>
          <w:color w:val="auto"/>
        </w:rPr>
      </w:pPr>
    </w:p>
    <w:p>
      <w:pPr>
        <w:ind w:firstLine="464"/>
        <w:spacing w:after="0" w:line="277" w:lineRule="auto"/>
        <w:tabs>
          <w:tab w:leader="none" w:pos="7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as set forth in subparagraphs (b) and (c) of this Paragraph 5, the Company will not have the option to redeem the Notes prior to November 1, 2017. On or after November 1, 2017, the Company on any one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101" w:name="page102"/>
    <w:bookmarkEnd w:id="1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occasions may redeem all or a part of the Notes upon not less than 30 nor more than 60 days’ notice, at the redemption prices (expressed as percentages of principal amount) set forth below plus accrued and unpaid interest and Additional Interest, if any, on the Notes redeemed to the applicable Redemption Date, if redeemed during the twelve-month period beginning on November 1 of the years indicated below, subject to the rights of Holders on the relevant record date to receive interest on the relevant interest payment date:</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107.688%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103.844%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70" w:lineRule="exact"/>
        <w:rPr>
          <w:sz w:val="20"/>
          <w:szCs w:val="20"/>
          <w:color w:val="auto"/>
        </w:rPr>
      </w:pPr>
    </w:p>
    <w:p>
      <w:pPr>
        <w:ind w:right="40" w:firstLine="464"/>
        <w:spacing w:after="0" w:line="272" w:lineRule="auto"/>
        <w:tabs>
          <w:tab w:leader="none" w:pos="71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subparagraph (a) of this Paragraph 5, at any time on or prior to November 1, 2017 the Company on any one or more occasions may redeem up to 35% of the aggregate principal amount of Notes issued under the Indenture (including any Additional Notes issued after the Issue Date) at a redemption price equal to 110.250% of the principal amount thereof, plus accrued and unpaid interest and Additional Interest, if any, to the Redemption Date, with the net cash proceeds of one or more sales of common Equity Interests (other than Disqualified Stock)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least 65% in aggregate principal amount of the Notes issued under the Indenture (including any Additional Notes issued after the Issue Date but excluding Notes held by the Company and its Subsidiaries) remains outstanding immediately after the occurrence of such redemption and that such redemption occurs within 90 days of the date of the closing of such sale of Equity Interests.</w:t>
      </w:r>
    </w:p>
    <w:p>
      <w:pPr>
        <w:spacing w:after="0" w:line="177" w:lineRule="exact"/>
        <w:rPr>
          <w:rFonts w:ascii="Arial" w:cs="Arial" w:eastAsia="Arial" w:hAnsi="Arial"/>
          <w:sz w:val="17"/>
          <w:szCs w:val="17"/>
          <w:color w:val="auto"/>
        </w:rPr>
      </w:pPr>
    </w:p>
    <w:p>
      <w:pPr>
        <w:jc w:val="both"/>
        <w:ind w:right="20" w:firstLine="464"/>
        <w:spacing w:after="0" w:line="312" w:lineRule="auto"/>
        <w:tabs>
          <w:tab w:leader="none" w:pos="7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Notwithstanding the provisions of subparagraph (a) of this Paragraph 5, at any time prior to November 1, 2017 the Company on any one or more occasions may redeem all or a part of the Notes, upon not less than 30 nor more than 60 days’ notice, at a redemption price equal to 100% of the principal amount of the Notes redeemed plus the Applicable Premium as of, and accrued and unpaid interest and Additional Interest, if any, to, the date of redemption.</w:t>
      </w:r>
    </w:p>
    <w:p>
      <w:pPr>
        <w:spacing w:after="0" w:line="38" w:lineRule="exact"/>
        <w:rPr>
          <w:rFonts w:ascii="Arial" w:cs="Arial" w:eastAsia="Arial" w:hAnsi="Arial"/>
          <w:sz w:val="16"/>
          <w:szCs w:val="16"/>
          <w:color w:val="auto"/>
        </w:rPr>
      </w:pPr>
    </w:p>
    <w:p>
      <w:pPr>
        <w:ind w:left="460" w:right="140" w:firstLine="443"/>
        <w:spacing w:after="0" w:line="302" w:lineRule="auto"/>
        <w:tabs>
          <w:tab w:leader="none" w:pos="1153"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Applicable Premium means, with respect to a Note at any date of redemption, the greater of (i) 1.0% of the outstanding principal amount of such Note and (ii) the excess of (A) the present value at such time of (1) the redemption price of such Note at November 1, 2017 (as set forth in the table in subparagraph (a) of this Paragraph 5) plus (2) all required interest payments due on such Note through November 1, 2017 computed, in both cases, using a discount rate equal to the Treasury Rate plus 50 basis points, over (B) the outstanding principal amount of such Note.</w:t>
      </w:r>
    </w:p>
    <w:p>
      <w:pPr>
        <w:spacing w:after="0" w:line="46" w:lineRule="exact"/>
        <w:rPr>
          <w:rFonts w:ascii="Arial" w:cs="Arial" w:eastAsia="Arial" w:hAnsi="Arial"/>
          <w:sz w:val="16"/>
          <w:szCs w:val="16"/>
          <w:color w:val="auto"/>
        </w:rPr>
      </w:pPr>
    </w:p>
    <w:p>
      <w:pPr>
        <w:ind w:left="460" w:firstLine="443"/>
        <w:spacing w:after="0" w:line="290" w:lineRule="auto"/>
        <w:tabs>
          <w:tab w:leader="none" w:pos="1153"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Treasury Rate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date of redemption (or, if such Statistical Release is no longer published, any publicly available source of similar market data)) most nearly equal to the period from the date of redemption to November 1, 2017;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period from the date of redemption to November 1, 2017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date of redemption to November 1, 2017 is less than one year, the weekly average yield on actually traded United States Treasury securities adjusted to a constant maturity of one year shall be used.</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Indenture does not prohibit the Company and its Subsidiaries from purchasing Notes in the open market or otherwise at any time or from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211" w:lineRule="exact"/>
        <w:rPr>
          <w:sz w:val="20"/>
          <w:szCs w:val="20"/>
          <w:color w:val="auto"/>
        </w:rPr>
      </w:pPr>
    </w:p>
    <w:p>
      <w:pPr>
        <w:ind w:left="720" w:hanging="256"/>
        <w:spacing w:after="0"/>
        <w:tabs>
          <w:tab w:leader="none" w:pos="72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4"/>
          <w:szCs w:val="14"/>
          <w:i w:val="1"/>
          <w:iCs w:val="1"/>
          <w:color w:val="auto"/>
        </w:rPr>
        <w:t>ANDATORY</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7"/>
          <w:szCs w:val="17"/>
          <w:color w:val="auto"/>
        </w:rPr>
        <w:t>. The Company is not required to make mandatory redemption or sinking fund payments with respect to the Notes.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A-3</w:t>
      </w:r>
    </w:p>
    <w:p>
      <w:pPr>
        <w:sectPr>
          <w:pgSz w:w="11900" w:h="16838" w:orient="portrait"/>
          <w:cols w:equalWidth="0" w:num="1">
            <w:col w:w="11340"/>
          </w:cols>
          <w:pgMar w:left="240" w:top="274" w:right="319" w:bottom="1440" w:gutter="0" w:footer="0" w:header="0"/>
        </w:sectPr>
      </w:pPr>
    </w:p>
    <w:bookmarkStart w:id="102" w:name="page103"/>
    <w:bookmarkEnd w:id="102"/>
    <w:p>
      <w:pPr>
        <w:ind w:left="700" w:hanging="25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5"/>
          <w:szCs w:val="15"/>
          <w:i w:val="1"/>
          <w:iCs w:val="1"/>
          <w:color w:val="auto"/>
        </w:rPr>
        <w:t>OLDER</w:t>
      </w:r>
      <w:r>
        <w:rPr>
          <w:rFonts w:ascii="Arial" w:cs="Arial" w:eastAsia="Arial" w:hAnsi="Arial"/>
          <w:sz w:val="18"/>
          <w:szCs w:val="18"/>
          <w:i w:val="1"/>
          <w:iCs w:val="1"/>
          <w:color w:val="auto"/>
        </w:rPr>
        <w:t>.</w:t>
      </w:r>
    </w:p>
    <w:p>
      <w:pPr>
        <w:spacing w:after="0" w:line="117" w:lineRule="exact"/>
        <w:rPr>
          <w:sz w:val="20"/>
          <w:szCs w:val="20"/>
          <w:color w:val="auto"/>
        </w:rPr>
      </w:pPr>
    </w:p>
    <w:p>
      <w:pPr>
        <w:ind w:left="-20" w:right="120" w:firstLine="464"/>
        <w:spacing w:after="0" w:line="255" w:lineRule="auto"/>
        <w:tabs>
          <w:tab w:leader="none" w:pos="68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there is a Change of Control, the Company will be required to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to repurchase all or any part (equal to $2,000 or integral multiples of $1,000 in excess thereof) of each Holder’s Notes at a purchase price in cash equal to 101% of the aggregate principal amount thereof plus accrued and unpaid interest and Additional Interest, if any, thereon to the date of purchase, subject to the rights of Holders on the relevant record date to receive interest due on the relevant interest payment date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the Notes of any Holder must be equal to $2,000 in principal amount or integral multiples of $1,000 in excess thereof. Within 30 days following any Change of Control, the Company will deliver a notice to each Holder setting forth the procedures governing the Change of Control Offer as required by the Indenture.</w:t>
      </w:r>
    </w:p>
    <w:p>
      <w:pPr>
        <w:spacing w:after="0" w:line="189"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If the Company or a Restricted Subsidiary of the Company consummates any Asset Sales, on which the aggregate amount of Excess Proceeds exceeds $40.0 million (or such lesser amount that the Company determines), the Company will commence an offer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the Indenture with respect to offers to purchase or redeem with the proceeds of sales of assets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pursuant to Section 3.09 of the Indenture to purchase the maximum principal amount of Notes (including any Additional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at an offer price in cash in an amount equal to 100% of the principal amount thereof plus accrued and unpaid interest and Additional Interest, if any, thereon to the date of purchase, in accordance with the procedures set forth in the Indenture. To the extent that the aggregate amount of Notes (including any Additional Notes) and other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Indebtedness tendered pursuant to an Asset Sale Offer is less than the Excess Proceeds, the Company (or such Restricted Subsidiary) may use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deficiency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shall select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subject to The Depository Trust Company’s procedures applicable to global notes. Holders of Notes that are the subject of an offer to purchase will receive an Asset Sale Offer from the Company prior to any related purchase date and may elect to have such Notes purchased by completing the form entitled “</w:t>
      </w:r>
      <w:r>
        <w:rPr>
          <w:rFonts w:ascii="Arial" w:cs="Arial" w:eastAsia="Arial" w:hAnsi="Arial"/>
          <w:sz w:val="16"/>
          <w:szCs w:val="16"/>
          <w:i w:val="1"/>
          <w:iCs w:val="1"/>
          <w:color w:val="auto"/>
        </w:rPr>
        <w:t>Option of Holder to Elect Purchase</w:t>
      </w:r>
      <w:r>
        <w:rPr>
          <w:rFonts w:ascii="Arial" w:cs="Arial" w:eastAsia="Arial" w:hAnsi="Arial"/>
          <w:sz w:val="16"/>
          <w:szCs w:val="16"/>
          <w:color w:val="auto"/>
        </w:rPr>
        <w:t>” attached to the Notes.</w:t>
      </w:r>
    </w:p>
    <w:p>
      <w:pPr>
        <w:spacing w:after="0" w:line="175" w:lineRule="exact"/>
        <w:rPr>
          <w:sz w:val="20"/>
          <w:szCs w:val="20"/>
          <w:color w:val="auto"/>
        </w:rPr>
      </w:pPr>
    </w:p>
    <w:p>
      <w:pPr>
        <w:ind w:left="-20" w:right="120" w:firstLine="464"/>
        <w:spacing w:after="0" w:line="255" w:lineRule="auto"/>
        <w:tabs>
          <w:tab w:leader="none" w:pos="691"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5"/>
          <w:szCs w:val="15"/>
          <w:i w:val="1"/>
          <w:iCs w:val="1"/>
          <w:color w:val="auto"/>
        </w:rPr>
        <w:t>OTICE OF</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EDEMPTION</w:t>
      </w:r>
      <w:r>
        <w:rPr>
          <w:rFonts w:ascii="Arial" w:cs="Arial" w:eastAsia="Arial" w:hAnsi="Arial"/>
          <w:sz w:val="18"/>
          <w:szCs w:val="18"/>
          <w:color w:val="auto"/>
        </w:rPr>
        <w:t>. Notice of redemption will be delivered at least 30 days but not more than 60 days before the Redemption Date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whose Notes are to be redeemed at its registered address or otherwise delivered in accordance with the procedures of the Depository Trust Company, except that redemption notices may be mailed more than 60 days prior to a Redemption Date if the notice is issued in connection with a defeasance of the Notes or a satisfaction or discharge of the Indenture. No Notes of $2,000 or less can be redeemed in part, and the unredeemed portion of the Notes of any Holder must be equal to $2,000 in principal amount or integral multiples of $1,000 in excess thereof, unless the entire outstanding amount of all of the Notes held by a Holder is to be redeemed.</w:t>
      </w:r>
    </w:p>
    <w:p>
      <w:pPr>
        <w:spacing w:after="0" w:line="193" w:lineRule="exact"/>
        <w:rPr>
          <w:rFonts w:ascii="Arial" w:cs="Arial" w:eastAsia="Arial" w:hAnsi="Arial"/>
          <w:sz w:val="18"/>
          <w:szCs w:val="18"/>
          <w:color w:val="auto"/>
        </w:rPr>
      </w:pPr>
    </w:p>
    <w:p>
      <w:pPr>
        <w:ind w:left="-20" w:right="40" w:firstLine="464"/>
        <w:spacing w:after="0" w:line="255" w:lineRule="auto"/>
        <w:tabs>
          <w:tab w:leader="none" w:pos="691"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D</w:t>
      </w:r>
      <w:r>
        <w:rPr>
          <w:rFonts w:ascii="Arial" w:cs="Arial" w:eastAsia="Arial" w:hAnsi="Arial"/>
          <w:sz w:val="15"/>
          <w:szCs w:val="15"/>
          <w:i w:val="1"/>
          <w:iCs w:val="1"/>
          <w:color w:val="auto"/>
        </w:rPr>
        <w:t>ENOMINATIONS</w:t>
      </w:r>
      <w:r>
        <w:rPr>
          <w:rFonts w:ascii="Arial" w:cs="Arial" w:eastAsia="Arial" w:hAnsi="Arial"/>
          <w:sz w:val="18"/>
          <w:szCs w:val="18"/>
          <w:color w:val="auto"/>
        </w:rPr>
        <w:t>,</w:t>
      </w:r>
      <w:r>
        <w:rPr>
          <w:rFonts w:ascii="Arial" w:cs="Arial" w:eastAsia="Arial" w:hAnsi="Arial"/>
          <w:sz w:val="18"/>
          <w:szCs w:val="18"/>
          <w:i w:val="1"/>
          <w:iCs w:val="1"/>
          <w:color w:val="auto"/>
        </w:rPr>
        <w:t xml:space="preserve"> T</w:t>
      </w:r>
      <w:r>
        <w:rPr>
          <w:rFonts w:ascii="Arial" w:cs="Arial" w:eastAsia="Arial" w:hAnsi="Arial"/>
          <w:sz w:val="15"/>
          <w:szCs w:val="15"/>
          <w:i w:val="1"/>
          <w:iCs w:val="1"/>
          <w:color w:val="auto"/>
        </w:rPr>
        <w:t>RANSFER</w:t>
      </w:r>
      <w:r>
        <w:rPr>
          <w:rFonts w:ascii="Arial" w:cs="Arial" w:eastAsia="Arial" w:hAnsi="Arial"/>
          <w:sz w:val="18"/>
          <w:szCs w:val="18"/>
          <w:color w:val="auto"/>
        </w:rPr>
        <w:t>,</w:t>
      </w:r>
      <w:r>
        <w:rPr>
          <w:rFonts w:ascii="Arial" w:cs="Arial" w:eastAsia="Arial" w:hAnsi="Arial"/>
          <w:sz w:val="18"/>
          <w:szCs w:val="18"/>
          <w:i w:val="1"/>
          <w:iCs w:val="1"/>
          <w:color w:val="auto"/>
        </w:rPr>
        <w:t xml:space="preserve"> E</w:t>
      </w:r>
      <w:r>
        <w:rPr>
          <w:rFonts w:ascii="Arial" w:cs="Arial" w:eastAsia="Arial" w:hAnsi="Arial"/>
          <w:sz w:val="15"/>
          <w:szCs w:val="15"/>
          <w:i w:val="1"/>
          <w:iCs w:val="1"/>
          <w:color w:val="auto"/>
        </w:rPr>
        <w:t>XCHANGE</w:t>
      </w:r>
      <w:r>
        <w:rPr>
          <w:rFonts w:ascii="Arial" w:cs="Arial" w:eastAsia="Arial" w:hAnsi="Arial"/>
          <w:sz w:val="18"/>
          <w:szCs w:val="18"/>
          <w:color w:val="auto"/>
        </w:rPr>
        <w:t>. The Notes are in registered form without coupons in denominations of $2,000 and integral multiples of</w:t>
      </w:r>
      <w:r>
        <w:rPr>
          <w:rFonts w:ascii="Arial" w:cs="Arial" w:eastAsia="Arial" w:hAnsi="Arial"/>
          <w:sz w:val="18"/>
          <w:szCs w:val="18"/>
          <w:i w:val="1"/>
          <w:iCs w:val="1"/>
          <w:color w:val="auto"/>
        </w:rPr>
        <w:t xml:space="preserve"> </w:t>
      </w:r>
      <w:r>
        <w:rPr>
          <w:rFonts w:ascii="Arial" w:cs="Arial" w:eastAsia="Arial" w:hAnsi="Arial"/>
          <w:sz w:val="18"/>
          <w:szCs w:val="18"/>
          <w:color w:val="auto"/>
        </w:rPr>
        <w:t>$1,000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89" w:lineRule="exact"/>
        <w:rPr>
          <w:rFonts w:ascii="Arial" w:cs="Arial" w:eastAsia="Arial" w:hAnsi="Arial"/>
          <w:sz w:val="18"/>
          <w:szCs w:val="18"/>
          <w:color w:val="auto"/>
        </w:rPr>
      </w:pPr>
    </w:p>
    <w:p>
      <w:pPr>
        <w:ind w:left="780" w:hanging="336"/>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5"/>
          <w:szCs w:val="15"/>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WNERS</w:t>
      </w:r>
      <w:r>
        <w:rPr>
          <w:rFonts w:ascii="Arial" w:cs="Arial" w:eastAsia="Arial" w:hAnsi="Arial"/>
          <w:sz w:val="18"/>
          <w:szCs w:val="18"/>
          <w:color w:val="auto"/>
        </w:rPr>
        <w:t>. The registered Holder of a Note may be treated as its owner for all purposes.</w:t>
      </w:r>
    </w:p>
    <w:p>
      <w:pPr>
        <w:spacing w:after="0" w:line="225" w:lineRule="exact"/>
        <w:rPr>
          <w:rFonts w:ascii="Arial" w:cs="Arial" w:eastAsia="Arial" w:hAnsi="Arial"/>
          <w:sz w:val="18"/>
          <w:szCs w:val="18"/>
          <w:color w:val="auto"/>
        </w:rPr>
      </w:pPr>
    </w:p>
    <w:p>
      <w:pPr>
        <w:ind w:left="-20" w:right="20" w:firstLine="464"/>
        <w:spacing w:after="0" w:line="264" w:lineRule="auto"/>
        <w:tabs>
          <w:tab w:leader="none" w:pos="775"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5"/>
          <w:szCs w:val="15"/>
          <w:i w:val="1"/>
          <w:iCs w:val="1"/>
          <w:color w:val="auto"/>
        </w:rPr>
        <w:t>MENDMENT</w:t>
      </w:r>
      <w:r>
        <w:rPr>
          <w:rFonts w:ascii="Arial" w:cs="Arial" w:eastAsia="Arial" w:hAnsi="Arial"/>
          <w:sz w:val="18"/>
          <w:szCs w:val="18"/>
          <w:color w:val="auto"/>
        </w:rPr>
        <w:t>,</w:t>
      </w:r>
      <w:r>
        <w:rPr>
          <w:rFonts w:ascii="Arial" w:cs="Arial" w:eastAsia="Arial" w:hAnsi="Arial"/>
          <w:sz w:val="18"/>
          <w:szCs w:val="18"/>
          <w:i w:val="1"/>
          <w:iCs w:val="1"/>
          <w:color w:val="auto"/>
        </w:rPr>
        <w:t xml:space="preserve"> S</w:t>
      </w:r>
      <w:r>
        <w:rPr>
          <w:rFonts w:ascii="Arial" w:cs="Arial" w:eastAsia="Arial" w:hAnsi="Arial"/>
          <w:sz w:val="15"/>
          <w:szCs w:val="15"/>
          <w:i w:val="1"/>
          <w:iCs w:val="1"/>
          <w:color w:val="auto"/>
        </w:rPr>
        <w:t>UPPLEMENT AND</w:t>
      </w:r>
      <w:r>
        <w:rPr>
          <w:rFonts w:ascii="Arial" w:cs="Arial" w:eastAsia="Arial" w:hAnsi="Arial"/>
          <w:sz w:val="18"/>
          <w:szCs w:val="18"/>
          <w:i w:val="1"/>
          <w:iCs w:val="1"/>
          <w:color w:val="auto"/>
        </w:rPr>
        <w:t xml:space="preserve"> W</w:t>
      </w:r>
      <w:r>
        <w:rPr>
          <w:rFonts w:ascii="Arial" w:cs="Arial" w:eastAsia="Arial" w:hAnsi="Arial"/>
          <w:sz w:val="15"/>
          <w:szCs w:val="15"/>
          <w:i w:val="1"/>
          <w:iCs w:val="1"/>
          <w:color w:val="auto"/>
        </w:rPr>
        <w:t>AIVER</w:t>
      </w:r>
      <w:r>
        <w:rPr>
          <w:rFonts w:ascii="Arial" w:cs="Arial" w:eastAsia="Arial" w:hAnsi="Arial"/>
          <w:sz w:val="18"/>
          <w:szCs w:val="18"/>
          <w:color w:val="auto"/>
        </w:rPr>
        <w:t>. Subject to certain exceptions, the Indenture or the Notes or the Note Guarantees may be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with the consent of the Holders of at least a majority in aggregate principal amount of the then outstanding Notes including Additional Notes, if any, voting as a single class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60" w:top="274" w:right="239" w:bottom="1440" w:gutter="0" w:footer="0" w:header="0"/>
        </w:sectPr>
      </w:pPr>
    </w:p>
    <w:bookmarkStart w:id="103" w:name="page104"/>
    <w:bookmarkEnd w:id="10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consents obtained in connection with a purchase of, or tender offer or exchange offer for, Notes), and any existing Default or Event or Default or compliance with any provision of the Indenture or the Notes or the Note Guarantees may be waived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Notes). Without the consent of any Holder of a Note, the Indenture or the Notes or the Note Guarantees may be amended or supplemented to cure any ambiguity, defect or inconsistency, to provide for uncertificated Notes in addition to or in place of certificated Notes, to provide for the assumption of the Company’s or a Guarantor’s obligations to Holders of the Notes and Note Guarantees in case of a merger or consolidation, or sale of all or substantially all of the Company or such Guarantor’s assets, as applicable,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TIA, to conform the text of the Indenture or the Notes to any provision of the “Description of the Notes” section of the Company’s Offering Memorandum, to the extent that such provision in that “Description of the Notes” was intended to be a verbatim recitation of a provision of the Indenture, the Note Guarantees or the Notes; to provide for the issuance of Additional Notes in accordance with the limitations set forth in the Indenture; to allow any Guarantor to execute a supplemental indenture to the Indenture and/or a Note Guarantee with respect to the Notes; or to evidence and provide for the acceptance of appointment under the Indenture of a successor Trustee.</w:t>
      </w:r>
    </w:p>
    <w:p>
      <w:pPr>
        <w:spacing w:after="0" w:line="185" w:lineRule="exact"/>
        <w:rPr>
          <w:sz w:val="20"/>
          <w:szCs w:val="20"/>
          <w:color w:val="auto"/>
        </w:rPr>
      </w:pPr>
    </w:p>
    <w:p>
      <w:pPr>
        <w:ind w:firstLine="464"/>
        <w:spacing w:after="0" w:line="284" w:lineRule="auto"/>
        <w:tabs>
          <w:tab w:leader="none" w:pos="801"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EFAULTS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6"/>
          <w:szCs w:val="16"/>
          <w:color w:val="auto"/>
        </w:rPr>
        <w:t>. Events of Default include: (i) default for 30 days in the payment when due of interest on, or Additional Interest, if any,</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Notes; (ii) default in the payment when due of the principal of, or premium, if any, on, the Notes when the same becomes due and payable at maturity, upon redemption (including in connection with an offer to purchase) or otherwise; (iii) failure by the Company or any of its Restricted Subsidiaries to comply with Section 5.01 of the Indenture; (iv) failure by the Company or any of its Restricted Subsidiaries to comply with Section 4.03 of the Indenture for 90 days after notice to the Company by the Trustee or the Holders of at least 25% in aggregate principal amount of the Notes including Additional Notes, if any, then outstanding to comply with any of the other agreements in the Indenture or the Notes; (v) failure by the Company or any of its Restricted Subsidiaries to comply with any of the other agreements in this Indenture for 60 days after written notice to the Company by the Trustee or the Holders of at least 25% in aggregate principal amount of the Notes then outstanding; (vi) default under certain other agreements relating to Indebtedness of the Company which default results in the acceleration of such Indebtedness prior to its Stated Maturity; (vii) certain final judgments for the payment of money that remain undischarged for a period of 60 days; (viii) certain events of bankruptcy or insolvency with respect to the Company or any of its Restricted Subsidiaries that is a Significant Subsidiary or any group of Restricted Subsidiaries that, taken together, would constitute a Significant Subsidiary; (ix) except as permitted by the Indenture, any Note Guarantee by a Guarantor that is a Significant Subsidiary of the Company is held in any judicial proceeding to be unenforceable or invalid or ceases for any reason to be in full force and effect or any Guarantor that is a Significant Subsidiary of the Company, or any Person acting on its behalf denies or disaffirms its obligations under such Guarantor’s Note Guarantee. If any Event of Default occurs and is continuing, the Trustee or the Holders of at least 25% in aggregate principal amount of the then outstanding Notes may by written notice to the Company declare all the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or the Notes except as provided in the Indenture. Subject to certain limitations, Holders of at least a majority in aggregate principal amount of the then outstanding Notes may direct the Trustee in its exercise of any trust or power. The Holders of at least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Additional Interest, if any, on, or the principal of, the Notes. The Company is required to deliver to the Trustee annually a statement regarding compliance with the Indenture, and the Company is required, within 30 days of becoming aware of any Default or Event of Default that has occurred and is continuing, to deliver to the Trustee a statement specifying such Default or Event of Default.</w:t>
      </w:r>
    </w:p>
    <w:p>
      <w:pPr>
        <w:spacing w:after="0" w:line="394" w:lineRule="exact"/>
        <w:rPr>
          <w:rFonts w:ascii="Arial" w:cs="Arial" w:eastAsia="Arial" w:hAnsi="Arial"/>
          <w:sz w:val="16"/>
          <w:szCs w:val="16"/>
          <w:color w:val="auto"/>
        </w:rPr>
      </w:pPr>
    </w:p>
    <w:p>
      <w:pPr>
        <w:ind w:right="320" w:firstLine="464"/>
        <w:spacing w:after="0" w:line="308" w:lineRule="auto"/>
        <w:tabs>
          <w:tab w:leader="none" w:pos="801"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T</w:t>
      </w:r>
      <w:r>
        <w:rPr>
          <w:rFonts w:ascii="Arial" w:cs="Arial" w:eastAsia="Arial" w:hAnsi="Arial"/>
          <w:sz w:val="14"/>
          <w:szCs w:val="14"/>
          <w:i w:val="1"/>
          <w:iCs w:val="1"/>
          <w:color w:val="auto"/>
        </w:rPr>
        <w:t>RUSTEE</w:t>
      </w:r>
      <w:r>
        <w:rPr>
          <w:rFonts w:ascii="Arial" w:cs="Arial" w:eastAsia="Arial" w:hAnsi="Arial"/>
          <w:sz w:val="17"/>
          <w:szCs w:val="17"/>
          <w:i w:val="1"/>
          <w:iCs w:val="1"/>
          <w:color w:val="auto"/>
        </w:rPr>
        <w:t xml:space="preserve"> D</w:t>
      </w:r>
      <w:r>
        <w:rPr>
          <w:rFonts w:ascii="Arial" w:cs="Arial" w:eastAsia="Arial" w:hAnsi="Arial"/>
          <w:sz w:val="14"/>
          <w:szCs w:val="14"/>
          <w:i w:val="1"/>
          <w:iCs w:val="1"/>
          <w:color w:val="auto"/>
        </w:rPr>
        <w:t>EALINGS WITH</w:t>
      </w:r>
      <w:r>
        <w:rPr>
          <w:rFonts w:ascii="Arial" w:cs="Arial" w:eastAsia="Arial" w:hAnsi="Arial"/>
          <w:sz w:val="17"/>
          <w:szCs w:val="17"/>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17"/>
          <w:szCs w:val="17"/>
          <w:color w:val="auto"/>
        </w:rPr>
        <w:t>. The Trustee, in its individual or any other capacity, may make loans to, accept deposits from, and perform</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the Company or its Affiliates, and may otherwise deal with the Company or its Affiliates, as if it were not the Trustee.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4" w:right="239" w:bottom="1440" w:gutter="0" w:footer="0" w:header="0"/>
        </w:sectPr>
      </w:pPr>
    </w:p>
    <w:bookmarkStart w:id="104" w:name="page105"/>
    <w:bookmarkEnd w:id="104"/>
    <w:p>
      <w:pPr>
        <w:jc w:val="both"/>
        <w:ind w:firstLine="464"/>
        <w:spacing w:after="0" w:line="259" w:lineRule="auto"/>
        <w:tabs>
          <w:tab w:leader="none" w:pos="80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w:t>
      </w:r>
      <w:r>
        <w:rPr>
          <w:rFonts w:ascii="Arial" w:cs="Arial" w:eastAsia="Arial" w:hAnsi="Arial"/>
          <w:sz w:val="15"/>
          <w:szCs w:val="15"/>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5"/>
          <w:szCs w:val="15"/>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THERS</w:t>
      </w:r>
      <w:r>
        <w:rPr>
          <w:rFonts w:ascii="Arial" w:cs="Arial" w:eastAsia="Arial" w:hAnsi="Arial"/>
          <w:sz w:val="18"/>
          <w:szCs w:val="18"/>
          <w:color w:val="auto"/>
        </w:rPr>
        <w:t>. A director, officer, employee, incorporator or stockholder of the Company or any of the Guarantors, as such,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any liability for any obligations of the Company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6" w:lineRule="exact"/>
        <w:rPr>
          <w:rFonts w:ascii="Arial" w:cs="Arial" w:eastAsia="Arial" w:hAnsi="Arial"/>
          <w:sz w:val="18"/>
          <w:szCs w:val="18"/>
          <w:color w:val="auto"/>
        </w:rPr>
      </w:pPr>
    </w:p>
    <w:p>
      <w:pPr>
        <w:ind w:left="800" w:hanging="336"/>
        <w:spacing w:after="0"/>
        <w:tabs>
          <w:tab w:leader="none" w:pos="8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5"/>
          <w:szCs w:val="15"/>
          <w:i w:val="1"/>
          <w:iCs w:val="1"/>
          <w:color w:val="auto"/>
        </w:rPr>
        <w:t>UTHENTICATION</w:t>
      </w:r>
      <w:r>
        <w:rPr>
          <w:rFonts w:ascii="Arial" w:cs="Arial" w:eastAsia="Arial" w:hAnsi="Arial"/>
          <w:sz w:val="18"/>
          <w:szCs w:val="18"/>
          <w:color w:val="auto"/>
        </w:rPr>
        <w:t>. This Note will not be valid until authenticated by the manual signature of the Trustee or an authenticating agent.</w:t>
      </w:r>
    </w:p>
    <w:p>
      <w:pPr>
        <w:spacing w:after="0" w:line="225" w:lineRule="exact"/>
        <w:rPr>
          <w:rFonts w:ascii="Arial" w:cs="Arial" w:eastAsia="Arial" w:hAnsi="Arial"/>
          <w:sz w:val="18"/>
          <w:szCs w:val="18"/>
          <w:color w:val="auto"/>
        </w:rPr>
      </w:pPr>
    </w:p>
    <w:p>
      <w:pPr>
        <w:jc w:val="both"/>
        <w:ind w:right="200" w:firstLine="464"/>
        <w:spacing w:after="0" w:line="264" w:lineRule="auto"/>
        <w:tabs>
          <w:tab w:leader="none" w:pos="80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5"/>
          <w:szCs w:val="15"/>
          <w:i w:val="1"/>
          <w:iCs w:val="1"/>
          <w:color w:val="auto"/>
        </w:rPr>
        <w:t>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right="100" w:firstLine="464"/>
        <w:spacing w:after="0" w:line="273" w:lineRule="auto"/>
        <w:tabs>
          <w:tab w:leader="none" w:pos="801"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4"/>
          <w:szCs w:val="14"/>
          <w:i w:val="1"/>
          <w:iCs w:val="1"/>
          <w:color w:val="auto"/>
        </w:rPr>
        <w:t>DDITIONAL</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IGHTS OF</w:t>
      </w:r>
      <w:r>
        <w:rPr>
          <w:rFonts w:ascii="Arial" w:cs="Arial" w:eastAsia="Arial" w:hAnsi="Arial"/>
          <w:sz w:val="17"/>
          <w:szCs w:val="17"/>
          <w:i w:val="1"/>
          <w:iCs w:val="1"/>
          <w:color w:val="auto"/>
        </w:rPr>
        <w:t xml:space="preserve"> H</w:t>
      </w:r>
      <w:r>
        <w:rPr>
          <w:rFonts w:ascii="Arial" w:cs="Arial" w:eastAsia="Arial" w:hAnsi="Arial"/>
          <w:sz w:val="14"/>
          <w:szCs w:val="14"/>
          <w:i w:val="1"/>
          <w:iCs w:val="1"/>
          <w:color w:val="auto"/>
        </w:rPr>
        <w:t>OLDERS OF</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ESTRICTED</w:t>
      </w:r>
      <w:r>
        <w:rPr>
          <w:rFonts w:ascii="Arial" w:cs="Arial" w:eastAsia="Arial" w:hAnsi="Arial"/>
          <w:sz w:val="17"/>
          <w:szCs w:val="17"/>
          <w:i w:val="1"/>
          <w:iCs w:val="1"/>
          <w:color w:val="auto"/>
        </w:rPr>
        <w:t xml:space="preserve"> G</w:t>
      </w:r>
      <w:r>
        <w:rPr>
          <w:rFonts w:ascii="Arial" w:cs="Arial" w:eastAsia="Arial" w:hAnsi="Arial"/>
          <w:sz w:val="14"/>
          <w:szCs w:val="14"/>
          <w:i w:val="1"/>
          <w:iCs w:val="1"/>
          <w:color w:val="auto"/>
        </w:rPr>
        <w:t>LOBAL</w:t>
      </w:r>
      <w:r>
        <w:rPr>
          <w:rFonts w:ascii="Arial" w:cs="Arial" w:eastAsia="Arial" w:hAnsi="Arial"/>
          <w:sz w:val="17"/>
          <w:szCs w:val="17"/>
          <w:i w:val="1"/>
          <w:iCs w:val="1"/>
          <w:color w:val="auto"/>
        </w:rPr>
        <w:t xml:space="preserve"> N</w:t>
      </w:r>
      <w:r>
        <w:rPr>
          <w:rFonts w:ascii="Arial" w:cs="Arial" w:eastAsia="Arial" w:hAnsi="Arial"/>
          <w:sz w:val="14"/>
          <w:szCs w:val="14"/>
          <w:i w:val="1"/>
          <w:iCs w:val="1"/>
          <w:color w:val="auto"/>
        </w:rPr>
        <w:t>OTES AND</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ESTRICTED</w:t>
      </w:r>
      <w:r>
        <w:rPr>
          <w:rFonts w:ascii="Arial" w:cs="Arial" w:eastAsia="Arial" w:hAnsi="Arial"/>
          <w:sz w:val="17"/>
          <w:szCs w:val="17"/>
          <w:i w:val="1"/>
          <w:iCs w:val="1"/>
          <w:color w:val="auto"/>
        </w:rPr>
        <w:t xml:space="preserve"> D</w:t>
      </w:r>
      <w:r>
        <w:rPr>
          <w:rFonts w:ascii="Arial" w:cs="Arial" w:eastAsia="Arial" w:hAnsi="Arial"/>
          <w:sz w:val="14"/>
          <w:szCs w:val="14"/>
          <w:i w:val="1"/>
          <w:iCs w:val="1"/>
          <w:color w:val="auto"/>
        </w:rPr>
        <w:t>EFINITIVE</w:t>
      </w:r>
      <w:r>
        <w:rPr>
          <w:rFonts w:ascii="Arial" w:cs="Arial" w:eastAsia="Arial" w:hAnsi="Arial"/>
          <w:sz w:val="17"/>
          <w:szCs w:val="17"/>
          <w:i w:val="1"/>
          <w:iCs w:val="1"/>
          <w:color w:val="auto"/>
        </w:rPr>
        <w:t xml:space="preserve"> N</w:t>
      </w:r>
      <w:r>
        <w:rPr>
          <w:rFonts w:ascii="Arial" w:cs="Arial" w:eastAsia="Arial" w:hAnsi="Arial"/>
          <w:sz w:val="14"/>
          <w:szCs w:val="14"/>
          <w:i w:val="1"/>
          <w:iCs w:val="1"/>
          <w:color w:val="auto"/>
        </w:rPr>
        <w:t>OTES</w:t>
      </w:r>
      <w:r>
        <w:rPr>
          <w:rFonts w:ascii="Arial" w:cs="Arial" w:eastAsia="Arial" w:hAnsi="Arial"/>
          <w:sz w:val="17"/>
          <w:szCs w:val="17"/>
          <w:color w:val="auto"/>
        </w:rPr>
        <w:t>. In addition to the rights provided to</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Notes under the Indenture, Holders of Restricted Global Notes and Restricted Definitive Notes will have all the rights set forth in the Registration Rights Agreement dated as of October 19, 2015, among the Company, the Guarantors and the other parties named on the signature pages thereof or, in the case of Additional Notes, Holders of Restricted Global Notes and Restricted Definitive Notes will have the rights set forth in one or more registration rights agreements, if any, among the Company, the Guarantors and the other parties thereto, relating to rights given by the Company and the Guarantors to the purchasers of any Additional Notes (collectively, the “</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464"/>
        <w:spacing w:after="0" w:line="259" w:lineRule="auto"/>
        <w:tabs>
          <w:tab w:leader="none" w:pos="80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CUSIP N</w:t>
      </w:r>
      <w:r>
        <w:rPr>
          <w:rFonts w:ascii="Arial" w:cs="Arial" w:eastAsia="Arial" w:hAnsi="Arial"/>
          <w:sz w:val="15"/>
          <w:szCs w:val="15"/>
          <w:i w:val="1"/>
          <w:iCs w:val="1"/>
          <w:color w:val="auto"/>
        </w:rPr>
        <w:t>UMBERS</w:t>
      </w:r>
      <w:r>
        <w:rPr>
          <w:rFonts w:ascii="Arial" w:cs="Arial" w:eastAsia="Arial" w:hAnsi="Arial"/>
          <w:sz w:val="18"/>
          <w:szCs w:val="18"/>
          <w:color w:val="auto"/>
        </w:rPr>
        <w:t>. Pursuant to a recommendation promulgated by the Committee on Uniform Security Identification Procedures,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6" w:lineRule="exact"/>
        <w:rPr>
          <w:rFonts w:ascii="Arial" w:cs="Arial" w:eastAsia="Arial" w:hAnsi="Arial"/>
          <w:sz w:val="18"/>
          <w:szCs w:val="18"/>
          <w:color w:val="auto"/>
        </w:rPr>
      </w:pPr>
    </w:p>
    <w:p>
      <w:pPr>
        <w:ind w:right="20" w:firstLine="464"/>
        <w:spacing w:after="0" w:line="264" w:lineRule="auto"/>
        <w:tabs>
          <w:tab w:leader="none" w:pos="80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 CONSTRUE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THIS NOTE AND THE NOTE GUARANTEES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furnish to any Holder upon written request and without charge a copy of the Indenture and/or the Registration Rights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(423) 743-2670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James H. Dorton, Senior Vice President – Chief Financial Officer</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(423) 434-8389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Matthew S. Heiter, Senior Vice President and General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105" w:name="page106"/>
    <w:bookmarkEnd w:id="105"/>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color w:val="auto"/>
        </w:rPr>
        <w:t>SSIGNMENT</w:t>
      </w:r>
      <w:r>
        <w:rPr>
          <w:rFonts w:ascii="Arial" w:cs="Arial" w:eastAsia="Arial" w:hAnsi="Arial"/>
          <w:sz w:val="18"/>
          <w:szCs w:val="18"/>
          <w:color w:val="auto"/>
        </w:rPr>
        <w:t xml:space="preserve"> F</w:t>
      </w:r>
      <w:r>
        <w:rPr>
          <w:rFonts w:ascii="Arial" w:cs="Arial" w:eastAsia="Arial" w:hAnsi="Arial"/>
          <w:sz w:val="15"/>
          <w:szCs w:val="15"/>
          <w:color w:val="auto"/>
        </w:rPr>
        <w:t>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240" w:hanging="232"/>
        <w:spacing w:after="0"/>
        <w:tabs>
          <w:tab w:leader="none" w:pos="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or (we) assign and transfer this Note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5715</wp:posOffset>
            </wp:positionV>
            <wp:extent cx="70580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and irrevocably appoint to transfer this Note on the books of the Company. The agent may substitute another to act for him.</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14605</wp:posOffset>
            </wp:positionV>
            <wp:extent cx="2023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5"/>
          <w:szCs w:val="15"/>
          <w:color w:val="auto"/>
        </w:rPr>
        <w:t>(Sign exactly as your name appears on the</w:t>
      </w:r>
    </w:p>
    <w:p>
      <w:pPr>
        <w:spacing w:after="0" w:line="58"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face of this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14605</wp:posOffset>
            </wp:positionV>
            <wp:extent cx="1835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59" w:lineRule="exact"/>
        <w:rPr>
          <w:sz w:val="20"/>
          <w:szCs w:val="20"/>
          <w:color w:val="auto"/>
        </w:rPr>
      </w:pPr>
    </w:p>
    <w:p>
      <w:pPr>
        <w:ind w:left="5580" w:right="2120" w:hanging="5572"/>
        <w:spacing w:after="0" w:line="449" w:lineRule="auto"/>
        <w:tabs>
          <w:tab w:leader="none" w:pos="23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ectPr>
          <w:pgSz w:w="11900" w:h="16838" w:orient="portrait"/>
          <w:cols w:equalWidth="0" w:num="1">
            <w:col w:w="11280"/>
          </w:cols>
          <w:pgMar w:left="240" w:top="274" w:right="37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t>
      </w:r>
      <w:r>
        <w:rPr>
          <w:rFonts w:ascii="Arial" w:cs="Arial" w:eastAsia="Arial" w:hAnsi="Arial"/>
          <w:sz w:val="15"/>
          <w:szCs w:val="15"/>
          <w:color w:val="auto"/>
        </w:rPr>
        <w:t>PTION OF</w:t>
      </w:r>
      <w:r>
        <w:rPr>
          <w:rFonts w:ascii="Arial" w:cs="Arial" w:eastAsia="Arial" w:hAnsi="Arial"/>
          <w:sz w:val="18"/>
          <w:szCs w:val="18"/>
          <w:color w:val="auto"/>
        </w:rPr>
        <w:t xml:space="preserve"> H</w:t>
      </w:r>
      <w:r>
        <w:rPr>
          <w:rFonts w:ascii="Arial" w:cs="Arial" w:eastAsia="Arial" w:hAnsi="Arial"/>
          <w:sz w:val="15"/>
          <w:szCs w:val="15"/>
          <w:color w:val="auto"/>
        </w:rPr>
        <w:t>OLDER TO</w:t>
      </w:r>
      <w:r>
        <w:rPr>
          <w:rFonts w:ascii="Arial" w:cs="Arial" w:eastAsia="Arial" w:hAnsi="Arial"/>
          <w:sz w:val="18"/>
          <w:szCs w:val="18"/>
          <w:color w:val="auto"/>
        </w:rPr>
        <w:t xml:space="preserve"> E</w:t>
      </w:r>
      <w:r>
        <w:rPr>
          <w:rFonts w:ascii="Arial" w:cs="Arial" w:eastAsia="Arial" w:hAnsi="Arial"/>
          <w:sz w:val="15"/>
          <w:szCs w:val="15"/>
          <w:color w:val="auto"/>
        </w:rPr>
        <w:t>LECT</w:t>
      </w:r>
      <w:r>
        <w:rPr>
          <w:rFonts w:ascii="Arial" w:cs="Arial" w:eastAsia="Arial" w:hAnsi="Arial"/>
          <w:sz w:val="18"/>
          <w:szCs w:val="18"/>
          <w:color w:val="auto"/>
        </w:rPr>
        <w:t xml:space="preserve"> P</w:t>
      </w:r>
      <w:r>
        <w:rPr>
          <w:rFonts w:ascii="Arial" w:cs="Arial" w:eastAsia="Arial" w:hAnsi="Arial"/>
          <w:sz w:val="15"/>
          <w:szCs w:val="15"/>
          <w:color w:val="auto"/>
        </w:rPr>
        <w:t>URCHASE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If you want to elect to have this Note purchased by the Company pursuant to Section 4.10 or 4.15 of the Indenture, check the appropriate box below:</w:t>
      </w:r>
    </w:p>
    <w:p>
      <w:pPr>
        <w:spacing w:after="0" w:line="216" w:lineRule="exact"/>
        <w:rPr>
          <w:sz w:val="20"/>
          <w:szCs w:val="20"/>
          <w:color w:val="auto"/>
        </w:rPr>
      </w:pPr>
    </w:p>
    <w:p>
      <w:pPr>
        <w:ind w:left="4140"/>
        <w:spacing w:after="0" w:line="207" w:lineRule="exact"/>
        <w:tabs>
          <w:tab w:leader="none" w:pos="6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4.15</w:t>
      </w:r>
    </w:p>
    <w:p>
      <w:pPr>
        <w:spacing w:after="0" w:line="2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4.15 of the Indenture, state the amount you elect to have purchased:</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14605</wp:posOffset>
            </wp:positionV>
            <wp:extent cx="2023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(Sign exactly as your name appears on the</w:t>
      </w:r>
    </w:p>
    <w:p>
      <w:pPr>
        <w:spacing w:after="0" w:line="4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face of this Note)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14605</wp:posOffset>
            </wp:positionV>
            <wp:extent cx="18351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59" w:lineRule="exact"/>
        <w:rPr>
          <w:sz w:val="20"/>
          <w:szCs w:val="20"/>
          <w:color w:val="auto"/>
        </w:rPr>
      </w:pPr>
    </w:p>
    <w:p>
      <w:pPr>
        <w:ind w:left="5580" w:right="2220" w:hanging="5572"/>
        <w:spacing w:after="0" w:line="449" w:lineRule="auto"/>
        <w:tabs>
          <w:tab w:leader="none" w:pos="2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1380"/>
          </w:cols>
          <w:pgMar w:left="240" w:top="274" w:right="2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CHEDULE OF</w:t>
      </w:r>
      <w:r>
        <w:rPr>
          <w:rFonts w:ascii="Arial" w:cs="Arial" w:eastAsia="Arial" w:hAnsi="Arial"/>
          <w:sz w:val="18"/>
          <w:szCs w:val="18"/>
          <w:color w:val="auto"/>
        </w:rPr>
        <w:t xml:space="preserve"> E</w:t>
      </w:r>
      <w:r>
        <w:rPr>
          <w:rFonts w:ascii="Arial" w:cs="Arial" w:eastAsia="Arial" w:hAnsi="Arial"/>
          <w:sz w:val="15"/>
          <w:szCs w:val="15"/>
          <w:color w:val="auto"/>
        </w:rPr>
        <w:t>XCHANGES OF</w:t>
      </w:r>
      <w:r>
        <w:rPr>
          <w:rFonts w:ascii="Arial" w:cs="Arial" w:eastAsia="Arial" w:hAnsi="Arial"/>
          <w:sz w:val="18"/>
          <w:szCs w:val="18"/>
          <w:color w:val="auto"/>
        </w:rPr>
        <w:t xml:space="preserve"> I</w:t>
      </w:r>
      <w:r>
        <w:rPr>
          <w:rFonts w:ascii="Arial" w:cs="Arial" w:eastAsia="Arial" w:hAnsi="Arial"/>
          <w:sz w:val="15"/>
          <w:szCs w:val="15"/>
          <w:color w:val="auto"/>
        </w:rPr>
        <w:t>NTERESTS IN THE</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N</w:t>
      </w:r>
      <w:r>
        <w:rPr>
          <w:rFonts w:ascii="Arial" w:cs="Arial" w:eastAsia="Arial" w:hAnsi="Arial"/>
          <w:sz w:val="15"/>
          <w:szCs w:val="15"/>
          <w:color w:val="auto"/>
        </w:rPr>
        <w:t>OTE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ectPr>
          <w:pgSz w:w="11900" w:h="16838" w:orient="portrait"/>
          <w:cols w:equalWidth="0" w:num="1">
            <w:col w:w="11420"/>
          </w:cols>
          <w:pgMar w:left="240" w:top="274" w:right="239" w:bottom="1440" w:gutter="0" w:footer="0" w:header="0"/>
        </w:sect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2"/>
              </w:rPr>
              <w:t>Amount of decrease</w:t>
            </w:r>
          </w:p>
        </w:tc>
      </w:tr>
      <w:tr>
        <w:trPr>
          <w:trHeight w:val="149"/>
        </w:trPr>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6"/>
              </w:rPr>
              <w:t>in Principal Amount</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15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of this Global Note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Principal Amount</w:t>
            </w:r>
          </w:p>
        </w:tc>
        <w:tc>
          <w:tcPr>
            <w:tcW w:w="2060" w:type="dxa"/>
            <w:vAlign w:val="bottom"/>
          </w:tcPr>
          <w:p>
            <w:pPr>
              <w:spacing w:after="0"/>
              <w:rPr>
                <w:sz w:val="14"/>
                <w:szCs w:val="14"/>
                <w:color w:val="auto"/>
              </w:rPr>
            </w:pPr>
          </w:p>
        </w:tc>
      </w:tr>
      <w:tr>
        <w:trPr>
          <w:trHeight w:val="149"/>
        </w:trPr>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 of increase</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of this Global Note</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 Principal Amount</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authorized officer of</w:t>
            </w:r>
          </w:p>
        </w:tc>
      </w:tr>
      <w:tr>
        <w:trPr>
          <w:trHeight w:val="181"/>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decrease (or 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Trustee or Custodian</w:t>
            </w:r>
          </w:p>
        </w:tc>
      </w:tr>
    </w:tbl>
    <w:p>
      <w:pPr>
        <w:spacing w:after="0" w:line="200" w:lineRule="exact"/>
        <w:rPr>
          <w:sz w:val="20"/>
          <w:szCs w:val="20"/>
          <w:color w:val="auto"/>
        </w:rPr>
      </w:pPr>
    </w:p>
    <w:p>
      <w:pPr>
        <w:sectPr>
          <w:pgSz w:w="11900" w:h="16838" w:orient="portrait"/>
          <w:cols w:equalWidth="0" w:num="2">
            <w:col w:w="4700" w:space="120"/>
            <w:col w:w="6600"/>
          </w:cols>
          <w:pgMar w:left="240" w:top="274" w:right="239" w:bottom="1440" w:gutter="0" w:footer="0" w:header="0"/>
          <w:type w:val="continuous"/>
        </w:sectPr>
      </w:pPr>
    </w:p>
    <w:p>
      <w:pPr>
        <w:spacing w:after="0" w:line="218" w:lineRule="exact"/>
        <w:rPr>
          <w:sz w:val="20"/>
          <w:szCs w:val="20"/>
          <w:color w:val="auto"/>
        </w:rPr>
      </w:pPr>
    </w:p>
    <w:p>
      <w:pPr>
        <w:ind w:left="220" w:hanging="212"/>
        <w:spacing w:after="0"/>
        <w:tabs>
          <w:tab w:leader="none" w:pos="220"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420"/>
          </w:cols>
          <w:pgMar w:left="240" w:top="274" w:right="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ORM OF CERTIFICATE OF</w:t>
      </w:r>
      <w:r>
        <w:rPr>
          <w:rFonts w:ascii="Arial" w:cs="Arial" w:eastAsia="Arial" w:hAnsi="Arial"/>
          <w:sz w:val="18"/>
          <w:szCs w:val="18"/>
          <w:color w:val="auto"/>
        </w:rPr>
        <w:t xml:space="preserve"> T</w:t>
      </w:r>
      <w:r>
        <w:rPr>
          <w:rFonts w:ascii="Arial" w:cs="Arial" w:eastAsia="Arial" w:hAnsi="Arial"/>
          <w:sz w:val="15"/>
          <w:szCs w:val="15"/>
          <w:color w:val="auto"/>
        </w:rPr>
        <w: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Commerce Street,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Wally Jones</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10.25% Senior Notes due 2020</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Reference is hereby made to the Indenture, dated as of October 19, 2015 (the “</w:t>
      </w:r>
      <w:r>
        <w:rPr>
          <w:rFonts w:ascii="Arial" w:cs="Arial" w:eastAsia="Arial" w:hAnsi="Arial"/>
          <w:sz w:val="18"/>
          <w:szCs w:val="18"/>
          <w:i w:val="1"/>
          <w:iCs w:val="1"/>
          <w:color w:val="auto"/>
        </w:rPr>
        <w:t>Indenture</w:t>
      </w:r>
      <w:r>
        <w:rPr>
          <w:rFonts w:ascii="Arial" w:cs="Arial" w:eastAsia="Arial" w:hAnsi="Arial"/>
          <w:sz w:val="18"/>
          <w:szCs w:val="18"/>
          <w:color w:val="auto"/>
        </w:rPr>
        <w:t>”), among NN,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U.S. Bank National Association, as trustee. Capitalized terms used but not defined herein shall have the meanings given to them in the Indenture.</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i w:val="1"/>
          <w:iCs w:val="1"/>
          <w:color w:val="auto"/>
        </w:rPr>
        <w:t>Transferor</w:t>
      </w:r>
      <w:r>
        <w:rPr>
          <w:rFonts w:ascii="Arial" w:cs="Arial" w:eastAsia="Arial" w:hAnsi="Arial"/>
          <w:sz w:val="17"/>
          <w:szCs w:val="17"/>
          <w:color w:val="auto"/>
        </w:rPr>
        <w:t>”) owns and proposes to transfer the Note[s] or interest in such Note[s] specified in Annex A hereto, in the principal</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amount of $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3" w:lineRule="exact"/>
        <w:rPr>
          <w:sz w:val="20"/>
          <w:szCs w:val="20"/>
          <w:color w:val="auto"/>
        </w:rPr>
      </w:pPr>
    </w:p>
    <w:p>
      <w:pPr>
        <w:ind w:left="640" w:hanging="176"/>
        <w:spacing w:after="0" w:line="196" w:lineRule="exact"/>
        <w:tabs>
          <w:tab w:leader="none" w:pos="640" w:val="left"/>
        </w:tabs>
        <w:numPr>
          <w:ilvl w:val="0"/>
          <w:numId w:val="14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p>
    <w:p>
      <w:pPr>
        <w:spacing w:after="0" w:line="6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u w:val="single" w:color="auto"/>
          <w:color w:val="auto"/>
        </w:rPr>
        <w:t>Rule 144A</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144A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50" w:lineRule="exact"/>
        <w:rPr>
          <w:sz w:val="20"/>
          <w:szCs w:val="20"/>
          <w:color w:val="auto"/>
        </w:rPr>
      </w:pPr>
    </w:p>
    <w:p>
      <w:pPr>
        <w:ind w:right="120" w:firstLine="464"/>
        <w:spacing w:after="0" w:line="221" w:lineRule="exact"/>
        <w:tabs>
          <w:tab w:leader="none" w:pos="636" w:val="left"/>
        </w:tabs>
        <w:numPr>
          <w:ilvl w:val="0"/>
          <w:numId w:val="14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 under the Securities Act and, accordingly,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09" w:name="page110"/>
    <w:bookmarkEnd w:id="109"/>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38" w:lineRule="exact"/>
        <w:rPr>
          <w:sz w:val="20"/>
          <w:szCs w:val="20"/>
          <w:color w:val="auto"/>
        </w:rPr>
      </w:pPr>
    </w:p>
    <w:p>
      <w:pPr>
        <w:ind w:right="40" w:firstLine="464"/>
        <w:spacing w:after="0" w:line="228" w:lineRule="exact"/>
        <w:tabs>
          <w:tab w:leader="none" w:pos="636" w:val="left"/>
        </w:tabs>
        <w:numPr>
          <w:ilvl w:val="0"/>
          <w:numId w:val="15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any provision of the Securities Act other than Rule 144A or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sz w:val="20"/>
          <w:szCs w:val="20"/>
          <w:color w:val="auto"/>
        </w:rPr>
      </w:pPr>
    </w:p>
    <w:p>
      <w:pPr>
        <w:ind w:left="5640" w:right="3160" w:hanging="5176"/>
        <w:spacing w:after="0" w:line="348" w:lineRule="exact"/>
        <w:tabs>
          <w:tab w:leader="none" w:pos="710" w:val="left"/>
        </w:tabs>
        <w:numPr>
          <w:ilvl w:val="0"/>
          <w:numId w:val="1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169" w:lineRule="exact"/>
        <w:rPr>
          <w:rFonts w:ascii="Arial" w:cs="Arial" w:eastAsia="Arial" w:hAnsi="Arial"/>
          <w:sz w:val="18"/>
          <w:szCs w:val="18"/>
          <w:color w:val="auto"/>
        </w:rPr>
      </w:pPr>
    </w:p>
    <w:p>
      <w:pPr>
        <w:ind w:left="720" w:hanging="256"/>
        <w:spacing w:after="0" w:line="207" w:lineRule="exact"/>
        <w:tabs>
          <w:tab w:leader="none" w:pos="720" w:val="left"/>
        </w:tabs>
        <w:numPr>
          <w:ilvl w:val="0"/>
          <w:numId w:val="1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93" w:lineRule="exact"/>
        <w:rPr>
          <w:sz w:val="20"/>
          <w:szCs w:val="20"/>
          <w:color w:val="auto"/>
        </w:rPr>
      </w:pPr>
    </w:p>
    <w:p>
      <w:pPr>
        <w:ind w:right="340" w:firstLine="464"/>
        <w:spacing w:after="0" w:line="239" w:lineRule="exact"/>
        <w:tabs>
          <w:tab w:leader="none" w:pos="701" w:val="left"/>
        </w:tabs>
        <w:numPr>
          <w:ilvl w:val="0"/>
          <w:numId w:val="15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93" w:lineRule="exact"/>
        <w:rPr>
          <w:sz w:val="20"/>
          <w:szCs w:val="20"/>
          <w:color w:val="auto"/>
        </w:rPr>
      </w:pPr>
    </w:p>
    <w:p>
      <w:pPr>
        <w:ind w:firstLine="464"/>
        <w:spacing w:after="0" w:line="221" w:lineRule="exact"/>
        <w:tabs>
          <w:tab w:leader="none" w:pos="711" w:val="left"/>
        </w:tabs>
        <w:numPr>
          <w:ilvl w:val="0"/>
          <w:numId w:val="15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4" w:lineRule="exact"/>
        <w:rPr>
          <w:sz w:val="20"/>
          <w:szCs w:val="20"/>
          <w:color w:val="auto"/>
        </w:rPr>
      </w:pPr>
    </w:p>
    <w:p>
      <w:pPr>
        <w:ind w:left="640" w:hanging="176"/>
        <w:spacing w:after="0" w:line="196" w:lineRule="exact"/>
        <w:tabs>
          <w:tab w:leader="none" w:pos="640" w:val="left"/>
        </w:tabs>
        <w:numPr>
          <w:ilvl w:val="0"/>
          <w:numId w:val="15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7"/>
          <w:szCs w:val="17"/>
          <w:b w:val="1"/>
          <w:bCs w:val="1"/>
          <w:color w:val="auto"/>
        </w:rPr>
        <w:t>.</w:t>
      </w:r>
    </w:p>
    <w:p>
      <w:pPr>
        <w:spacing w:after="0" w:line="237" w:lineRule="exact"/>
        <w:rPr>
          <w:sz w:val="20"/>
          <w:szCs w:val="20"/>
          <w:color w:val="auto"/>
        </w:rPr>
      </w:pPr>
    </w:p>
    <w:p>
      <w:pPr>
        <w:ind w:right="80" w:firstLine="464"/>
        <w:spacing w:after="0" w:line="224" w:lineRule="exact"/>
        <w:tabs>
          <w:tab w:leader="none" w:pos="701" w:val="left"/>
        </w:tabs>
        <w:numPr>
          <w:ilvl w:val="0"/>
          <w:numId w:val="1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 </w:t>
      </w:r>
      <w:r>
        <w:rPr>
          <w:rFonts w:ascii="Arial" w:cs="Arial" w:eastAsia="Arial" w:hAnsi="Arial"/>
          <w:sz w:val="18"/>
          <w:szCs w:val="18"/>
          <w:color w:val="auto"/>
        </w:rPr>
        <w:t>(i) The Transfer is being effected pursuant to and in accordance with Rule 144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2" w:lineRule="exact"/>
        <w:rPr>
          <w:rFonts w:ascii="Arial" w:cs="Arial" w:eastAsia="Arial" w:hAnsi="Arial"/>
          <w:sz w:val="18"/>
          <w:szCs w:val="18"/>
          <w:color w:val="auto"/>
        </w:rPr>
      </w:pPr>
    </w:p>
    <w:p>
      <w:pPr>
        <w:ind w:right="60" w:firstLine="464"/>
        <w:spacing w:after="0" w:line="228" w:lineRule="exact"/>
        <w:tabs>
          <w:tab w:leader="none" w:pos="711" w:val="left"/>
        </w:tabs>
        <w:numPr>
          <w:ilvl w:val="0"/>
          <w:numId w:val="15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 </w:t>
      </w:r>
      <w:r>
        <w:rPr>
          <w:rFonts w:ascii="Arial" w:cs="Arial" w:eastAsia="Arial" w:hAnsi="Arial"/>
          <w:sz w:val="17"/>
          <w:szCs w:val="17"/>
          <w:color w:val="auto"/>
        </w:rPr>
        <w:t>(i) The Transfer is being effected pursuant to and in accordance with Rule 903 or Rule 904</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274" w:right="279" w:bottom="1440" w:gutter="0" w:footer="0" w:header="0"/>
        </w:sectPr>
      </w:pPr>
    </w:p>
    <w:bookmarkStart w:id="110" w:name="page111"/>
    <w:bookmarkEnd w:id="11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38" w:lineRule="exact"/>
        <w:rPr>
          <w:sz w:val="20"/>
          <w:szCs w:val="20"/>
          <w:color w:val="auto"/>
        </w:rPr>
      </w:pPr>
    </w:p>
    <w:p>
      <w:pPr>
        <w:ind w:firstLine="464"/>
        <w:spacing w:after="0" w:line="224" w:lineRule="exact"/>
        <w:tabs>
          <w:tab w:leader="none" w:pos="701" w:val="left"/>
        </w:tabs>
        <w:numPr>
          <w:ilvl w:val="0"/>
          <w:numId w:val="15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 </w:t>
      </w:r>
      <w:r>
        <w:rPr>
          <w:rFonts w:ascii="Arial" w:cs="Arial" w:eastAsia="Arial" w:hAnsi="Arial"/>
          <w:sz w:val="16"/>
          <w:szCs w:val="16"/>
          <w:color w:val="auto"/>
        </w:rPr>
        <w:t>(i) The Transfer is being effected pursuant to and in compliance with an exemption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203835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20"/>
          </w:cols>
          <w:pgMar w:left="240" w:top="274" w:right="339" w:bottom="1440" w:gutter="0" w:footer="0" w:header="0"/>
        </w:sectPr>
      </w:pPr>
    </w:p>
    <w:bookmarkStart w:id="111" w:name="page112"/>
    <w:bookmarkEnd w:id="111"/>
    <w:p>
      <w:pPr>
        <w:jc w:val="right"/>
        <w:ind w:right="29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color w:val="auto"/>
        </w:rPr>
        <w:t>NNEX</w:t>
      </w:r>
      <w:r>
        <w:rPr>
          <w:rFonts w:ascii="Arial" w:cs="Arial" w:eastAsia="Arial" w:hAnsi="Arial"/>
          <w:sz w:val="18"/>
          <w:szCs w:val="18"/>
          <w:color w:val="auto"/>
        </w:rPr>
        <w:t xml:space="preserve"> A </w:t>
      </w:r>
      <w:r>
        <w:rPr>
          <w:rFonts w:ascii="Arial" w:cs="Arial" w:eastAsia="Arial" w:hAnsi="Arial"/>
          <w:sz w:val="15"/>
          <w:szCs w:val="15"/>
          <w:color w:val="auto"/>
        </w:rPr>
        <w:t>TO</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T</w:t>
      </w:r>
      <w:r>
        <w:rPr>
          <w:rFonts w:ascii="Arial" w:cs="Arial" w:eastAsia="Arial" w:hAnsi="Arial"/>
          <w:sz w:val="15"/>
          <w:szCs w:val="15"/>
          <w:color w:val="auto"/>
        </w:rPr>
        <w:t>RANSFER</w:t>
      </w:r>
    </w:p>
    <w:p>
      <w:pPr>
        <w:spacing w:after="0" w:line="252"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[CHECK ONE OF (a) OR (b)]</w:t>
      </w:r>
    </w:p>
    <w:p>
      <w:pPr>
        <w:spacing w:after="0" w:line="220" w:lineRule="exact"/>
        <w:rPr>
          <w:sz w:val="20"/>
          <w:szCs w:val="20"/>
          <w:color w:val="auto"/>
        </w:rPr>
      </w:pPr>
    </w:p>
    <w:p>
      <w:pPr>
        <w:ind w:left="900" w:hanging="446"/>
        <w:spacing w:after="0" w:line="207" w:lineRule="exact"/>
        <w:tabs>
          <w:tab w:leader="none" w:pos="900" w:val="left"/>
        </w:tabs>
        <w:numPr>
          <w:ilvl w:val="0"/>
          <w:numId w:val="15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83"/>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24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 Global Note (CUSIP</w:t>
            </w:r>
          </w:p>
        </w:tc>
        <w:tc>
          <w:tcPr>
            <w:tcW w:w="780" w:type="dxa"/>
            <w:vAlign w:val="bottom"/>
          </w:tcPr>
          <w:p>
            <w:pPr>
              <w:ind w:left="300"/>
              <w:spacing w:after="0"/>
              <w:rPr>
                <w:sz w:val="20"/>
                <w:szCs w:val="20"/>
                <w:color w:val="auto"/>
              </w:rPr>
            </w:pPr>
            <w:r>
              <w:rPr>
                <w:rFonts w:ascii="Arial" w:cs="Arial" w:eastAsia="Arial" w:hAnsi="Arial"/>
                <w:sz w:val="18"/>
                <w:szCs w:val="18"/>
                <w:color w:val="auto"/>
              </w:rPr>
              <w:t>), or</w:t>
            </w:r>
          </w:p>
        </w:tc>
        <w:tc>
          <w:tcPr>
            <w:tcW w:w="500" w:type="dxa"/>
            <w:vAlign w:val="bottom"/>
          </w:tcPr>
          <w:p>
            <w:pPr>
              <w:spacing w:after="0"/>
              <w:rPr>
                <w:sz w:val="24"/>
                <w:szCs w:val="24"/>
                <w:color w:val="auto"/>
              </w:rPr>
            </w:pPr>
          </w:p>
        </w:tc>
      </w:tr>
      <w:tr>
        <w:trPr>
          <w:trHeight w:val="338"/>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322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tc>
        <w:tc>
          <w:tcPr>
            <w:tcW w:w="500" w:type="dxa"/>
            <w:vAlign w:val="bottom"/>
          </w:tcPr>
          <w:p>
            <w:pPr>
              <w:ind w:left="200"/>
              <w:spacing w:after="0"/>
              <w:rPr>
                <w:sz w:val="20"/>
                <w:szCs w:val="20"/>
                <w:color w:val="auto"/>
              </w:rPr>
            </w:pPr>
            <w:r>
              <w:rPr>
                <w:rFonts w:ascii="Arial" w:cs="Arial" w:eastAsia="Arial" w:hAnsi="Arial"/>
                <w:sz w:val="18"/>
                <w:szCs w:val="18"/>
                <w:color w:val="auto"/>
                <w:w w:val="87"/>
              </w:rPr>
              <w:t>), or</w:t>
            </w:r>
          </w:p>
        </w:tc>
      </w:tr>
      <w:tr>
        <w:trPr>
          <w:trHeight w:val="338"/>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24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780" w:type="dxa"/>
            <w:vAlign w:val="bottom"/>
          </w:tcPr>
          <w:p>
            <w:pPr>
              <w:ind w:left="280"/>
              <w:spacing w:after="0"/>
              <w:rPr>
                <w:sz w:val="20"/>
                <w:szCs w:val="20"/>
                <w:color w:val="auto"/>
              </w:rPr>
            </w:pPr>
            <w:r>
              <w:rPr>
                <w:rFonts w:ascii="Arial" w:cs="Arial" w:eastAsia="Arial" w:hAnsi="Arial"/>
                <w:sz w:val="18"/>
                <w:szCs w:val="18"/>
                <w:color w:val="auto"/>
              </w:rPr>
              <w:t>), or</w:t>
            </w:r>
          </w:p>
        </w:tc>
        <w:tc>
          <w:tcPr>
            <w:tcW w:w="500" w:type="dxa"/>
            <w:vAlign w:val="bottom"/>
          </w:tcPr>
          <w:p>
            <w:pPr>
              <w:spacing w:after="0"/>
              <w:rPr>
                <w:sz w:val="24"/>
                <w:szCs w:val="24"/>
                <w:color w:val="auto"/>
              </w:rPr>
            </w:pPr>
          </w:p>
        </w:tc>
      </w:tr>
    </w:tbl>
    <w:p>
      <w:pPr>
        <w:spacing w:after="0" w:line="55" w:lineRule="exact"/>
        <w:rPr>
          <w:sz w:val="20"/>
          <w:szCs w:val="20"/>
          <w:color w:val="auto"/>
        </w:rPr>
      </w:pPr>
    </w:p>
    <w:p>
      <w:pPr>
        <w:ind w:left="900" w:hanging="446"/>
        <w:spacing w:after="0" w:line="207" w:lineRule="exact"/>
        <w:tabs>
          <w:tab w:leader="none" w:pos="900" w:val="left"/>
        </w:tabs>
        <w:numPr>
          <w:ilvl w:val="1"/>
          <w:numId w:val="15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163"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[CHECK ONE]</w:t>
      </w:r>
    </w:p>
    <w:p>
      <w:pPr>
        <w:spacing w:after="0" w:line="220" w:lineRule="exact"/>
        <w:rPr>
          <w:sz w:val="20"/>
          <w:szCs w:val="20"/>
          <w:color w:val="auto"/>
        </w:rPr>
      </w:pPr>
    </w:p>
    <w:p>
      <w:pPr>
        <w:ind w:left="900" w:hanging="446"/>
        <w:spacing w:after="0" w:line="207" w:lineRule="exact"/>
        <w:tabs>
          <w:tab w:leader="none" w:pos="900" w:val="left"/>
        </w:tabs>
        <w:numPr>
          <w:ilvl w:val="0"/>
          <w:numId w:val="16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83"/>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24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 Global Note (CUSIP</w:t>
            </w:r>
          </w:p>
        </w:tc>
        <w:tc>
          <w:tcPr>
            <w:tcW w:w="760" w:type="dxa"/>
            <w:vAlign w:val="bottom"/>
          </w:tcPr>
          <w:p>
            <w:pPr>
              <w:ind w:left="300"/>
              <w:spacing w:after="0"/>
              <w:rPr>
                <w:sz w:val="20"/>
                <w:szCs w:val="20"/>
                <w:color w:val="auto"/>
              </w:rPr>
            </w:pPr>
            <w:r>
              <w:rPr>
                <w:rFonts w:ascii="Arial" w:cs="Arial" w:eastAsia="Arial" w:hAnsi="Arial"/>
                <w:sz w:val="18"/>
                <w:szCs w:val="18"/>
                <w:color w:val="auto"/>
              </w:rPr>
              <w:t>), or</w:t>
            </w:r>
          </w:p>
        </w:tc>
        <w:tc>
          <w:tcPr>
            <w:tcW w:w="520" w:type="dxa"/>
            <w:vAlign w:val="bottom"/>
          </w:tcPr>
          <w:p>
            <w:pPr>
              <w:spacing w:after="0"/>
              <w:rPr>
                <w:sz w:val="24"/>
                <w:szCs w:val="24"/>
                <w:color w:val="auto"/>
              </w:rPr>
            </w:pPr>
          </w:p>
        </w:tc>
      </w:tr>
      <w:tr>
        <w:trPr>
          <w:trHeight w:val="338"/>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320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tc>
        <w:tc>
          <w:tcPr>
            <w:tcW w:w="520" w:type="dxa"/>
            <w:vAlign w:val="bottom"/>
          </w:tcPr>
          <w:p>
            <w:pPr>
              <w:ind w:left="220"/>
              <w:spacing w:after="0"/>
              <w:rPr>
                <w:sz w:val="20"/>
                <w:szCs w:val="20"/>
                <w:color w:val="auto"/>
              </w:rPr>
            </w:pPr>
            <w:r>
              <w:rPr>
                <w:rFonts w:ascii="Arial" w:cs="Arial" w:eastAsia="Arial" w:hAnsi="Arial"/>
                <w:sz w:val="18"/>
                <w:szCs w:val="18"/>
                <w:color w:val="auto"/>
                <w:w w:val="87"/>
              </w:rPr>
              <w:t>), or</w:t>
            </w:r>
          </w:p>
        </w:tc>
      </w:tr>
      <w:tr>
        <w:trPr>
          <w:trHeight w:val="338"/>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24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760" w:type="dxa"/>
            <w:vAlign w:val="bottom"/>
          </w:tcPr>
          <w:p>
            <w:pPr>
              <w:ind w:left="280"/>
              <w:spacing w:after="0"/>
              <w:rPr>
                <w:sz w:val="20"/>
                <w:szCs w:val="20"/>
                <w:color w:val="auto"/>
              </w:rPr>
            </w:pPr>
            <w:r>
              <w:rPr>
                <w:rFonts w:ascii="Arial" w:cs="Arial" w:eastAsia="Arial" w:hAnsi="Arial"/>
                <w:sz w:val="18"/>
                <w:szCs w:val="18"/>
                <w:color w:val="auto"/>
              </w:rPr>
              <w:t>), or</w:t>
            </w:r>
          </w:p>
        </w:tc>
        <w:tc>
          <w:tcPr>
            <w:tcW w:w="520" w:type="dxa"/>
            <w:vAlign w:val="bottom"/>
          </w:tcPr>
          <w:p>
            <w:pPr>
              <w:spacing w:after="0"/>
              <w:rPr>
                <w:sz w:val="24"/>
                <w:szCs w:val="24"/>
                <w:color w:val="auto"/>
              </w:rPr>
            </w:pPr>
          </w:p>
        </w:tc>
      </w:tr>
      <w:tr>
        <w:trPr>
          <w:trHeight w:val="338"/>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320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w:t>
            </w:r>
          </w:p>
        </w:tc>
        <w:tc>
          <w:tcPr>
            <w:tcW w:w="520" w:type="dxa"/>
            <w:vAlign w:val="bottom"/>
          </w:tcPr>
          <w:p>
            <w:pPr>
              <w:ind w:left="160"/>
              <w:spacing w:after="0"/>
              <w:rPr>
                <w:sz w:val="20"/>
                <w:szCs w:val="20"/>
                <w:color w:val="auto"/>
              </w:rPr>
            </w:pPr>
            <w:r>
              <w:rPr>
                <w:rFonts w:ascii="Arial" w:cs="Arial" w:eastAsia="Arial" w:hAnsi="Arial"/>
                <w:sz w:val="18"/>
                <w:szCs w:val="18"/>
                <w:color w:val="auto"/>
              </w:rPr>
              <w:t>); or</w:t>
            </w:r>
          </w:p>
        </w:tc>
      </w:tr>
    </w:tbl>
    <w:p>
      <w:pPr>
        <w:spacing w:after="0" w:line="55" w:lineRule="exact"/>
        <w:rPr>
          <w:sz w:val="20"/>
          <w:szCs w:val="20"/>
          <w:color w:val="auto"/>
        </w:rPr>
      </w:pPr>
    </w:p>
    <w:p>
      <w:pPr>
        <w:ind w:left="900" w:hanging="446"/>
        <w:spacing w:after="0" w:line="207" w:lineRule="exact"/>
        <w:tabs>
          <w:tab w:leader="none" w:pos="900" w:val="left"/>
        </w:tabs>
        <w:numPr>
          <w:ilvl w:val="0"/>
          <w:numId w:val="1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3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1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7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ORM OF</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E</w:t>
      </w:r>
      <w:r>
        <w:rPr>
          <w:rFonts w:ascii="Arial" w:cs="Arial" w:eastAsia="Arial" w:hAnsi="Arial"/>
          <w:sz w:val="15"/>
          <w:szCs w:val="15"/>
          <w:color w:val="auto"/>
        </w:rPr>
        <w:t>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Commerce Street,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Wally Jones</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10.25% Senior Notes due 2020</w:t>
      </w:r>
    </w:p>
    <w:p>
      <w:pPr>
        <w:spacing w:after="0" w:line="23" w:lineRule="exact"/>
        <w:rPr>
          <w:sz w:val="20"/>
          <w:szCs w:val="20"/>
          <w:color w:val="auto"/>
        </w:rPr>
      </w:pPr>
    </w:p>
    <w:p>
      <w:pPr>
        <w:ind w:left="900"/>
        <w:spacing w:after="0"/>
        <w:tabs>
          <w:tab w:leader="none" w:pos="204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Reference is hereby made to the Indenture, dated as of October 19, 2015 (the “</w:t>
      </w:r>
      <w:r>
        <w:rPr>
          <w:rFonts w:ascii="Arial" w:cs="Arial" w:eastAsia="Arial" w:hAnsi="Arial"/>
          <w:sz w:val="18"/>
          <w:szCs w:val="18"/>
          <w:i w:val="1"/>
          <w:iCs w:val="1"/>
          <w:color w:val="auto"/>
        </w:rPr>
        <w:t>Indenture</w:t>
      </w:r>
      <w:r>
        <w:rPr>
          <w:rFonts w:ascii="Arial" w:cs="Arial" w:eastAsia="Arial" w:hAnsi="Arial"/>
          <w:sz w:val="18"/>
          <w:szCs w:val="18"/>
          <w:color w:val="auto"/>
        </w:rPr>
        <w:t>”), among NN,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U.S. Bank National Association, as trustee. Capitalized terms used but not defined herein shall have the meanings given to them in the Indenture.</w:t>
      </w:r>
    </w:p>
    <w:p>
      <w:pPr>
        <w:sectPr>
          <w:pgSz w:w="11900" w:h="16838" w:orient="portrait"/>
          <w:cols w:equalWidth="0" w:num="1">
            <w:col w:w="11420"/>
          </w:cols>
          <w:pgMar w:left="240" w:top="270" w:right="239" w:bottom="1440" w:gutter="0" w:footer="0" w:header="0"/>
        </w:sectPr>
      </w:pPr>
    </w:p>
    <w:p>
      <w:pPr>
        <w:spacing w:after="0" w:line="181" w:lineRule="exact"/>
        <w:rPr>
          <w:sz w:val="20"/>
          <w:szCs w:val="20"/>
          <w:color w:val="auto"/>
        </w:rPr>
      </w:pPr>
    </w:p>
    <w:p>
      <w:pPr>
        <w:ind w:firstLine="1356"/>
        <w:spacing w:after="0" w:line="277" w:lineRule="auto"/>
        <w:rPr>
          <w:sz w:val="20"/>
          <w:szCs w:val="20"/>
          <w:color w:val="auto"/>
        </w:rPr>
      </w:pPr>
      <w:r>
        <w:rPr>
          <w:rFonts w:ascii="Arial" w:cs="Arial" w:eastAsia="Arial" w:hAnsi="Arial"/>
          <w:sz w:val="18"/>
          <w:szCs w:val="18"/>
          <w:color w:val="auto"/>
        </w:rPr>
        <w:t>, (the “</w:t>
      </w:r>
      <w:r>
        <w:rPr>
          <w:rFonts w:ascii="Arial" w:cs="Arial" w:eastAsia="Arial" w:hAnsi="Arial"/>
          <w:sz w:val="18"/>
          <w:szCs w:val="18"/>
          <w:i w:val="1"/>
          <w:iCs w:val="1"/>
          <w:color w:val="auto"/>
        </w:rPr>
        <w:t>Owner</w:t>
      </w:r>
      <w:r>
        <w:rPr>
          <w:rFonts w:ascii="Arial" w:cs="Arial" w:eastAsia="Arial" w:hAnsi="Arial"/>
          <w:sz w:val="18"/>
          <w:szCs w:val="18"/>
          <w:color w:val="auto"/>
        </w:rPr>
        <w:t>”) owns and proposes to exchange the Note[s] or interest in such Note[s] specified herein, in the principal amount of $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448" w:lineRule="exact"/>
        <w:rPr>
          <w:sz w:val="20"/>
          <w:szCs w:val="20"/>
          <w:color w:val="auto"/>
        </w:rPr>
      </w:pPr>
    </w:p>
    <w:p>
      <w:pPr>
        <w:sectPr>
          <w:pgSz w:w="11900" w:h="16838" w:orient="portrait"/>
          <w:cols w:equalWidth="0" w:num="2">
            <w:col w:w="10860" w:space="360"/>
            <w:col w:w="200"/>
          </w:cols>
          <w:pgMar w:left="240" w:top="270" w:right="239" w:bottom="1440" w:gutter="0" w:footer="0" w:header="0"/>
          <w:type w:val="continuous"/>
        </w:sectPr>
      </w:pPr>
    </w:p>
    <w:p>
      <w:pPr>
        <w:ind w:right="280" w:firstLine="464"/>
        <w:spacing w:after="0" w:line="282" w:lineRule="auto"/>
        <w:tabs>
          <w:tab w:leader="none" w:pos="636"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r>
        <w:rPr>
          <w:rFonts w:ascii="Arial" w:cs="Arial" w:eastAsia="Arial" w:hAnsi="Arial"/>
          <w:sz w:val="18"/>
          <w:szCs w:val="18"/>
          <w:b w:val="1"/>
          <w:bCs w:val="1"/>
          <w:color w:val="auto"/>
        </w:rPr>
        <w:t>.</w:t>
      </w:r>
    </w:p>
    <w:p>
      <w:pPr>
        <w:spacing w:after="0" w:line="133" w:lineRule="exact"/>
        <w:rPr>
          <w:sz w:val="20"/>
          <w:szCs w:val="20"/>
          <w:color w:val="auto"/>
        </w:rPr>
      </w:pPr>
    </w:p>
    <w:p>
      <w:pPr>
        <w:ind w:right="120" w:firstLine="464"/>
        <w:spacing w:after="0" w:line="223" w:lineRule="exact"/>
        <w:tabs>
          <w:tab w:leader="none" w:pos="701" w:val="left"/>
        </w:tabs>
        <w:numPr>
          <w:ilvl w:val="0"/>
          <w:numId w:val="16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2" w:lineRule="exact"/>
        <w:rPr>
          <w:rFonts w:ascii="Arial" w:cs="Arial" w:eastAsia="Arial" w:hAnsi="Arial"/>
          <w:sz w:val="17"/>
          <w:szCs w:val="17"/>
          <w:color w:val="auto"/>
        </w:rPr>
      </w:pPr>
    </w:p>
    <w:p>
      <w:pPr>
        <w:ind w:right="60" w:firstLine="464"/>
        <w:spacing w:after="0" w:line="224" w:lineRule="exact"/>
        <w:tabs>
          <w:tab w:leader="none" w:pos="711" w:val="left"/>
        </w:tabs>
        <w:numPr>
          <w:ilvl w:val="0"/>
          <w:numId w:val="1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Unrestricted Definitive Note</w:t>
      </w:r>
      <w:r>
        <w:rPr>
          <w:rFonts w:ascii="Arial" w:cs="Arial" w:eastAsia="Arial" w:hAnsi="Arial"/>
          <w:sz w:val="18"/>
          <w:szCs w:val="18"/>
          <w:color w:val="auto"/>
        </w:rPr>
        <w:t>. In connection with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2" w:lineRule="exact"/>
        <w:rPr>
          <w:rFonts w:ascii="Arial" w:cs="Arial" w:eastAsia="Arial" w:hAnsi="Arial"/>
          <w:sz w:val="18"/>
          <w:szCs w:val="18"/>
          <w:color w:val="auto"/>
        </w:rPr>
      </w:pPr>
    </w:p>
    <w:p>
      <w:pPr>
        <w:ind w:right="40" w:firstLine="464"/>
        <w:spacing w:after="0" w:line="224" w:lineRule="exact"/>
        <w:tabs>
          <w:tab w:leader="none" w:pos="701" w:val="left"/>
        </w:tabs>
        <w:numPr>
          <w:ilvl w:val="0"/>
          <w:numId w:val="16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 Owner’s</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type w:val="continuous"/>
        </w:sectPr>
      </w:pPr>
    </w:p>
    <w:bookmarkStart w:id="113" w:name="page114"/>
    <w:bookmarkEnd w:id="113"/>
    <w:p>
      <w:pPr>
        <w:ind w:right="80" w:firstLine="464"/>
        <w:spacing w:after="0" w:line="224" w:lineRule="exact"/>
        <w:tabs>
          <w:tab w:leader="none" w:pos="711" w:val="left"/>
        </w:tabs>
        <w:numPr>
          <w:ilvl w:val="0"/>
          <w:numId w:val="165"/>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1" w:lineRule="exact"/>
        <w:rPr>
          <w:sz w:val="20"/>
          <w:szCs w:val="20"/>
          <w:color w:val="auto"/>
        </w:rPr>
      </w:pPr>
    </w:p>
    <w:p>
      <w:pPr>
        <w:ind w:right="500" w:firstLine="464"/>
        <w:spacing w:after="0" w:line="282" w:lineRule="auto"/>
        <w:tabs>
          <w:tab w:leader="none" w:pos="636"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r>
        <w:rPr>
          <w:rFonts w:ascii="Arial" w:cs="Arial" w:eastAsia="Arial" w:hAnsi="Arial"/>
          <w:sz w:val="18"/>
          <w:szCs w:val="18"/>
          <w:color w:val="auto"/>
        </w:rPr>
        <w:t>.</w:t>
      </w:r>
    </w:p>
    <w:p>
      <w:pPr>
        <w:spacing w:after="0" w:line="133" w:lineRule="exact"/>
        <w:rPr>
          <w:sz w:val="20"/>
          <w:szCs w:val="20"/>
          <w:color w:val="auto"/>
        </w:rPr>
      </w:pPr>
    </w:p>
    <w:p>
      <w:pPr>
        <w:ind w:right="40" w:firstLine="464"/>
        <w:spacing w:after="0" w:line="225" w:lineRule="exact"/>
        <w:tabs>
          <w:tab w:leader="none" w:pos="701" w:val="left"/>
        </w:tabs>
        <w:numPr>
          <w:ilvl w:val="1"/>
          <w:numId w:val="16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Restricted Definitive Note. </w:t>
      </w:r>
      <w:r>
        <w:rPr>
          <w:rFonts w:ascii="Arial" w:cs="Arial" w:eastAsia="Arial" w:hAnsi="Arial"/>
          <w:sz w:val="17"/>
          <w:szCs w:val="17"/>
          <w:color w:val="auto"/>
        </w:rPr>
        <w:t>In connection with the Exchange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2" w:lineRule="exact"/>
        <w:rPr>
          <w:rFonts w:ascii="Arial" w:cs="Arial" w:eastAsia="Arial" w:hAnsi="Arial"/>
          <w:sz w:val="17"/>
          <w:szCs w:val="17"/>
          <w:color w:val="auto"/>
        </w:rPr>
      </w:pPr>
    </w:p>
    <w:p>
      <w:pPr>
        <w:jc w:val="both"/>
        <w:ind w:firstLine="464"/>
        <w:spacing w:after="0" w:line="232" w:lineRule="exact"/>
        <w:tabs>
          <w:tab w:leader="none" w:pos="711" w:val="left"/>
        </w:tabs>
        <w:numPr>
          <w:ilvl w:val="1"/>
          <w:numId w:val="16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 Exchange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w:t>
      </w:r>
    </w:p>
    <w:p>
      <w:pPr>
        <w:ind w:right="40" w:firstLine="8"/>
        <w:spacing w:after="0" w:line="273" w:lineRule="auto"/>
        <w:tabs>
          <w:tab w:leader="none" w:pos="26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3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41"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ORM OF</w:t>
      </w:r>
      <w:r>
        <w:rPr>
          <w:rFonts w:ascii="Arial" w:cs="Arial" w:eastAsia="Arial" w:hAnsi="Arial"/>
          <w:sz w:val="18"/>
          <w:szCs w:val="18"/>
          <w:color w:val="auto"/>
        </w:rPr>
        <w:t xml:space="preserve"> C</w:t>
      </w:r>
      <w:r>
        <w:rPr>
          <w:rFonts w:ascii="Arial" w:cs="Arial" w:eastAsia="Arial" w:hAnsi="Arial"/>
          <w:sz w:val="15"/>
          <w:szCs w:val="15"/>
          <w:color w:val="auto"/>
        </w:rPr>
        <w:t>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CQUIRING</w:t>
      </w:r>
      <w:r>
        <w:rPr>
          <w:rFonts w:ascii="Arial" w:cs="Arial" w:eastAsia="Arial" w:hAnsi="Arial"/>
          <w:sz w:val="18"/>
          <w:szCs w:val="18"/>
          <w:color w:val="auto"/>
        </w:rPr>
        <w:t xml:space="preserve"> I</w:t>
      </w:r>
      <w:r>
        <w:rPr>
          <w:rFonts w:ascii="Arial" w:cs="Arial" w:eastAsia="Arial" w:hAnsi="Arial"/>
          <w:sz w:val="15"/>
          <w:szCs w:val="15"/>
          <w:color w:val="auto"/>
        </w:rPr>
        <w:t>NSTITUTIONAL</w:t>
      </w:r>
      <w:r>
        <w:rPr>
          <w:rFonts w:ascii="Arial" w:cs="Arial" w:eastAsia="Arial" w:hAnsi="Arial"/>
          <w:sz w:val="18"/>
          <w:szCs w:val="18"/>
          <w:color w:val="auto"/>
        </w:rPr>
        <w:t xml:space="preserve"> A</w:t>
      </w:r>
      <w:r>
        <w:rPr>
          <w:rFonts w:ascii="Arial" w:cs="Arial" w:eastAsia="Arial" w:hAnsi="Arial"/>
          <w:sz w:val="15"/>
          <w:szCs w:val="15"/>
          <w:color w:val="auto"/>
        </w:rPr>
        <w:t>CCREDITED</w:t>
      </w:r>
      <w:r>
        <w:rPr>
          <w:rFonts w:ascii="Arial" w:cs="Arial" w:eastAsia="Arial" w:hAnsi="Arial"/>
          <w:sz w:val="18"/>
          <w:szCs w:val="18"/>
          <w:color w:val="auto"/>
        </w:rPr>
        <w:t xml:space="preserve"> I</w:t>
      </w:r>
      <w:r>
        <w:rPr>
          <w:rFonts w:ascii="Arial" w:cs="Arial" w:eastAsia="Arial" w:hAnsi="Arial"/>
          <w:sz w:val="15"/>
          <w:szCs w:val="15"/>
          <w:color w:val="auto"/>
        </w:rPr>
        <w:t>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Commerce Street,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Wally Jones</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10.25% Senior Notes due 2020</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Reference is hereby made to the Indenture, dated as of October 19, 2015 (the “</w:t>
      </w:r>
      <w:r>
        <w:rPr>
          <w:rFonts w:ascii="Arial" w:cs="Arial" w:eastAsia="Arial" w:hAnsi="Arial"/>
          <w:sz w:val="18"/>
          <w:szCs w:val="18"/>
          <w:i w:val="1"/>
          <w:iCs w:val="1"/>
          <w:color w:val="auto"/>
        </w:rPr>
        <w:t>Indenture</w:t>
      </w:r>
      <w:r>
        <w:rPr>
          <w:rFonts w:ascii="Arial" w:cs="Arial" w:eastAsia="Arial" w:hAnsi="Arial"/>
          <w:sz w:val="18"/>
          <w:szCs w:val="18"/>
          <w:color w:val="auto"/>
        </w:rPr>
        <w:t>”), among NN, Inc.,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U.S. Bank National Association, as trustee. Capitalized terms used but not defined herein shall have the meanings given to them in the Indenture.</w:t>
      </w:r>
    </w:p>
    <w:p>
      <w:pPr>
        <w:spacing w:after="0" w:line="181" w:lineRule="exact"/>
        <w:rPr>
          <w:sz w:val="20"/>
          <w:szCs w:val="20"/>
          <w:color w:val="auto"/>
        </w:rPr>
      </w:pPr>
    </w:p>
    <w:p>
      <w:pPr>
        <w:ind w:left="460"/>
        <w:spacing w:after="0"/>
        <w:tabs>
          <w:tab w:leader="none" w:pos="416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220" w:lineRule="exact"/>
        <w:rPr>
          <w:sz w:val="20"/>
          <w:szCs w:val="20"/>
          <w:color w:val="auto"/>
        </w:rPr>
      </w:pPr>
    </w:p>
    <w:p>
      <w:pPr>
        <w:ind w:left="900" w:hanging="446"/>
        <w:spacing w:after="0" w:line="207" w:lineRule="exact"/>
        <w:tabs>
          <w:tab w:leader="none" w:pos="900" w:val="left"/>
        </w:tabs>
        <w:numPr>
          <w:ilvl w:val="0"/>
          <w:numId w:val="16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13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16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3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confirm that:</w:t>
      </w:r>
    </w:p>
    <w:p>
      <w:pPr>
        <w:spacing w:after="0" w:line="117" w:lineRule="exact"/>
        <w:rPr>
          <w:sz w:val="20"/>
          <w:szCs w:val="20"/>
          <w:color w:val="auto"/>
        </w:rPr>
      </w:pPr>
    </w:p>
    <w:p>
      <w:pPr>
        <w:ind w:right="340" w:firstLine="464"/>
        <w:spacing w:after="0" w:line="264" w:lineRule="auto"/>
        <w:tabs>
          <w:tab w:leader="none" w:pos="6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464"/>
        <w:spacing w:after="0" w:line="269" w:lineRule="auto"/>
        <w:tabs>
          <w:tab w:leader="none" w:pos="63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2" w:lineRule="exact"/>
        <w:rPr>
          <w:rFonts w:ascii="Arial" w:cs="Arial" w:eastAsia="Arial" w:hAnsi="Arial"/>
          <w:sz w:val="17"/>
          <w:szCs w:val="17"/>
          <w:color w:val="auto"/>
        </w:rPr>
      </w:pPr>
    </w:p>
    <w:p>
      <w:pPr>
        <w:ind w:right="240" w:firstLine="464"/>
        <w:spacing w:after="0" w:line="286" w:lineRule="auto"/>
        <w:tabs>
          <w:tab w:leader="none" w:pos="63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0" w:right="239" w:bottom="1440" w:gutter="0" w:footer="0" w:header="0"/>
        </w:sectPr>
      </w:pPr>
    </w:p>
    <w:bookmarkStart w:id="115" w:name="page116"/>
    <w:bookmarkEnd w:id="115"/>
    <w:p>
      <w:pPr>
        <w:ind w:firstLine="464"/>
        <w:spacing w:after="0" w:line="264" w:lineRule="auto"/>
        <w:tabs>
          <w:tab w:leader="none" w:pos="6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1" w:lineRule="exact"/>
        <w:rPr>
          <w:rFonts w:ascii="Arial" w:cs="Arial" w:eastAsia="Arial" w:hAnsi="Arial"/>
          <w:sz w:val="18"/>
          <w:szCs w:val="18"/>
          <w:color w:val="auto"/>
        </w:rPr>
      </w:pPr>
    </w:p>
    <w:p>
      <w:pPr>
        <w:ind w:right="500" w:firstLine="464"/>
        <w:spacing w:after="0" w:line="277" w:lineRule="auto"/>
        <w:tabs>
          <w:tab w:leader="none" w:pos="6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74" w:right="2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ORM OF</w:t>
      </w:r>
      <w:r>
        <w:rPr>
          <w:rFonts w:ascii="Arial" w:cs="Arial" w:eastAsia="Arial" w:hAnsi="Arial"/>
          <w:sz w:val="18"/>
          <w:szCs w:val="18"/>
          <w:color w:val="auto"/>
        </w:rPr>
        <w:t xml:space="preserve"> N</w:t>
      </w:r>
      <w:r>
        <w:rPr>
          <w:rFonts w:ascii="Arial" w:cs="Arial" w:eastAsia="Arial" w:hAnsi="Arial"/>
          <w:sz w:val="15"/>
          <w:szCs w:val="15"/>
          <w:color w:val="auto"/>
        </w:rPr>
        <w:t>OTATION OF</w:t>
      </w:r>
      <w:r>
        <w:rPr>
          <w:rFonts w:ascii="Arial" w:cs="Arial" w:eastAsia="Arial" w:hAnsi="Arial"/>
          <w:sz w:val="18"/>
          <w:szCs w:val="18"/>
          <w:color w:val="auto"/>
        </w:rPr>
        <w:t xml:space="preserve"> G</w:t>
      </w:r>
      <w:r>
        <w:rPr>
          <w:rFonts w:ascii="Arial" w:cs="Arial" w:eastAsia="Arial" w:hAnsi="Arial"/>
          <w:sz w:val="15"/>
          <w:szCs w:val="15"/>
          <w:color w:val="auto"/>
        </w:rPr>
        <w:t>UARANTEE</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 value received, each Guarantor (which term includes any successor Person under the Indenture) has, jointly and severally, unconditionally guaranteed, to the extent set forth in the Indenture and subject to the provisions in the Indenture dated as of October 19, 2015 (the “</w:t>
      </w:r>
      <w:r>
        <w:rPr>
          <w:rFonts w:ascii="Arial" w:cs="Arial" w:eastAsia="Arial" w:hAnsi="Arial"/>
          <w:sz w:val="17"/>
          <w:szCs w:val="17"/>
          <w:i w:val="1"/>
          <w:iCs w:val="1"/>
          <w:color w:val="auto"/>
        </w:rPr>
        <w:t>Indenture</w:t>
      </w:r>
      <w:r>
        <w:rPr>
          <w:rFonts w:ascii="Arial" w:cs="Arial" w:eastAsia="Arial" w:hAnsi="Arial"/>
          <w:sz w:val="17"/>
          <w:szCs w:val="17"/>
          <w:color w:val="auto"/>
        </w:rPr>
        <w:t>”) among NN, Inc. (the “</w:t>
      </w:r>
      <w:r>
        <w:rPr>
          <w:rFonts w:ascii="Arial" w:cs="Arial" w:eastAsia="Arial" w:hAnsi="Arial"/>
          <w:sz w:val="17"/>
          <w:szCs w:val="17"/>
          <w:i w:val="1"/>
          <w:iCs w:val="1"/>
          <w:color w:val="auto"/>
        </w:rPr>
        <w:t>Company</w:t>
      </w:r>
      <w:r>
        <w:rPr>
          <w:rFonts w:ascii="Arial" w:cs="Arial" w:eastAsia="Arial" w:hAnsi="Arial"/>
          <w:sz w:val="17"/>
          <w:szCs w:val="17"/>
          <w:color w:val="auto"/>
        </w:rPr>
        <w:t>”), the Guarantors party thereto and U.S. Bank National Association, as trustee (the “</w:t>
      </w:r>
      <w:r>
        <w:rPr>
          <w:rFonts w:ascii="Arial" w:cs="Arial" w:eastAsia="Arial" w:hAnsi="Arial"/>
          <w:sz w:val="17"/>
          <w:szCs w:val="17"/>
          <w:i w:val="1"/>
          <w:iCs w:val="1"/>
          <w:color w:val="auto"/>
        </w:rPr>
        <w:t>Trustee</w:t>
      </w:r>
      <w:r>
        <w:rPr>
          <w:rFonts w:ascii="Arial" w:cs="Arial" w:eastAsia="Arial" w:hAnsi="Arial"/>
          <w:sz w:val="17"/>
          <w:szCs w:val="17"/>
          <w:color w:val="auto"/>
        </w:rPr>
        <w:t>”), (a) the due and punctual payment of the principal of, premium, if any, and Additional Interest, if any, and interest on, the Notes, whether at maturity, by acceleration, redemption or otherwise, the due and punctual payment of interest on overdue principal of and interest on the Notes, if any, if lawful, and the due and punctual performance of all other obligations of the Company to the Holders or the Trustee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have the meanings given to them in the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AME OF</w:t>
      </w:r>
      <w:r>
        <w:rPr>
          <w:rFonts w:ascii="Arial" w:cs="Arial" w:eastAsia="Arial" w:hAnsi="Arial"/>
          <w:sz w:val="18"/>
          <w:szCs w:val="18"/>
          <w:color w:val="auto"/>
        </w:rPr>
        <w:t xml:space="preserve"> G</w:t>
      </w:r>
      <w:r>
        <w:rPr>
          <w:rFonts w:ascii="Arial" w:cs="Arial" w:eastAsia="Arial" w:hAnsi="Arial"/>
          <w:sz w:val="15"/>
          <w:szCs w:val="15"/>
          <w:color w:val="auto"/>
        </w:rPr>
        <w:t>UARANTOR</w:t>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ORM OF</w:t>
      </w:r>
      <w:r>
        <w:rPr>
          <w:rFonts w:ascii="Arial" w:cs="Arial" w:eastAsia="Arial" w:hAnsi="Arial"/>
          <w:sz w:val="18"/>
          <w:szCs w:val="18"/>
          <w:color w:val="auto"/>
        </w:rPr>
        <w:t xml:space="preserve"> S</w:t>
      </w:r>
      <w:r>
        <w:rPr>
          <w:rFonts w:ascii="Arial" w:cs="Arial" w:eastAsia="Arial" w:hAnsi="Arial"/>
          <w:sz w:val="15"/>
          <w:szCs w:val="15"/>
          <w:color w:val="auto"/>
        </w:rPr>
        <w:t>UPPLEMENTAL</w:t>
      </w:r>
      <w:r>
        <w:rPr>
          <w:rFonts w:ascii="Arial" w:cs="Arial" w:eastAsia="Arial" w:hAnsi="Arial"/>
          <w:sz w:val="18"/>
          <w:szCs w:val="18"/>
          <w:color w:val="auto"/>
        </w:rPr>
        <w:t xml:space="preserve"> I</w:t>
      </w:r>
      <w:r>
        <w:rPr>
          <w:rFonts w:ascii="Arial" w:cs="Arial" w:eastAsia="Arial" w:hAnsi="Arial"/>
          <w:sz w:val="15"/>
          <w:szCs w:val="15"/>
          <w:color w:val="auto"/>
        </w:rPr>
        <w:t>NDENTURE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DELIVERED BY SUBSEQUENT GUARANTORS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UPPLEMENTAL</w:t>
      </w:r>
      <w:r>
        <w:rPr>
          <w:rFonts w:ascii="Arial" w:cs="Arial" w:eastAsia="Arial" w:hAnsi="Arial"/>
          <w:sz w:val="17"/>
          <w:szCs w:val="17"/>
          <w:color w:val="auto"/>
        </w:rPr>
        <w:t xml:space="preserve"> I</w:t>
      </w:r>
      <w:r>
        <w:rPr>
          <w:rFonts w:ascii="Arial" w:cs="Arial" w:eastAsia="Arial" w:hAnsi="Arial"/>
          <w:sz w:val="14"/>
          <w:szCs w:val="14"/>
          <w:color w:val="auto"/>
        </w:rPr>
        <w:t>NDENTURE</w:t>
      </w:r>
      <w:r>
        <w:rPr>
          <w:rFonts w:ascii="Arial" w:cs="Arial" w:eastAsia="Arial" w:hAnsi="Arial"/>
          <w:sz w:val="17"/>
          <w:szCs w:val="17"/>
          <w:color w:val="auto"/>
        </w:rPr>
        <w:t xml:space="preserv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 20 , among the entities listed on the signature pages hereto (each, a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and collectively, the “</w:t>
      </w:r>
      <w:r>
        <w:rPr>
          <w:rFonts w:ascii="Arial" w:cs="Arial" w:eastAsia="Arial" w:hAnsi="Arial"/>
          <w:sz w:val="17"/>
          <w:szCs w:val="17"/>
          <w:i w:val="1"/>
          <w:iCs w:val="1"/>
          <w:color w:val="auto"/>
        </w:rPr>
        <w:t>Guaranteeing Subsidiaries</w:t>
      </w:r>
      <w:r>
        <w:rPr>
          <w:rFonts w:ascii="Arial" w:cs="Arial" w:eastAsia="Arial" w:hAnsi="Arial"/>
          <w:sz w:val="17"/>
          <w:szCs w:val="17"/>
          <w:color w:val="auto"/>
        </w:rPr>
        <w:t>”), each a subsidiary of NN, Inc. (or its permitted successor),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Company and U.S. Bank National Association,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19, 2015 providing for the issuance of 10.25% Senior Notes due 2020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each Guaranteeing Subsidiary and the Trustee mutually covenant and agree for the equal and ratable benefit of the Holders as follows:</w:t>
      </w:r>
    </w:p>
    <w:p>
      <w:pPr>
        <w:spacing w:after="0" w:line="124" w:lineRule="exact"/>
        <w:rPr>
          <w:sz w:val="20"/>
          <w:szCs w:val="20"/>
          <w:color w:val="auto"/>
        </w:rPr>
      </w:pPr>
    </w:p>
    <w:p>
      <w:pPr>
        <w:ind w:left="640" w:hanging="17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APITALIZED</w:t>
      </w:r>
      <w:r>
        <w:rPr>
          <w:rFonts w:ascii="Arial" w:cs="Arial" w:eastAsia="Arial" w:hAnsi="Arial"/>
          <w:sz w:val="18"/>
          <w:szCs w:val="18"/>
          <w:color w:val="auto"/>
        </w:rPr>
        <w:t xml:space="preserve"> T</w:t>
      </w:r>
      <w:r>
        <w:rPr>
          <w:rFonts w:ascii="Arial" w:cs="Arial" w:eastAsia="Arial" w:hAnsi="Arial"/>
          <w:sz w:val="15"/>
          <w:szCs w:val="15"/>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right="220" w:firstLine="464"/>
        <w:spacing w:after="0" w:line="264" w:lineRule="auto"/>
        <w:tabs>
          <w:tab w:leader="none" w:pos="6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GREEMENT TO</w:t>
      </w:r>
      <w:r>
        <w:rPr>
          <w:rFonts w:ascii="Arial" w:cs="Arial" w:eastAsia="Arial" w:hAnsi="Arial"/>
          <w:sz w:val="18"/>
          <w:szCs w:val="18"/>
          <w:color w:val="auto"/>
        </w:rPr>
        <w:t xml:space="preserve"> G</w:t>
      </w:r>
      <w:r>
        <w:rPr>
          <w:rFonts w:ascii="Arial" w:cs="Arial" w:eastAsia="Arial" w:hAnsi="Arial"/>
          <w:sz w:val="15"/>
          <w:szCs w:val="15"/>
          <w:color w:val="auto"/>
        </w:rPr>
        <w:t>UARANTEE</w:t>
      </w:r>
      <w:r>
        <w:rPr>
          <w:rFonts w:ascii="Arial" w:cs="Arial" w:eastAsia="Arial" w:hAnsi="Arial"/>
          <w:sz w:val="18"/>
          <w:szCs w:val="18"/>
          <w:color w:val="auto"/>
        </w:rPr>
        <w:t>. Each Guaranteeing Subsidiary hereby agrees to provide an unconditional Guarantee on the terms and subject to the conditions set forth in the Note Guarantee and in the Indenture including but not limited to Article 11 thereof, and a notation of such Note Guarantee in the Form of Exhibit E to the Indenture.</w:t>
      </w:r>
    </w:p>
    <w:p>
      <w:pPr>
        <w:spacing w:after="0" w:line="181" w:lineRule="exact"/>
        <w:rPr>
          <w:rFonts w:ascii="Arial" w:cs="Arial" w:eastAsia="Arial" w:hAnsi="Arial"/>
          <w:sz w:val="18"/>
          <w:szCs w:val="18"/>
          <w:color w:val="auto"/>
        </w:rPr>
      </w:pPr>
    </w:p>
    <w:p>
      <w:pPr>
        <w:ind w:right="40" w:firstLine="464"/>
        <w:spacing w:after="0" w:line="297" w:lineRule="auto"/>
        <w:tabs>
          <w:tab w:leader="none" w:pos="63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w:t>
      </w:r>
      <w:r>
        <w:rPr>
          <w:rFonts w:ascii="Arial" w:cs="Arial" w:eastAsia="Arial" w:hAnsi="Arial"/>
          <w:sz w:val="13"/>
          <w:szCs w:val="13"/>
          <w:color w:val="auto"/>
        </w:rPr>
        <w:t>O</w:t>
      </w:r>
      <w:r>
        <w:rPr>
          <w:rFonts w:ascii="Arial" w:cs="Arial" w:eastAsia="Arial" w:hAnsi="Arial"/>
          <w:sz w:val="16"/>
          <w:szCs w:val="16"/>
          <w:color w:val="auto"/>
        </w:rPr>
        <w:t xml:space="preserve"> R</w:t>
      </w:r>
      <w:r>
        <w:rPr>
          <w:rFonts w:ascii="Arial" w:cs="Arial" w:eastAsia="Arial" w:hAnsi="Arial"/>
          <w:sz w:val="13"/>
          <w:szCs w:val="13"/>
          <w:color w:val="auto"/>
        </w:rPr>
        <w:t>ECOURSE</w:t>
      </w:r>
      <w:r>
        <w:rPr>
          <w:rFonts w:ascii="Arial" w:cs="Arial" w:eastAsia="Arial" w:hAnsi="Arial"/>
          <w:sz w:val="16"/>
          <w:szCs w:val="16"/>
          <w:color w:val="auto"/>
        </w:rPr>
        <w:t xml:space="preserve"> A</w:t>
      </w:r>
      <w:r>
        <w:rPr>
          <w:rFonts w:ascii="Arial" w:cs="Arial" w:eastAsia="Arial" w:hAnsi="Arial"/>
          <w:sz w:val="13"/>
          <w:szCs w:val="13"/>
          <w:color w:val="auto"/>
        </w:rPr>
        <w:t>GAINST</w:t>
      </w:r>
      <w:r>
        <w:rPr>
          <w:rFonts w:ascii="Arial" w:cs="Arial" w:eastAsia="Arial" w:hAnsi="Arial"/>
          <w:sz w:val="16"/>
          <w:szCs w:val="16"/>
          <w:color w:val="auto"/>
        </w:rPr>
        <w:t xml:space="preserve"> O</w:t>
      </w:r>
      <w:r>
        <w:rPr>
          <w:rFonts w:ascii="Arial" w:cs="Arial" w:eastAsia="Arial" w:hAnsi="Arial"/>
          <w:sz w:val="13"/>
          <w:szCs w:val="13"/>
          <w:color w:val="auto"/>
        </w:rPr>
        <w:t>THERS</w:t>
      </w:r>
      <w:r>
        <w:rPr>
          <w:rFonts w:ascii="Arial" w:cs="Arial" w:eastAsia="Arial" w:hAnsi="Arial"/>
          <w:sz w:val="16"/>
          <w:szCs w:val="16"/>
          <w:color w:val="auto"/>
        </w:rPr>
        <w:t>. No past, present or future director, officer, employee, incorporator, shareholder or agent of any Guaranteeing Subsidiary, as such, shall have any liability for any obligations of the Company or any Guaranteeing Subsidiary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58" w:lineRule="exact"/>
        <w:rPr>
          <w:rFonts w:ascii="Arial" w:cs="Arial" w:eastAsia="Arial" w:hAnsi="Arial"/>
          <w:sz w:val="16"/>
          <w:szCs w:val="16"/>
          <w:color w:val="auto"/>
        </w:rPr>
      </w:pPr>
    </w:p>
    <w:p>
      <w:pPr>
        <w:ind w:right="20" w:firstLine="464"/>
        <w:spacing w:after="0" w:line="264" w:lineRule="auto"/>
        <w:tabs>
          <w:tab w:leader="none" w:pos="6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220" w:firstLine="464"/>
        <w:spacing w:after="0" w:line="277" w:lineRule="auto"/>
        <w:tabs>
          <w:tab w:leader="none" w:pos="6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0" w:right="239" w:bottom="1440" w:gutter="0" w:footer="0" w:header="0"/>
        </w:sectPr>
      </w:pPr>
    </w:p>
    <w:bookmarkStart w:id="118" w:name="page119"/>
    <w:bookmarkEnd w:id="118"/>
    <w:p>
      <w:pPr>
        <w:ind w:left="640" w:hanging="17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color w:val="auto"/>
        </w:rPr>
        <w:t>FFECT OF</w:t>
      </w:r>
      <w:r>
        <w:rPr>
          <w:rFonts w:ascii="Arial" w:cs="Arial" w:eastAsia="Arial" w:hAnsi="Arial"/>
          <w:sz w:val="18"/>
          <w:szCs w:val="18"/>
          <w:color w:val="auto"/>
        </w:rPr>
        <w:t xml:space="preserve"> H</w:t>
      </w:r>
      <w:r>
        <w:rPr>
          <w:rFonts w:ascii="Arial" w:cs="Arial" w:eastAsia="Arial" w:hAnsi="Arial"/>
          <w:sz w:val="15"/>
          <w:szCs w:val="15"/>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the Note Guarantee of each Guaranteeing Subsidiary, or for or in respect of the recitals contained herein, all of which recitals are made solely by each Guaranteeing Subsidiary and the Company.</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[GUARANTEEING SUBSIDIARY]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Title: Senior Vice President - Chief Financial Officer</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U.S. BANK NATIONAL ASSOCIATION, </w:t>
      </w:r>
      <w:r>
        <w:rPr>
          <w:rFonts w:ascii="Arial" w:cs="Arial" w:eastAsia="Arial" w:hAnsi="Arial"/>
          <w:sz w:val="18"/>
          <w:szCs w:val="18"/>
          <w:color w:val="auto"/>
        </w:rPr>
        <w:t>as Trustee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27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UPPLEMENTAL</w:t>
      </w:r>
      <w:r>
        <w:rPr>
          <w:rFonts w:ascii="Arial" w:cs="Arial" w:eastAsia="Arial" w:hAnsi="Arial"/>
          <w:sz w:val="18"/>
          <w:szCs w:val="18"/>
          <w:color w:val="auto"/>
        </w:rPr>
        <w:t xml:space="preserve"> I</w:t>
      </w:r>
      <w:r>
        <w:rPr>
          <w:rFonts w:ascii="Arial" w:cs="Arial" w:eastAsia="Arial" w:hAnsi="Arial"/>
          <w:sz w:val="15"/>
          <w:szCs w:val="15"/>
          <w:color w:val="auto"/>
        </w:rPr>
        <w:t>NDENTURE</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UPPLEMENTAL</w:t>
      </w:r>
      <w:r>
        <w:rPr>
          <w:rFonts w:ascii="Arial" w:cs="Arial" w:eastAsia="Arial" w:hAnsi="Arial"/>
          <w:sz w:val="16"/>
          <w:szCs w:val="16"/>
          <w:color w:val="auto"/>
        </w:rPr>
        <w:t xml:space="preserve"> I</w:t>
      </w:r>
      <w:r>
        <w:rPr>
          <w:rFonts w:ascii="Arial" w:cs="Arial" w:eastAsia="Arial" w:hAnsi="Arial"/>
          <w:sz w:val="13"/>
          <w:szCs w:val="13"/>
          <w:color w:val="auto"/>
        </w:rPr>
        <w:t>NDENTURE</w:t>
      </w:r>
      <w:r>
        <w:rPr>
          <w:rFonts w:ascii="Arial" w:cs="Arial" w:eastAsia="Arial" w:hAnsi="Arial"/>
          <w:sz w:val="16"/>
          <w:szCs w:val="16"/>
          <w:color w:val="auto"/>
        </w:rPr>
        <w:t xml:space="preserv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October 19, 2015, among the entities listed on the signature pages hereto (each, a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and collectively, the “</w:t>
      </w:r>
      <w:r>
        <w:rPr>
          <w:rFonts w:ascii="Arial" w:cs="Arial" w:eastAsia="Arial" w:hAnsi="Arial"/>
          <w:sz w:val="16"/>
          <w:szCs w:val="16"/>
          <w:i w:val="1"/>
          <w:iCs w:val="1"/>
          <w:color w:val="auto"/>
        </w:rPr>
        <w:t>Guaranteeing Subsidiaries</w:t>
      </w:r>
      <w:r>
        <w:rPr>
          <w:rFonts w:ascii="Arial" w:cs="Arial" w:eastAsia="Arial" w:hAnsi="Arial"/>
          <w:sz w:val="16"/>
          <w:szCs w:val="16"/>
          <w:color w:val="auto"/>
        </w:rPr>
        <w:t>”), each a subsidiary of NN, Inc. (or its permitted successor),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the Company and U.S. Bank National Association,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19, 2015 providing for the issuance of 10.25% Senior Notes due 2020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each Guaranteeing Subsidiary and the Trustee mutually covenant and agree for the equal and ratable benefit of the Holders as follows:</w:t>
      </w:r>
    </w:p>
    <w:p>
      <w:pPr>
        <w:spacing w:after="0" w:line="124" w:lineRule="exact"/>
        <w:rPr>
          <w:sz w:val="20"/>
          <w:szCs w:val="20"/>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APITALIZED</w:t>
      </w:r>
      <w:r>
        <w:rPr>
          <w:rFonts w:ascii="Arial" w:cs="Arial" w:eastAsia="Arial" w:hAnsi="Arial"/>
          <w:sz w:val="18"/>
          <w:szCs w:val="18"/>
          <w:color w:val="auto"/>
        </w:rPr>
        <w:t xml:space="preserve"> T</w:t>
      </w:r>
      <w:r>
        <w:rPr>
          <w:rFonts w:ascii="Arial" w:cs="Arial" w:eastAsia="Arial" w:hAnsi="Arial"/>
          <w:sz w:val="15"/>
          <w:szCs w:val="15"/>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right="220" w:firstLine="464"/>
        <w:spacing w:after="0" w:line="264" w:lineRule="auto"/>
        <w:tabs>
          <w:tab w:leader="none" w:pos="6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GREEMENT TO</w:t>
      </w:r>
      <w:r>
        <w:rPr>
          <w:rFonts w:ascii="Arial" w:cs="Arial" w:eastAsia="Arial" w:hAnsi="Arial"/>
          <w:sz w:val="18"/>
          <w:szCs w:val="18"/>
          <w:color w:val="auto"/>
        </w:rPr>
        <w:t xml:space="preserve"> G</w:t>
      </w:r>
      <w:r>
        <w:rPr>
          <w:rFonts w:ascii="Arial" w:cs="Arial" w:eastAsia="Arial" w:hAnsi="Arial"/>
          <w:sz w:val="15"/>
          <w:szCs w:val="15"/>
          <w:color w:val="auto"/>
        </w:rPr>
        <w:t>UARANTEE</w:t>
      </w:r>
      <w:r>
        <w:rPr>
          <w:rFonts w:ascii="Arial" w:cs="Arial" w:eastAsia="Arial" w:hAnsi="Arial"/>
          <w:sz w:val="18"/>
          <w:szCs w:val="18"/>
          <w:color w:val="auto"/>
        </w:rPr>
        <w:t>. Each Guaranteeing Subsidiary hereby agrees to provide an unconditional Guarantee on the terms and subject to the conditions set forth in the Note Guarantee and in the Indenture including but not limited to Article 11 thereof, and a notation of such Note Guarantee in the Form of Exhibit E to the Indenture.</w:t>
      </w:r>
    </w:p>
    <w:p>
      <w:pPr>
        <w:spacing w:after="0" w:line="181" w:lineRule="exact"/>
        <w:rPr>
          <w:rFonts w:ascii="Arial" w:cs="Arial" w:eastAsia="Arial" w:hAnsi="Arial"/>
          <w:sz w:val="18"/>
          <w:szCs w:val="18"/>
          <w:color w:val="auto"/>
        </w:rPr>
      </w:pPr>
    </w:p>
    <w:p>
      <w:pPr>
        <w:ind w:right="40" w:firstLine="464"/>
        <w:spacing w:after="0" w:line="297" w:lineRule="auto"/>
        <w:tabs>
          <w:tab w:leader="none" w:pos="63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w:t>
      </w:r>
      <w:r>
        <w:rPr>
          <w:rFonts w:ascii="Arial" w:cs="Arial" w:eastAsia="Arial" w:hAnsi="Arial"/>
          <w:sz w:val="13"/>
          <w:szCs w:val="13"/>
          <w:color w:val="auto"/>
        </w:rPr>
        <w:t>O</w:t>
      </w:r>
      <w:r>
        <w:rPr>
          <w:rFonts w:ascii="Arial" w:cs="Arial" w:eastAsia="Arial" w:hAnsi="Arial"/>
          <w:sz w:val="16"/>
          <w:szCs w:val="16"/>
          <w:color w:val="auto"/>
        </w:rPr>
        <w:t xml:space="preserve"> R</w:t>
      </w:r>
      <w:r>
        <w:rPr>
          <w:rFonts w:ascii="Arial" w:cs="Arial" w:eastAsia="Arial" w:hAnsi="Arial"/>
          <w:sz w:val="13"/>
          <w:szCs w:val="13"/>
          <w:color w:val="auto"/>
        </w:rPr>
        <w:t>ECOURSE</w:t>
      </w:r>
      <w:r>
        <w:rPr>
          <w:rFonts w:ascii="Arial" w:cs="Arial" w:eastAsia="Arial" w:hAnsi="Arial"/>
          <w:sz w:val="16"/>
          <w:szCs w:val="16"/>
          <w:color w:val="auto"/>
        </w:rPr>
        <w:t xml:space="preserve"> A</w:t>
      </w:r>
      <w:r>
        <w:rPr>
          <w:rFonts w:ascii="Arial" w:cs="Arial" w:eastAsia="Arial" w:hAnsi="Arial"/>
          <w:sz w:val="13"/>
          <w:szCs w:val="13"/>
          <w:color w:val="auto"/>
        </w:rPr>
        <w:t>GAINST</w:t>
      </w:r>
      <w:r>
        <w:rPr>
          <w:rFonts w:ascii="Arial" w:cs="Arial" w:eastAsia="Arial" w:hAnsi="Arial"/>
          <w:sz w:val="16"/>
          <w:szCs w:val="16"/>
          <w:color w:val="auto"/>
        </w:rPr>
        <w:t xml:space="preserve"> O</w:t>
      </w:r>
      <w:r>
        <w:rPr>
          <w:rFonts w:ascii="Arial" w:cs="Arial" w:eastAsia="Arial" w:hAnsi="Arial"/>
          <w:sz w:val="13"/>
          <w:szCs w:val="13"/>
          <w:color w:val="auto"/>
        </w:rPr>
        <w:t>THERS</w:t>
      </w:r>
      <w:r>
        <w:rPr>
          <w:rFonts w:ascii="Arial" w:cs="Arial" w:eastAsia="Arial" w:hAnsi="Arial"/>
          <w:sz w:val="16"/>
          <w:szCs w:val="16"/>
          <w:color w:val="auto"/>
        </w:rPr>
        <w:t>. No past, present or future director, officer, employee, incorporator, shareholder or agent of any Guaranteeing Subsidiary, as such, shall have any liability for any obligations of the Company or any Guaranteeing Subsidiary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58" w:lineRule="exact"/>
        <w:rPr>
          <w:rFonts w:ascii="Arial" w:cs="Arial" w:eastAsia="Arial" w:hAnsi="Arial"/>
          <w:sz w:val="16"/>
          <w:szCs w:val="16"/>
          <w:color w:val="auto"/>
        </w:rPr>
      </w:pPr>
    </w:p>
    <w:p>
      <w:pPr>
        <w:ind w:right="20" w:firstLine="464"/>
        <w:spacing w:after="0" w:line="264" w:lineRule="auto"/>
        <w:tabs>
          <w:tab w:leader="none" w:pos="6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ectPr>
          <w:pgSz w:w="11900" w:h="16838" w:orient="portrait"/>
          <w:cols w:equalWidth="0" w:num="1">
            <w:col w:w="11420"/>
          </w:cols>
          <w:pgMar w:left="240" w:top="121" w:right="239" w:bottom="1440" w:gutter="0" w:footer="0" w:header="0"/>
        </w:sectPr>
      </w:pPr>
    </w:p>
    <w:bookmarkStart w:id="120" w:name="page121"/>
    <w:bookmarkEnd w:id="120"/>
    <w:p>
      <w:pPr>
        <w:ind w:left="-220" w:firstLine="464"/>
        <w:spacing w:after="0" w:line="277" w:lineRule="auto"/>
        <w:tabs>
          <w:tab w:leader="none" w:pos="4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420" w:hanging="176"/>
        <w:spacing w:after="0"/>
        <w:tabs>
          <w:tab w:leader="none" w:pos="4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color w:val="auto"/>
        </w:rPr>
        <w:t>FFECT OF</w:t>
      </w:r>
      <w:r>
        <w:rPr>
          <w:rFonts w:ascii="Arial" w:cs="Arial" w:eastAsia="Arial" w:hAnsi="Arial"/>
          <w:sz w:val="18"/>
          <w:szCs w:val="18"/>
          <w:color w:val="auto"/>
        </w:rPr>
        <w:t xml:space="preserve"> H</w:t>
      </w:r>
      <w:r>
        <w:rPr>
          <w:rFonts w:ascii="Arial" w:cs="Arial" w:eastAsia="Arial" w:hAnsi="Arial"/>
          <w:sz w:val="15"/>
          <w:szCs w:val="15"/>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220" w:right="20" w:firstLine="464"/>
        <w:spacing w:after="0" w:line="264" w:lineRule="auto"/>
        <w:tabs>
          <w:tab w:leader="none" w:pos="4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the Note Guarantee of each Guaranteeing Subsidiary, or for or in respect of the recitals contained herein, all of which recitals are made solely by each Guaranteeing Subsidiary and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ectPr>
          <w:pgSz w:w="11900" w:h="16838" w:orient="portrait"/>
          <w:cols w:equalWidth="0" w:num="1">
            <w:col w:w="10980"/>
          </w:cols>
          <w:pgMar w:left="460" w:top="274" w:right="459" w:bottom="1440" w:gutter="0" w:footer="0" w:header="0"/>
        </w:sectPr>
      </w:pPr>
    </w:p>
    <w:bookmarkStart w:id="121" w:name="page122"/>
    <w:bookmarkEnd w:id="121"/>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19,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GUARANTEEING SUBSIDIARIES: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PRECISION ENGINEERED PRODUCTS HOLDINGS,</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PRECISION ENGINEERED PRODUCTS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BRAININ-ADVANCE INDUSTRIES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POLYMETALLURGICAL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BOSTON ENDO-SURGICAL TECHNOLOGIES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1200"/>
          </w:cols>
          <w:pgMar w:left="240" w:top="274" w:right="45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LACEY MANUFACTURING COMPANY,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CONNECTICUT PLASTICS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WAUCONDA TOOL &amp; ENGINEERING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ADVANCED PRECISION PRODUCTS,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HOWESTEMCO,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PREMCO,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9380"/>
          </w:cols>
          <w:pgMar w:left="1440" w:top="270" w:right="107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PROFILES INCORPORATED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HOLMED,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METAL FINISHING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MATRIX I,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TRIGON INTERNATIONAL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w:t>
      </w:r>
    </w:p>
    <w:p>
      <w:pPr>
        <w:sectPr>
          <w:pgSz w:w="11900" w:h="16838" w:orient="portrait"/>
          <w:cols w:equalWidth="0" w:num="1">
            <w:col w:w="9019"/>
          </w:cols>
          <w:pgMar w:left="1440" w:top="270" w:right="1440" w:bottom="1440" w:gutter="0" w:footer="0" w:header="0"/>
        </w:sectPr>
      </w:pPr>
    </w:p>
    <w:bookmarkStart w:id="124" w:name="page125"/>
    <w:bookmarkEnd w:id="12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 Chief Financial</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Connie Jaco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[Signature Page to Supplemental Indenture]</w:t>
      </w:r>
    </w:p>
    <w:p>
      <w:pPr>
        <w:sectPr>
          <w:pgSz w:w="11900" w:h="16838" w:orient="portrait"/>
          <w:cols w:equalWidth="0" w:num="1">
            <w:col w:w="9280"/>
          </w:cols>
          <w:pgMar w:left="1440" w:top="270" w:right="11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UNTRUST</w:t>
      </w:r>
      <w:r>
        <w:rPr>
          <w:rFonts w:ascii="Arial" w:cs="Arial" w:eastAsia="Arial" w:hAnsi="Arial"/>
          <w:sz w:val="18"/>
          <w:szCs w:val="18"/>
          <w:color w:val="auto"/>
        </w:rPr>
        <w:t xml:space="preserve"> R</w:t>
      </w:r>
      <w:r>
        <w:rPr>
          <w:rFonts w:ascii="Arial" w:cs="Arial" w:eastAsia="Arial" w:hAnsi="Arial"/>
          <w:sz w:val="15"/>
          <w:szCs w:val="15"/>
          <w:color w:val="auto"/>
        </w:rPr>
        <w:t>OBINSON</w:t>
      </w:r>
      <w:r>
        <w:rPr>
          <w:rFonts w:ascii="Arial" w:cs="Arial" w:eastAsia="Arial" w:hAnsi="Arial"/>
          <w:sz w:val="18"/>
          <w:szCs w:val="18"/>
          <w:color w:val="auto"/>
        </w:rPr>
        <w:t xml:space="preserve"> H</w:t>
      </w:r>
      <w:r>
        <w:rPr>
          <w:rFonts w:ascii="Arial" w:cs="Arial" w:eastAsia="Arial" w:hAnsi="Arial"/>
          <w:sz w:val="15"/>
          <w:szCs w:val="15"/>
          <w:color w:val="auto"/>
        </w:rPr>
        <w:t>UMPHREY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SunTrust Robinson Humphrey, Inc. (“</w:t>
      </w:r>
      <w:r>
        <w:rPr>
          <w:rFonts w:ascii="Arial" w:cs="Arial" w:eastAsia="Arial" w:hAnsi="Arial"/>
          <w:sz w:val="17"/>
          <w:szCs w:val="17"/>
          <w:b w:val="1"/>
          <w:bCs w:val="1"/>
          <w:color w:val="auto"/>
        </w:rPr>
        <w:t>SunTrust</w:t>
      </w:r>
      <w:r>
        <w:rPr>
          <w:rFonts w:ascii="Arial" w:cs="Arial" w:eastAsia="Arial" w:hAnsi="Arial"/>
          <w:sz w:val="17"/>
          <w:szCs w:val="17"/>
          <w:color w:val="auto"/>
        </w:rPr>
        <w:t>”) and the other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several Initial Purchasers named in Schedule A-1 attached hereto (collectively, the “</w:t>
      </w:r>
      <w:r>
        <w:rPr>
          <w:rFonts w:ascii="Arial" w:cs="Arial" w:eastAsia="Arial" w:hAnsi="Arial"/>
          <w:sz w:val="17"/>
          <w:szCs w:val="17"/>
          <w:b w:val="1"/>
          <w:bCs w:val="1"/>
          <w:color w:val="auto"/>
        </w:rPr>
        <w:t>Initial Purchasers</w:t>
      </w:r>
      <w:r>
        <w:rPr>
          <w:rFonts w:ascii="Arial" w:cs="Arial" w:eastAsia="Arial" w:hAnsi="Arial"/>
          <w:sz w:val="17"/>
          <w:szCs w:val="17"/>
          <w:color w:val="auto"/>
        </w:rPr>
        <w:t>”), acting severally and not jointly, the respective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set forth in such Schedule A-1 of $300,000,000 aggregate principal amount of the Company’s 10.25% Senior Notes due 2020 (the “</w:t>
      </w:r>
      <w:r>
        <w:rPr>
          <w:rFonts w:ascii="Arial" w:cs="Arial" w:eastAsia="Arial" w:hAnsi="Arial"/>
          <w:sz w:val="16"/>
          <w:szCs w:val="16"/>
          <w:b w:val="1"/>
          <w:bCs w:val="1"/>
          <w:color w:val="auto"/>
        </w:rPr>
        <w:t>Notes</w:t>
      </w:r>
      <w:r>
        <w:rPr>
          <w:rFonts w:ascii="Arial" w:cs="Arial" w:eastAsia="Arial" w:hAnsi="Arial"/>
          <w:sz w:val="16"/>
          <w:szCs w:val="16"/>
          <w:color w:val="auto"/>
        </w:rPr>
        <w:t>”),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initially be unconditionally guaranteed on a senior unsecured basis as to principal, premium, if any, and interest (the “</w:t>
      </w:r>
      <w:r>
        <w:rPr>
          <w:rFonts w:ascii="Arial" w:cs="Arial" w:eastAsia="Arial" w:hAnsi="Arial"/>
          <w:sz w:val="17"/>
          <w:szCs w:val="17"/>
          <w:b w:val="1"/>
          <w:bCs w:val="1"/>
          <w:color w:val="auto"/>
        </w:rPr>
        <w:t>NN Guarantees</w:t>
      </w:r>
      <w:r>
        <w:rPr>
          <w:rFonts w:ascii="Arial" w:cs="Arial" w:eastAsia="Arial" w:hAnsi="Arial"/>
          <w:sz w:val="17"/>
          <w:szCs w:val="17"/>
          <w:color w:val="auto"/>
        </w:rPr>
        <w:t>”)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of the Company listed on Schedule B-1 hereto (each individually, an “</w:t>
      </w:r>
      <w:r>
        <w:rPr>
          <w:rFonts w:ascii="Arial" w:cs="Arial" w:eastAsia="Arial" w:hAnsi="Arial"/>
          <w:sz w:val="16"/>
          <w:szCs w:val="16"/>
          <w:b w:val="1"/>
          <w:bCs w:val="1"/>
          <w:color w:val="auto"/>
        </w:rPr>
        <w:t>NN 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NN Guarantors</w:t>
      </w:r>
      <w:r>
        <w:rPr>
          <w:rFonts w:ascii="Arial" w:cs="Arial" w:eastAsia="Arial" w:hAnsi="Arial"/>
          <w:sz w:val="16"/>
          <w:szCs w:val="16"/>
          <w:color w:val="auto"/>
        </w:rPr>
        <w:t>”). The Notes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Guarantees (as defined below) attached thereto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and the Exchange Notes (as defined below)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Guarantees attached thereto are herein collectively referred to as the “</w:t>
      </w:r>
      <w:r>
        <w:rPr>
          <w:rFonts w:ascii="Arial" w:cs="Arial" w:eastAsia="Arial" w:hAnsi="Arial"/>
          <w:sz w:val="16"/>
          <w:szCs w:val="16"/>
          <w:b w:val="1"/>
          <w:bCs w:val="1"/>
          <w:color w:val="auto"/>
        </w:rPr>
        <w:t>Exchange Securities</w:t>
      </w:r>
      <w:r>
        <w:rPr>
          <w:rFonts w:ascii="Arial" w:cs="Arial" w:eastAsia="Arial" w:hAnsi="Arial"/>
          <w:sz w:val="16"/>
          <w:szCs w:val="16"/>
          <w:color w:val="auto"/>
        </w:rPr>
        <w:t>.” The Securities will be issued pursuant to an indenture,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dated as of October 19, 2015 (the “</w:t>
      </w:r>
      <w:r>
        <w:rPr>
          <w:rFonts w:ascii="Arial" w:cs="Arial" w:eastAsia="Arial" w:hAnsi="Arial"/>
          <w:sz w:val="17"/>
          <w:szCs w:val="17"/>
          <w:b w:val="1"/>
          <w:bCs w:val="1"/>
          <w:color w:val="auto"/>
        </w:rPr>
        <w:t>Initial Indenture</w:t>
      </w:r>
      <w:r>
        <w:rPr>
          <w:rFonts w:ascii="Arial" w:cs="Arial" w:eastAsia="Arial" w:hAnsi="Arial"/>
          <w:sz w:val="17"/>
          <w:szCs w:val="17"/>
          <w:color w:val="auto"/>
        </w:rPr>
        <w:t>”), among the Company, the NN Guarantors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SunTrust has agreed to act as the representative of the several Initial Purchasers (the “</w:t>
      </w:r>
      <w:r>
        <w:rPr>
          <w:rFonts w:ascii="Arial" w:cs="Arial" w:eastAsia="Arial" w:hAnsi="Arial"/>
          <w:sz w:val="16"/>
          <w:szCs w:val="16"/>
          <w:b w:val="1"/>
          <w:bCs w:val="1"/>
          <w:color w:val="auto"/>
        </w:rPr>
        <w:t>Representative</w:t>
      </w:r>
      <w:r>
        <w:rPr>
          <w:rFonts w:ascii="Arial" w:cs="Arial" w:eastAsia="Arial" w:hAnsi="Arial"/>
          <w:sz w:val="16"/>
          <w:szCs w:val="16"/>
          <w:color w:val="auto"/>
        </w:rPr>
        <w:t>”) in connection with the offering and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w:t>
      </w:r>
    </w:p>
    <w:p>
      <w:pPr>
        <w:spacing w:after="0" w:line="21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Notes are being issued in connection with the acquisition of all of the issued and outstanding shares of capital stock of Precision Engineered Products Holdings, Inc., a Delaware corporation (“</w:t>
      </w:r>
      <w:r>
        <w:rPr>
          <w:rFonts w:ascii="Arial" w:cs="Arial" w:eastAsia="Arial" w:hAnsi="Arial"/>
          <w:sz w:val="18"/>
          <w:szCs w:val="18"/>
          <w:b w:val="1"/>
          <w:bCs w:val="1"/>
          <w:color w:val="auto"/>
        </w:rPr>
        <w:t>PEP</w:t>
      </w:r>
      <w:r>
        <w:rPr>
          <w:rFonts w:ascii="Arial" w:cs="Arial" w:eastAsia="Arial" w:hAnsi="Arial"/>
          <w:sz w:val="18"/>
          <w:szCs w:val="18"/>
          <w:color w:val="auto"/>
        </w:rPr>
        <w:t>” and, together with its consolidated subsidiaries listed on Schedule B-2 hereto, the “</w:t>
      </w:r>
      <w:r>
        <w:rPr>
          <w:rFonts w:ascii="Arial" w:cs="Arial" w:eastAsia="Arial" w:hAnsi="Arial"/>
          <w:sz w:val="18"/>
          <w:szCs w:val="18"/>
          <w:b w:val="1"/>
          <w:bCs w:val="1"/>
          <w:color w:val="auto"/>
        </w:rPr>
        <w:t>PEP</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Guarantors</w:t>
      </w:r>
      <w:r>
        <w:rPr>
          <w:rFonts w:ascii="Arial" w:cs="Arial" w:eastAsia="Arial" w:hAnsi="Arial"/>
          <w:sz w:val="18"/>
          <w:szCs w:val="18"/>
          <w:color w:val="auto"/>
        </w:rPr>
        <w:t>” and, together with the NN Guarantors, the “</w:t>
      </w:r>
      <w:r>
        <w:rPr>
          <w:rFonts w:ascii="Arial" w:cs="Arial" w:eastAsia="Arial" w:hAnsi="Arial"/>
          <w:sz w:val="18"/>
          <w:szCs w:val="18"/>
          <w:b w:val="1"/>
          <w:bCs w:val="1"/>
          <w:color w:val="auto"/>
        </w:rPr>
        <w:t>Guarantors</w:t>
      </w:r>
      <w:r>
        <w:rPr>
          <w:rFonts w:ascii="Arial" w:cs="Arial" w:eastAsia="Arial" w:hAnsi="Arial"/>
          <w:sz w:val="18"/>
          <w:szCs w:val="18"/>
          <w:color w:val="auto"/>
        </w:rPr>
        <w:t>”), by the Company (the “</w:t>
      </w:r>
      <w:r>
        <w:rPr>
          <w:rFonts w:ascii="Arial" w:cs="Arial" w:eastAsia="Arial" w:hAnsi="Arial"/>
          <w:sz w:val="18"/>
          <w:szCs w:val="18"/>
          <w:b w:val="1"/>
          <w:bCs w:val="1"/>
          <w:color w:val="auto"/>
        </w:rPr>
        <w:t>Acquisition</w:t>
      </w:r>
      <w:r>
        <w:rPr>
          <w:rFonts w:ascii="Arial" w:cs="Arial" w:eastAsia="Arial" w:hAnsi="Arial"/>
          <w:sz w:val="18"/>
          <w:szCs w:val="18"/>
          <w:color w:val="auto"/>
        </w:rPr>
        <w:t>”) pursuant to a Stock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August 17, 2015, among the Company, PEP and PEP Industries, LLC, a Delaware limited liability company (as amended, supplemented or modified and in effect from time to time, the “</w:t>
      </w:r>
      <w:r>
        <w:rPr>
          <w:rFonts w:ascii="Arial" w:cs="Arial" w:eastAsia="Arial" w:hAnsi="Arial"/>
          <w:sz w:val="18"/>
          <w:szCs w:val="18"/>
          <w:b w:val="1"/>
          <w:bCs w:val="1"/>
          <w:color w:val="auto"/>
        </w:rPr>
        <w:t>Acquisition Agreement</w:t>
      </w:r>
      <w:r>
        <w:rPr>
          <w:rFonts w:ascii="Arial" w:cs="Arial" w:eastAsia="Arial" w:hAnsi="Arial"/>
          <w:sz w:val="18"/>
          <w:szCs w:val="18"/>
          <w:color w:val="auto"/>
        </w:rPr>
        <w:t>”). Upon consummation of the Acquisition, PEP will become a wholly-owned subsidiary of the Company.</w:t>
      </w:r>
    </w:p>
    <w:p>
      <w:pPr>
        <w:spacing w:after="0" w:line="189" w:lineRule="exact"/>
        <w:rPr>
          <w:sz w:val="20"/>
          <w:szCs w:val="20"/>
          <w:color w:val="auto"/>
        </w:rPr>
      </w:pPr>
    </w:p>
    <w:p>
      <w:pPr>
        <w:ind w:right="560" w:firstLine="456"/>
        <w:spacing w:after="0" w:line="313" w:lineRule="auto"/>
        <w:rPr>
          <w:sz w:val="20"/>
          <w:szCs w:val="20"/>
          <w:color w:val="auto"/>
        </w:rPr>
      </w:pPr>
      <w:r>
        <w:rPr>
          <w:rFonts w:ascii="Arial" w:cs="Arial" w:eastAsia="Arial" w:hAnsi="Arial"/>
          <w:sz w:val="17"/>
          <w:szCs w:val="17"/>
          <w:color w:val="auto"/>
        </w:rPr>
        <w:t>The Company intends to enter into new senior secured credit facilities in connection with the Acquisition (the “</w:t>
      </w:r>
      <w:r>
        <w:rPr>
          <w:rFonts w:ascii="Arial" w:cs="Arial" w:eastAsia="Arial" w:hAnsi="Arial"/>
          <w:sz w:val="17"/>
          <w:szCs w:val="17"/>
          <w:b w:val="1"/>
          <w:bCs w:val="1"/>
          <w:color w:val="auto"/>
        </w:rPr>
        <w:t>Senior Credit Facility</w:t>
      </w:r>
      <w:r>
        <w:rPr>
          <w:rFonts w:ascii="Arial" w:cs="Arial" w:eastAsia="Arial" w:hAnsi="Arial"/>
          <w:sz w:val="17"/>
          <w:szCs w:val="17"/>
          <w:color w:val="auto"/>
        </w:rPr>
        <w:t>”, and the documents, agreements or instruments delivered in connection therewith, the “</w:t>
      </w:r>
      <w:r>
        <w:rPr>
          <w:rFonts w:ascii="Arial" w:cs="Arial" w:eastAsia="Arial" w:hAnsi="Arial"/>
          <w:sz w:val="17"/>
          <w:szCs w:val="17"/>
          <w:b w:val="1"/>
          <w:bCs w:val="1"/>
          <w:color w:val="auto"/>
        </w:rPr>
        <w:t>Senior Credit Facility Documentation</w:t>
      </w:r>
      <w:r>
        <w:rPr>
          <w:rFonts w:ascii="Arial" w:cs="Arial" w:eastAsia="Arial" w:hAnsi="Arial"/>
          <w:sz w:val="17"/>
          <w:szCs w:val="17"/>
          <w:color w:val="auto"/>
        </w:rPr>
        <w:t>”).</w:t>
      </w:r>
    </w:p>
    <w:p>
      <w:pPr>
        <w:spacing w:after="0" w:line="138" w:lineRule="exact"/>
        <w:rPr>
          <w:sz w:val="20"/>
          <w:szCs w:val="20"/>
          <w:color w:val="auto"/>
        </w:rPr>
      </w:pPr>
    </w:p>
    <w:p>
      <w:pPr>
        <w:ind w:right="380" w:firstLine="456"/>
        <w:spacing w:after="0" w:line="313" w:lineRule="auto"/>
        <w:rPr>
          <w:sz w:val="20"/>
          <w:szCs w:val="20"/>
          <w:color w:val="auto"/>
        </w:rPr>
      </w:pPr>
      <w:r>
        <w:rPr>
          <w:rFonts w:ascii="Arial" w:cs="Arial" w:eastAsia="Arial" w:hAnsi="Arial"/>
          <w:sz w:val="17"/>
          <w:szCs w:val="17"/>
          <w:color w:val="auto"/>
        </w:rPr>
        <w:t>Upon consummation of the Acquisition, the PEP Guarantors will enter into (i) a joinder agreement (the “</w:t>
      </w:r>
      <w:r>
        <w:rPr>
          <w:rFonts w:ascii="Arial" w:cs="Arial" w:eastAsia="Arial" w:hAnsi="Arial"/>
          <w:sz w:val="17"/>
          <w:szCs w:val="17"/>
          <w:b w:val="1"/>
          <w:bCs w:val="1"/>
          <w:color w:val="auto"/>
        </w:rPr>
        <w:t>Joinder Agreement</w:t>
      </w:r>
      <w:r>
        <w:rPr>
          <w:rFonts w:ascii="Arial" w:cs="Arial" w:eastAsia="Arial" w:hAnsi="Arial"/>
          <w:sz w:val="17"/>
          <w:szCs w:val="17"/>
          <w:color w:val="auto"/>
        </w:rPr>
        <w:t>”) substantially in the form attached hereto as Exhibit B and (ii) a supplemental indenture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with the Trustee pursuant to</w:t>
      </w:r>
    </w:p>
    <w:p>
      <w:pPr>
        <w:sectPr>
          <w:pgSz w:w="11900" w:h="16838" w:orient="portrait"/>
          <w:cols w:equalWidth="0" w:num="1">
            <w:col w:w="11420"/>
          </w:cols>
          <w:pgMar w:left="240" w:top="121" w:right="239" w:bottom="1440" w:gutter="0" w:footer="0" w:header="0"/>
        </w:sectPr>
      </w:pPr>
    </w:p>
    <w:bookmarkStart w:id="126" w:name="page127"/>
    <w:bookmarkEnd w:id="126"/>
    <w:p>
      <w:pPr>
        <w:ind w:right="160"/>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the PEP Guarantors will guarantee (the “</w:t>
      </w:r>
      <w:r>
        <w:rPr>
          <w:rFonts w:ascii="Arial" w:cs="Arial" w:eastAsia="Arial" w:hAnsi="Arial"/>
          <w:sz w:val="17"/>
          <w:szCs w:val="17"/>
          <w:b w:val="1"/>
          <w:bCs w:val="1"/>
          <w:color w:val="auto"/>
        </w:rPr>
        <w:t>PEP Guarantees</w:t>
      </w:r>
      <w:r>
        <w:rPr>
          <w:rFonts w:ascii="Arial" w:cs="Arial" w:eastAsia="Arial" w:hAnsi="Arial"/>
          <w:sz w:val="17"/>
          <w:szCs w:val="17"/>
          <w:color w:val="auto"/>
        </w:rPr>
        <w:t>” and, together with the NN Guarantees, the “</w:t>
      </w:r>
      <w:r>
        <w:rPr>
          <w:rFonts w:ascii="Arial" w:cs="Arial" w:eastAsia="Arial" w:hAnsi="Arial"/>
          <w:sz w:val="17"/>
          <w:szCs w:val="17"/>
          <w:b w:val="1"/>
          <w:bCs w:val="1"/>
          <w:color w:val="auto"/>
        </w:rPr>
        <w:t>Guarantees</w:t>
      </w:r>
      <w:r>
        <w:rPr>
          <w:rFonts w:ascii="Arial" w:cs="Arial" w:eastAsia="Arial" w:hAnsi="Arial"/>
          <w:sz w:val="17"/>
          <w:szCs w:val="17"/>
          <w:color w:val="auto"/>
        </w:rPr>
        <w:t>”) the Notes. As used herein, the term “</w:t>
      </w:r>
      <w:r>
        <w:rPr>
          <w:rFonts w:ascii="Arial" w:cs="Arial" w:eastAsia="Arial" w:hAnsi="Arial"/>
          <w:sz w:val="17"/>
          <w:szCs w:val="17"/>
          <w:b w:val="1"/>
          <w:bCs w:val="1"/>
          <w:color w:val="auto"/>
        </w:rPr>
        <w:t>Indenture</w:t>
      </w:r>
      <w:r>
        <w:rPr>
          <w:rFonts w:ascii="Arial" w:cs="Arial" w:eastAsia="Arial" w:hAnsi="Arial"/>
          <w:sz w:val="17"/>
          <w:szCs w:val="17"/>
          <w:color w:val="auto"/>
        </w:rPr>
        <w:t>” shall mean the Initial Indenture, as supplemented by the Supplemental Indenture, unless the context otherwise requires.</w:t>
      </w:r>
    </w:p>
    <w:p>
      <w:pPr>
        <w:spacing w:after="0" w:line="1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holders of the Securities (including the Initial Purchasers) will be entitled to the benefits of a registration rights agreement, to be dated as of October 19, 2015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among the Company, the NN Guarantors and the Representative, pursuant to which the Company and the Guarantors will be required to file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circumstances set forth therein, one or more registration statements with the Commission providing for the registration under the Securities Act of the Securities or the Exchange Securities referred to (and as defined) in the Registration Rights Agreement and the related Guarantees (the “</w:t>
      </w:r>
      <w:r>
        <w:rPr>
          <w:rFonts w:ascii="Arial" w:cs="Arial" w:eastAsia="Arial" w:hAnsi="Arial"/>
          <w:sz w:val="16"/>
          <w:szCs w:val="16"/>
          <w:b w:val="1"/>
          <w:bCs w:val="1"/>
          <w:color w:val="auto"/>
        </w:rPr>
        <w:t>Exchange Offer</w:t>
      </w:r>
      <w:r>
        <w:rPr>
          <w:rFonts w:ascii="Arial" w:cs="Arial" w:eastAsia="Arial" w:hAnsi="Arial"/>
          <w:sz w:val="16"/>
          <w:szCs w:val="16"/>
          <w:color w:val="auto"/>
        </w:rPr>
        <w:t>”). All references herein to the Exchange Securities and the Exchange Offer are only applicable if the Company and the Guarantors are in fact required to consummate the Exchange Offer pursuant to the terms of the Registration Rights Agreement. Upon consummation of the Acquisition, the Company will cause each PEP Guarantor to join the Registration Rights Agreement by execution of the joinder attached thereto (the “</w:t>
      </w:r>
      <w:r>
        <w:rPr>
          <w:rFonts w:ascii="Arial" w:cs="Arial" w:eastAsia="Arial" w:hAnsi="Arial"/>
          <w:sz w:val="16"/>
          <w:szCs w:val="16"/>
          <w:b w:val="1"/>
          <w:bCs w:val="1"/>
          <w:color w:val="auto"/>
        </w:rPr>
        <w:t>Registration Rights Agreement Joinder</w:t>
      </w:r>
      <w:r>
        <w:rPr>
          <w:rFonts w:ascii="Arial" w:cs="Arial" w:eastAsia="Arial" w:hAnsi="Arial"/>
          <w:sz w:val="16"/>
          <w:szCs w:val="16"/>
          <w:color w:val="auto"/>
        </w:rPr>
        <w:t>”).</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issuance and sale of the Notes, the issuance of the Guarantees, the consummation of the Acquisition, the entry by the Company and the Guarantors into the Senior Credit Facility, the initial extensions of credit thereunder, if any, on the Closing Date, the repayment of certain borrowings under the Company’s existing credit facilities as described in the Final Offering Memorandum (as defined below) and the payment of transaction costs are referred to herein collectively, as the “</w:t>
      </w:r>
      <w:r>
        <w:rPr>
          <w:rFonts w:ascii="Arial" w:cs="Arial" w:eastAsia="Arial" w:hAnsi="Arial"/>
          <w:sz w:val="18"/>
          <w:szCs w:val="18"/>
          <w:b w:val="1"/>
          <w:bCs w:val="1"/>
          <w:color w:val="auto"/>
        </w:rPr>
        <w:t>Transactions</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Agreement, the Registration Rights Agreement, the Securities, the Exchange Securities, the Senior Credit Facility Documentation, the Initial Indenture (including each Guarantee set forth therein), the Joinder Agreement, the Supplemental Indenture and the Registration Rights Agreement Joinder are referred to herein as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Securities are to be offered and sold to or through the Initial Purchasers without being registered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which term, as used herein, includes the rules and regulations of the Commission promulgated thereunder), in reliance upon exemptions therefrom. Pursuant to the terms of the Securities and the Indenture, investors who acquire Securities shall be deemed to have agreed that Securities may only be resold or otherwise transferred, after the date hereof, if such Securities are registered for sale under the Securities Act or if an exemption from the registration requirements of the Securities Act is available (including the exemptions afforded by Rule 144A under the Securities Act (“</w:t>
      </w:r>
      <w:r>
        <w:rPr>
          <w:rFonts w:ascii="Arial" w:cs="Arial" w:eastAsia="Arial" w:hAnsi="Arial"/>
          <w:sz w:val="17"/>
          <w:szCs w:val="17"/>
          <w:b w:val="1"/>
          <w:bCs w:val="1"/>
          <w:color w:val="auto"/>
        </w:rPr>
        <w:t>Rule 144A</w:t>
      </w:r>
      <w:r>
        <w:rPr>
          <w:rFonts w:ascii="Arial" w:cs="Arial" w:eastAsia="Arial" w:hAnsi="Arial"/>
          <w:sz w:val="17"/>
          <w:szCs w:val="17"/>
          <w:color w:val="auto"/>
        </w:rPr>
        <w:t>”) or Regulation S under the Securities Act (“</w:t>
      </w:r>
      <w:r>
        <w:rPr>
          <w:rFonts w:ascii="Arial" w:cs="Arial" w:eastAsia="Arial" w:hAnsi="Arial"/>
          <w:sz w:val="17"/>
          <w:szCs w:val="17"/>
          <w:b w:val="1"/>
          <w:bCs w:val="1"/>
          <w:color w:val="auto"/>
        </w:rPr>
        <w:t>Regulation S</w:t>
      </w:r>
      <w:r>
        <w:rPr>
          <w:rFonts w:ascii="Arial" w:cs="Arial" w:eastAsia="Arial" w:hAnsi="Arial"/>
          <w:sz w:val="17"/>
          <w:szCs w:val="17"/>
          <w:color w:val="auto"/>
        </w:rPr>
        <w:t>”)). The Company agrees that the Initial Purchasers may resell, subject to the conditions set forth herein, all or a portion of the Securities to purchasers (the “</w:t>
      </w:r>
      <w:r>
        <w:rPr>
          <w:rFonts w:ascii="Arial" w:cs="Arial" w:eastAsia="Arial" w:hAnsi="Arial"/>
          <w:sz w:val="17"/>
          <w:szCs w:val="17"/>
          <w:b w:val="1"/>
          <w:bCs w:val="1"/>
          <w:color w:val="auto"/>
        </w:rPr>
        <w:t>Subsequent Purchasers</w:t>
      </w:r>
      <w:r>
        <w:rPr>
          <w:rFonts w:ascii="Arial" w:cs="Arial" w:eastAsia="Arial" w:hAnsi="Arial"/>
          <w:sz w:val="17"/>
          <w:szCs w:val="17"/>
          <w:color w:val="auto"/>
        </w:rPr>
        <w:t>”) on the terms set forth in the Final Offering Memorandum.</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connection with the sale of the Notes, the Company has prepared and delivered to each Initial Purchaser copies of a Preliminary Offering Memorandum, dated September 22, 2015 (the “</w:t>
      </w:r>
      <w:r>
        <w:rPr>
          <w:rFonts w:ascii="Arial" w:cs="Arial" w:eastAsia="Arial" w:hAnsi="Arial"/>
          <w:sz w:val="18"/>
          <w:szCs w:val="18"/>
          <w:b w:val="1"/>
          <w:bCs w:val="1"/>
          <w:color w:val="auto"/>
        </w:rPr>
        <w:t>Preliminary Offering Memorandum</w:t>
      </w:r>
      <w:r>
        <w:rPr>
          <w:rFonts w:ascii="Arial" w:cs="Arial" w:eastAsia="Arial" w:hAnsi="Arial"/>
          <w:sz w:val="18"/>
          <w:szCs w:val="18"/>
          <w:color w:val="auto"/>
        </w:rPr>
        <w:t>”) and a final offering memorandum dated the date hereof (the “</w:t>
      </w:r>
      <w:r>
        <w:rPr>
          <w:rFonts w:ascii="Arial" w:cs="Arial" w:eastAsia="Arial" w:hAnsi="Arial"/>
          <w:sz w:val="18"/>
          <w:szCs w:val="18"/>
          <w:b w:val="1"/>
          <w:b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Memorandum</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127" w:name="page128"/>
    <w:bookmarkEnd w:id="12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Closing Date, in connection with the resale of the Securities, the Company shall prepare one or more Updated Final Offering Memoranda (as defined below) as provided in Section 10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agreements with the Initial Purchasers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Purchase, Sale and Delivery of the Securities.</w:t>
      </w:r>
    </w:p>
    <w:p>
      <w:pPr>
        <w:spacing w:after="0" w:line="225" w:lineRule="exact"/>
        <w:rPr>
          <w:sz w:val="20"/>
          <w:szCs w:val="20"/>
          <w:color w:val="auto"/>
        </w:rPr>
      </w:pPr>
    </w:p>
    <w:p>
      <w:pPr>
        <w:ind w:right="120" w:firstLine="464"/>
        <w:spacing w:after="0" w:line="259" w:lineRule="auto"/>
        <w:tabs>
          <w:tab w:leader="none" w:pos="7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of the Company and the Guarantors agrees to issue and sell to the several Initial Purchasers all of the Securities, and subject to the conditions set forth herein and on the basis of the representations, warranties, terms and agreements herein, the Initial Purchasers agree, severally and not jointly, to purchase from the Company and the Guarantors the aggregate principal amount of Securities set forth opposite their names on Schedule A-1, at the purchase price set forth on Schedule A-2 payable on the Closing Date.</w:t>
      </w:r>
    </w:p>
    <w:p>
      <w:pPr>
        <w:spacing w:after="0" w:line="186" w:lineRule="exact"/>
        <w:rPr>
          <w:rFonts w:ascii="Arial" w:cs="Arial" w:eastAsia="Arial" w:hAnsi="Arial"/>
          <w:sz w:val="18"/>
          <w:szCs w:val="18"/>
          <w:color w:val="auto"/>
        </w:rPr>
      </w:pPr>
    </w:p>
    <w:p>
      <w:pPr>
        <w:ind w:firstLine="464"/>
        <w:spacing w:after="0" w:line="293" w:lineRule="auto"/>
        <w:tabs>
          <w:tab w:leader="none" w:pos="71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One or more certificates for the Securities in definitive form to be purchased by the Initial Purchasers shall be delivered to, and payment therefor shall be made at, the offices of Cahill Gordon &amp; Reindel LLP (or such other place as may be agreed to by the Company and SunTrust) at 9:00 a.m. New York City time, on October 19, 2015, or such other time and date as SunTrust shall designate by notice to the Company (the time and date of such closing are called the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hereby acknowledges that circumstances under which SunTrust may provide notice to postpone the Closing Date as originally scheduled include, but are in no way limited to, any determination by the Company or the Initial Purchasers to recirculate to investors copies of an amended or supplemented Preliminary Offering Memorandum or a delay as contemplated by the provisions of Section 17 hereof.</w:t>
      </w:r>
    </w:p>
    <w:p>
      <w:pPr>
        <w:spacing w:after="0" w:line="164" w:lineRule="exact"/>
        <w:rPr>
          <w:rFonts w:ascii="Arial" w:cs="Arial" w:eastAsia="Arial" w:hAnsi="Arial"/>
          <w:sz w:val="16"/>
          <w:szCs w:val="16"/>
          <w:color w:val="auto"/>
        </w:rPr>
      </w:pPr>
    </w:p>
    <w:p>
      <w:pPr>
        <w:ind w:right="240" w:firstLine="464"/>
        <w:spacing w:after="0" w:line="255" w:lineRule="auto"/>
        <w:tabs>
          <w:tab w:leader="none" w:pos="7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shall deliver, or cause to be delivered, to SunTrust for the accounts of the several Initial Purchasers certificates for the Securities at the Closing Date against the irrevocable release of a wire transfer of immediately available funds for the amount of the purchase price therefor. The certificates for the Securities shall be in such denominations and registered in the name of Cede &amp; Co., as nominee of The Depository Trust Company (the “</w:t>
      </w:r>
      <w:r>
        <w:rPr>
          <w:rFonts w:ascii="Arial" w:cs="Arial" w:eastAsia="Arial" w:hAnsi="Arial"/>
          <w:sz w:val="18"/>
          <w:szCs w:val="18"/>
          <w:b w:val="1"/>
          <w:bCs w:val="1"/>
          <w:color w:val="auto"/>
        </w:rPr>
        <w:t>Depositary</w:t>
      </w:r>
      <w:r>
        <w:rPr>
          <w:rFonts w:ascii="Arial" w:cs="Arial" w:eastAsia="Arial" w:hAnsi="Arial"/>
          <w:sz w:val="18"/>
          <w:szCs w:val="18"/>
          <w:color w:val="auto"/>
        </w:rPr>
        <w:t>”), and shall be made available for inspection on the business day preceding the Closing Date at a location in New York City, as SunTrust may designate. Time shall be of the essence, and delivery at the time and place specified in this Agreement is a further condition to the obligations of the Initial Purchasers.</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and warrants to, and agrees with, the Company that:</w:t>
      </w:r>
    </w:p>
    <w:p>
      <w:pPr>
        <w:spacing w:after="0" w:line="117" w:lineRule="exact"/>
        <w:rPr>
          <w:rFonts w:ascii="Arial" w:cs="Arial" w:eastAsia="Arial" w:hAnsi="Arial"/>
          <w:sz w:val="18"/>
          <w:szCs w:val="18"/>
          <w:color w:val="auto"/>
        </w:rPr>
      </w:pPr>
    </w:p>
    <w:p>
      <w:pPr>
        <w:jc w:val="both"/>
        <w:ind w:left="460" w:right="220" w:firstLine="443"/>
        <w:spacing w:after="0" w:line="291" w:lineRule="auto"/>
        <w:tabs>
          <w:tab w:leader="none" w:pos="1113"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it will solicit offers for such Securities only from, and will offer such Securities only (a) to persons who it reasonably believes are “qualified institutional buyers” within the meaning of Rule 144A (“</w:t>
      </w:r>
      <w:r>
        <w:rPr>
          <w:rFonts w:ascii="Arial" w:cs="Arial" w:eastAsia="Arial" w:hAnsi="Arial"/>
          <w:sz w:val="16"/>
          <w:szCs w:val="16"/>
          <w:b w:val="1"/>
          <w:bCs w:val="1"/>
          <w:color w:val="auto"/>
        </w:rPr>
        <w:t>Qualified Institutional Buyers</w:t>
      </w:r>
      <w:r>
        <w:rPr>
          <w:rFonts w:ascii="Arial" w:cs="Arial" w:eastAsia="Arial" w:hAnsi="Arial"/>
          <w:sz w:val="16"/>
          <w:szCs w:val="16"/>
          <w:color w:val="auto"/>
        </w:rPr>
        <w:t>”) in transactions meeting the requirements of Rule 144A or</w:t>
      </w: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upon the terms and conditions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8" w:name="page129"/>
    <w:bookmarkEnd w:id="128"/>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an institutional “accredited investor” within the meaning of Rule 501(a)(1), (2), (3) or (7) under the Securities Act; and</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21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to sell Securities in any manner involving a public offering within the meaning of Section 4(a)(2) of the Securities Act.</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color w:val="auto"/>
        </w:rPr>
        <w:t>Representations and Warranties of the Company and the Guarantors</w:t>
      </w:r>
      <w:r>
        <w:rPr>
          <w:rFonts w:ascii="Arial" w:cs="Arial" w:eastAsia="Arial" w:hAnsi="Arial"/>
          <w:sz w:val="16"/>
          <w:szCs w:val="16"/>
          <w:color w:val="auto"/>
        </w:rPr>
        <w:t>. Each of the Company and the NN Guarantors, jointly and severally, hereby represents, warrants and covenants to each Initial Purchaser (it being understood and agreed that (i) whenever reference is made to the subsidiaries of the Company in this Agreement, such phrase will be understood to refer to and include the PEP Guarantors and (ii) prior to the execution of the Joinder Agreement, all references to the Guarantors with respect to PEP and its subsidiaries or to the PEP Guarantors are made to the knowledge of the Company and the NN Guarantors, after reasonable inquiry) and, upon the execution and delivery of the Joinder Agreement, each of the PEP Guarantors, jointly and severally with the Company and the NN Guarantors, represents and warrants to each Initial Purchaser that, as of the date hereof, as of the Closing Date, as of each Sale Date (as defined below) (except as disclosed in any Updated Final Offering Memorandum on such Sale Date) and as of each Settlement Date (as defined below) (references in this Section 2 to the “</w:t>
      </w:r>
      <w:r>
        <w:rPr>
          <w:rFonts w:ascii="Arial" w:cs="Arial" w:eastAsia="Arial" w:hAnsi="Arial"/>
          <w:sz w:val="16"/>
          <w:szCs w:val="16"/>
          <w:b w:val="1"/>
          <w:bCs w:val="1"/>
          <w:color w:val="auto"/>
        </w:rPr>
        <w:t>Offering Memorandum</w:t>
      </w:r>
      <w:r>
        <w:rPr>
          <w:rFonts w:ascii="Arial" w:cs="Arial" w:eastAsia="Arial" w:hAnsi="Arial"/>
          <w:sz w:val="16"/>
          <w:szCs w:val="16"/>
          <w:color w:val="auto"/>
        </w:rPr>
        <w:t>” are to (x) the Final Offering Memorandum in the case of representations and warranties made as of the date hereof and as of the Closing Date and (y) the most recent Updated Final Offering Memorandum in the case of representations and warranties made as of any Sale Date and Settlement Date occurring after delivery of an Updated Final Offering Memorandum):</w:t>
      </w:r>
    </w:p>
    <w:p>
      <w:pPr>
        <w:spacing w:after="0" w:line="53" w:lineRule="exact"/>
        <w:rPr>
          <w:sz w:val="20"/>
          <w:szCs w:val="20"/>
          <w:color w:val="auto"/>
        </w:rPr>
      </w:pPr>
    </w:p>
    <w:p>
      <w:pPr>
        <w:ind w:left="460" w:firstLine="443"/>
        <w:spacing w:after="0" w:line="290" w:lineRule="auto"/>
        <w:tabs>
          <w:tab w:leader="none" w:pos="1143" w:val="left"/>
        </w:tabs>
        <w:numPr>
          <w:ilvl w:val="0"/>
          <w:numId w:val="179"/>
        </w:numPr>
        <w:rPr>
          <w:rFonts w:ascii="Arial" w:cs="Arial" w:eastAsia="Arial" w:hAnsi="Arial"/>
          <w:sz w:val="16"/>
          <w:szCs w:val="16"/>
          <w:color w:val="auto"/>
        </w:rPr>
      </w:pPr>
      <w:r>
        <w:rPr>
          <w:rFonts w:ascii="Arial" w:cs="Arial" w:eastAsia="Arial" w:hAnsi="Arial"/>
          <w:sz w:val="16"/>
          <w:szCs w:val="16"/>
          <w:b w:val="1"/>
          <w:bCs w:val="1"/>
          <w:color w:val="auto"/>
        </w:rPr>
        <w:t xml:space="preserve">The Offering Memorandum. </w:t>
      </w:r>
      <w:r>
        <w:rPr>
          <w:rFonts w:ascii="Arial" w:cs="Arial" w:eastAsia="Arial" w:hAnsi="Arial"/>
          <w:sz w:val="16"/>
          <w:szCs w:val="16"/>
          <w:color w:val="auto"/>
        </w:rPr>
        <w:t>Neither (i) the Final Offering Memorandum, as of its date or (as amended or supplemented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3(b), as applicable) as of the Closing Date, nor (ii) upon and after the delivery of the first Updated Final Offering Memorandum, the most recently delivered Updated Final Offering Memorandum, as of its date and as supplemented to the applicable Sale Date, as of such Sale Date and on the Settlement Date, contains or represents any untrue statement of a material fact or omits to state a material fact necessary in order to make the statements therein, in the light of the circumstances under which they were made, not misleading; provided the Company and the Guarantors make no representation or warranty with respect to any statements or omissions made in reliance upon and in conformity with information relating to any Initial Purchaser furnished to the Company in writing by such Initial Purchaser through the Representatives expressly for use in the Final Offering Memorandum, any updated Final Offering Memorandum or any amendment or supplement thereto, as the case may be, it being understood and agreed that the only such information furnished by or on behalf of any Initial Purchaser consists of the information described as such in Section 7(b) hereof.</w:t>
      </w:r>
    </w:p>
    <w:p>
      <w:pPr>
        <w:spacing w:after="0" w:line="51" w:lineRule="exact"/>
        <w:rPr>
          <w:rFonts w:ascii="Arial" w:cs="Arial" w:eastAsia="Arial" w:hAnsi="Arial"/>
          <w:sz w:val="16"/>
          <w:szCs w:val="16"/>
          <w:color w:val="auto"/>
        </w:rPr>
      </w:pPr>
    </w:p>
    <w:p>
      <w:pPr>
        <w:jc w:val="both"/>
        <w:ind w:left="460" w:right="20" w:firstLine="443"/>
        <w:spacing w:after="0" w:line="314" w:lineRule="auto"/>
        <w:tabs>
          <w:tab w:leader="none" w:pos="1153" w:val="left"/>
        </w:tabs>
        <w:numPr>
          <w:ilvl w:val="0"/>
          <w:numId w:val="179"/>
        </w:numPr>
        <w:rPr>
          <w:rFonts w:ascii="Arial" w:cs="Arial" w:eastAsia="Arial" w:hAnsi="Arial"/>
          <w:sz w:val="16"/>
          <w:szCs w:val="16"/>
          <w:color w:val="auto"/>
        </w:rPr>
      </w:pPr>
      <w:r>
        <w:rPr>
          <w:rFonts w:ascii="Arial" w:cs="Arial" w:eastAsia="Arial" w:hAnsi="Arial"/>
          <w:sz w:val="16"/>
          <w:szCs w:val="16"/>
          <w:b w:val="1"/>
          <w:bCs w:val="1"/>
          <w:color w:val="auto"/>
        </w:rPr>
        <w:t xml:space="preserve">No Registration Required. </w:t>
      </w:r>
      <w:r>
        <w:rPr>
          <w:rFonts w:ascii="Arial" w:cs="Arial" w:eastAsia="Arial" w:hAnsi="Arial"/>
          <w:sz w:val="16"/>
          <w:szCs w:val="16"/>
          <w:color w:val="auto"/>
        </w:rPr>
        <w:t>Assuming the accuracy of the representations and warranties of the Initial Purchasers set forth in Section 1 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compliance by the Initial Purchasers with their agreements set forth therein, it is not necessary in connection with the offer, sale and delivery of the Securities to the Initial Purchasers and to each Subsequent Purchaser in the manner contemplated by this Agreement and the Offering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9" w:name="page130"/>
    <w:bookmarkEnd w:id="12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Memorandum to register the Securities under the Securities Act or, until such time as the Exchange Securities are issued pursuant to an effective registration statement, to qualify the Indenture under the Trust Indenture Act of 1939 (the “</w:t>
      </w:r>
      <w:r>
        <w:rPr>
          <w:rFonts w:ascii="Arial" w:cs="Arial" w:eastAsia="Arial" w:hAnsi="Arial"/>
          <w:sz w:val="18"/>
          <w:szCs w:val="18"/>
          <w:b w:val="1"/>
          <w:bCs w:val="1"/>
          <w:color w:val="auto"/>
        </w:rPr>
        <w:t>Trust Indenture Act</w:t>
      </w:r>
      <w:r>
        <w:rPr>
          <w:rFonts w:ascii="Arial" w:cs="Arial" w:eastAsia="Arial" w:hAnsi="Arial"/>
          <w:sz w:val="18"/>
          <w:szCs w:val="18"/>
          <w:color w:val="auto"/>
        </w:rPr>
        <w:t>,” which term, as used herein, includes the rules and regulations of the Commission promulgated thereunder).</w:t>
      </w:r>
    </w:p>
    <w:p>
      <w:pPr>
        <w:spacing w:after="0" w:line="69" w:lineRule="exact"/>
        <w:rPr>
          <w:sz w:val="20"/>
          <w:szCs w:val="20"/>
          <w:color w:val="auto"/>
        </w:rPr>
      </w:pPr>
    </w:p>
    <w:p>
      <w:pPr>
        <w:ind w:right="140" w:firstLine="443"/>
        <w:spacing w:after="0" w:line="266" w:lineRule="auto"/>
        <w:tabs>
          <w:tab w:leader="none" w:pos="683"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Eligibility for Resale Under Rule 144A. </w:t>
      </w:r>
      <w:r>
        <w:rPr>
          <w:rFonts w:ascii="Arial" w:cs="Arial" w:eastAsia="Arial" w:hAnsi="Arial"/>
          <w:sz w:val="18"/>
          <w:szCs w:val="18"/>
          <w:color w:val="auto"/>
        </w:rPr>
        <w:t>The Securities are eligible for resale pursuant to Rule 144A and will not be, at the Closing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Sale Date or the related Settlement Date, of the same class as securities listed on a national securities exchange registered under Section 6 of the Exchange Act or quoted in a U.S. automated interdealer quotation system.</w:t>
      </w:r>
    </w:p>
    <w:p>
      <w:pPr>
        <w:spacing w:after="0" w:line="68" w:lineRule="exact"/>
        <w:rPr>
          <w:rFonts w:ascii="Arial" w:cs="Arial" w:eastAsia="Arial" w:hAnsi="Arial"/>
          <w:sz w:val="18"/>
          <w:szCs w:val="18"/>
          <w:color w:val="auto"/>
        </w:rPr>
      </w:pPr>
    </w:p>
    <w:p>
      <w:pPr>
        <w:ind w:right="160" w:firstLine="443"/>
        <w:spacing w:after="0" w:line="258" w:lineRule="auto"/>
        <w:tabs>
          <w:tab w:leader="none" w:pos="693"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No Integration of Offerings. </w:t>
      </w:r>
      <w:r>
        <w:rPr>
          <w:rFonts w:ascii="Arial" w:cs="Arial" w:eastAsia="Arial" w:hAnsi="Arial"/>
          <w:sz w:val="18"/>
          <w:szCs w:val="18"/>
          <w:color w:val="auto"/>
        </w:rPr>
        <w:t>None of the Company, its affiliates (as defined in Rule 501 under the Securities Act) (each, an “</w:t>
      </w:r>
      <w:r>
        <w:rPr>
          <w:rFonts w:ascii="Arial" w:cs="Arial" w:eastAsia="Arial" w:hAnsi="Arial"/>
          <w:sz w:val="18"/>
          <w:szCs w:val="18"/>
          <w:b w:val="1"/>
          <w:bCs w:val="1"/>
          <w:color w:val="auto"/>
        </w:rPr>
        <w:t>Affiliate</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acting on its or any of their behalf (other than the Initial Purchasers, as to whom the Company makes no representation or 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Securities Act.</w:t>
      </w:r>
    </w:p>
    <w:p>
      <w:pPr>
        <w:spacing w:after="0" w:line="75" w:lineRule="exact"/>
        <w:rPr>
          <w:rFonts w:ascii="Arial" w:cs="Arial" w:eastAsia="Arial" w:hAnsi="Arial"/>
          <w:sz w:val="18"/>
          <w:szCs w:val="18"/>
          <w:color w:val="auto"/>
        </w:rPr>
      </w:pPr>
    </w:p>
    <w:p>
      <w:pPr>
        <w:ind w:right="120" w:firstLine="443"/>
        <w:spacing w:after="0" w:line="272" w:lineRule="auto"/>
        <w:tabs>
          <w:tab w:leader="none" w:pos="683" w:val="left"/>
        </w:tabs>
        <w:numPr>
          <w:ilvl w:val="0"/>
          <w:numId w:val="180"/>
        </w:numPr>
        <w:rPr>
          <w:rFonts w:ascii="Arial" w:cs="Arial" w:eastAsia="Arial" w:hAnsi="Arial"/>
          <w:sz w:val="17"/>
          <w:szCs w:val="17"/>
          <w:color w:val="auto"/>
        </w:rPr>
      </w:pPr>
      <w:r>
        <w:rPr>
          <w:rFonts w:ascii="Arial" w:cs="Arial" w:eastAsia="Arial" w:hAnsi="Arial"/>
          <w:sz w:val="17"/>
          <w:szCs w:val="17"/>
          <w:b w:val="1"/>
          <w:bCs w:val="1"/>
          <w:color w:val="auto"/>
        </w:rPr>
        <w:t xml:space="preserve">No General Solicitation. </w:t>
      </w:r>
      <w:r>
        <w:rPr>
          <w:rFonts w:ascii="Arial" w:cs="Arial" w:eastAsia="Arial" w:hAnsi="Arial"/>
          <w:sz w:val="17"/>
          <w:szCs w:val="17"/>
          <w:color w:val="auto"/>
        </w:rPr>
        <w:t>None of the Company, its Affiliates, or any person acting on its or any of their behalf (other than the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Purchasers, as to whom the Company makes no representation or warranty) has engaged or will engage, in connection with the offering of the Securities, in any form of general solicitation or general advertising within the meaning of Rule 502 under the Securities Act other than by means of a Permitted General Solicitation (as defined below). With respect to those Securities sold in reliance upon Regulation S, (i) none of the Company, its Affiliates or any person acting on its or their behalf (other than the Initial Purchasers, as to whom the Company makes no representation or warranty) has engaged or will engage in any directed selling efforts within the meaning of Regulation S and (ii) each of the Company and its Affiliates and any person acting on its or their behalf (other than the Initial Purchasers, as to whom the Company makes no representation or warranty) has complied and will comply with the offering restrictions set forth in Regulation S.</w:t>
      </w:r>
    </w:p>
    <w:p>
      <w:pPr>
        <w:spacing w:after="0" w:line="64" w:lineRule="exact"/>
        <w:rPr>
          <w:rFonts w:ascii="Arial" w:cs="Arial" w:eastAsia="Arial" w:hAnsi="Arial"/>
          <w:sz w:val="17"/>
          <w:szCs w:val="17"/>
          <w:color w:val="auto"/>
        </w:rPr>
      </w:pPr>
    </w:p>
    <w:p>
      <w:pPr>
        <w:ind w:firstLine="443"/>
        <w:spacing w:after="0" w:line="255" w:lineRule="auto"/>
        <w:tabs>
          <w:tab w:leader="none" w:pos="663"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Company Additional Written Communications; Permitted General Solicitations. </w:t>
      </w:r>
      <w:r>
        <w:rPr>
          <w:rFonts w:ascii="Arial" w:cs="Arial" w:eastAsia="Arial" w:hAnsi="Arial"/>
          <w:sz w:val="18"/>
          <w:szCs w:val="18"/>
          <w:color w:val="auto"/>
        </w:rPr>
        <w:t>The Company has not prepared, made, used,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or distributed and will not prepare, make, use, authorize, approve or distribute any (x) written communication that constitutes an offer to sell or solicitation of an offer to buy the Securities other than (i) the Preliminary Offering Memorandum, (ii) the Final Offering Memorandum, (iii) any Updated Final Offering Memorandum and (iv) any electronic road show or other written communications other than any Permitted General Solicitation, in each case used in accordance with Section 3(b) or (y) any general solicitation other than any such solicitation (i) listed on Schedule C hereto or (ii) in accordance with Section 3(j) hereof (each such solicitation referred to in clause (i), (ii) and (iii), a “</w:t>
      </w:r>
      <w:r>
        <w:rPr>
          <w:rFonts w:ascii="Arial" w:cs="Arial" w:eastAsia="Arial" w:hAnsi="Arial"/>
          <w:sz w:val="18"/>
          <w:szCs w:val="18"/>
          <w:b w:val="1"/>
          <w:bCs w:val="1"/>
          <w:color w:val="auto"/>
        </w:rPr>
        <w:t>Permitted General Solicitation</w:t>
      </w:r>
      <w:r>
        <w:rPr>
          <w:rFonts w:ascii="Arial" w:cs="Arial" w:eastAsia="Arial" w:hAnsi="Arial"/>
          <w:sz w:val="18"/>
          <w:szCs w:val="18"/>
          <w:color w:val="auto"/>
        </w:rPr>
        <w:t>”). Each such communication or Permitted General Solicitation by the Company or its agents and representatives pursuant to clause (iv) of the preceding sentence</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30" w:name="page131"/>
    <w:bookmarkEnd w:id="130"/>
    <w:p>
      <w:pPr>
        <w:ind w:right="8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 “</w:t>
      </w:r>
      <w:r>
        <w:rPr>
          <w:rFonts w:ascii="Arial" w:cs="Arial" w:eastAsia="Arial" w:hAnsi="Arial"/>
          <w:sz w:val="16"/>
          <w:szCs w:val="16"/>
          <w:b w:val="1"/>
          <w:bCs w:val="1"/>
          <w:color w:val="auto"/>
        </w:rPr>
        <w:t>Company Additional Written Communication</w:t>
      </w:r>
      <w:r>
        <w:rPr>
          <w:rFonts w:ascii="Arial" w:cs="Arial" w:eastAsia="Arial" w:hAnsi="Arial"/>
          <w:sz w:val="16"/>
          <w:szCs w:val="16"/>
          <w:color w:val="auto"/>
        </w:rPr>
        <w:t>”), when taken together with the Final Offering Memorandum and the most recent Updated Final Offering Memorandum did not as of the date hereof, and at the Closing Date, any Sale Date or the related Settlement Date will not, contain any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each such Company Additional Written Communication made in reliance upon and in conformity with information furnished to the Company in writing by any Initial Purchaser through the Representative expressly for use in any Company Additional Written Communication.</w:t>
      </w:r>
    </w:p>
    <w:p>
      <w:pPr>
        <w:spacing w:after="0" w:line="48" w:lineRule="exact"/>
        <w:rPr>
          <w:sz w:val="20"/>
          <w:szCs w:val="20"/>
          <w:color w:val="auto"/>
        </w:rPr>
      </w:pPr>
    </w:p>
    <w:p>
      <w:pPr>
        <w:ind w:right="720" w:firstLine="443"/>
        <w:spacing w:after="0" w:line="282" w:lineRule="auto"/>
        <w:tabs>
          <w:tab w:leader="none" w:pos="693"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The Purchase Agreement. </w:t>
      </w:r>
      <w:r>
        <w:rPr>
          <w:rFonts w:ascii="Arial" w:cs="Arial" w:eastAsia="Arial" w:hAnsi="Arial"/>
          <w:sz w:val="18"/>
          <w:szCs w:val="18"/>
          <w:color w:val="auto"/>
        </w:rPr>
        <w:t>This Agreement has been duly authorized, executed and delivered by the Company and each of the NN</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w:t>
      </w:r>
    </w:p>
    <w:p>
      <w:pPr>
        <w:spacing w:after="0" w:line="53" w:lineRule="exact"/>
        <w:rPr>
          <w:rFonts w:ascii="Arial" w:cs="Arial" w:eastAsia="Arial" w:hAnsi="Arial"/>
          <w:sz w:val="18"/>
          <w:szCs w:val="18"/>
          <w:color w:val="auto"/>
        </w:rPr>
      </w:pPr>
    </w:p>
    <w:p>
      <w:pPr>
        <w:ind w:firstLine="443"/>
        <w:spacing w:after="0" w:line="258" w:lineRule="auto"/>
        <w:tabs>
          <w:tab w:leader="none" w:pos="693"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The Initial Indenture. </w:t>
      </w:r>
      <w:r>
        <w:rPr>
          <w:rFonts w:ascii="Arial" w:cs="Arial" w:eastAsia="Arial" w:hAnsi="Arial"/>
          <w:sz w:val="18"/>
          <w:szCs w:val="18"/>
          <w:color w:val="auto"/>
        </w:rPr>
        <w:t>The Initial Indenture has been duly authorized by the Company and each of the NN Guarantors and, at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will have been duly executed and delivered by the Company and each of the NN Guarantors and will constitute a valid and binding agreement of the Company and each of the NN Guarantors, enforceable against the Company and each of the NN Guarantors in accordance with its terms, except as the enforcement thereof may be limited by bankruptcy, insolvency, reorganization, moratorium or other similar laws relating to or affecting the rights and remedies of creditors or by general equitable principles.</w:t>
      </w:r>
    </w:p>
    <w:p>
      <w:pPr>
        <w:spacing w:after="0" w:line="75" w:lineRule="exact"/>
        <w:rPr>
          <w:rFonts w:ascii="Arial" w:cs="Arial" w:eastAsia="Arial" w:hAnsi="Arial"/>
          <w:sz w:val="18"/>
          <w:szCs w:val="18"/>
          <w:color w:val="auto"/>
        </w:rPr>
      </w:pPr>
    </w:p>
    <w:p>
      <w:pPr>
        <w:ind w:right="180" w:firstLine="443"/>
        <w:spacing w:after="0" w:line="258" w:lineRule="auto"/>
        <w:tabs>
          <w:tab w:leader="none" w:pos="653"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The Supplemental Indenture. </w:t>
      </w:r>
      <w:r>
        <w:rPr>
          <w:rFonts w:ascii="Arial" w:cs="Arial" w:eastAsia="Arial" w:hAnsi="Arial"/>
          <w:sz w:val="18"/>
          <w:szCs w:val="18"/>
          <w:color w:val="auto"/>
        </w:rPr>
        <w:t>On or prior to the Closing Date, the Supplemental Indenture will have been duly authorized by the PEP</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and, when duly executed and delivered in accordance with its terms by each of the parties thereto, will constitute a valid and binding agreement of the PEP Guarantors, enforceable against the PEP Guarantors in accordance with its terms, except as the enforcement thereof may be limited by bankruptcy, insolvency, reorganization, moratorium or other similar laws relating to or affecting the rights and remedies of creditors or by general equitable principles.</w:t>
      </w:r>
    </w:p>
    <w:p>
      <w:pPr>
        <w:spacing w:after="0" w:line="75" w:lineRule="exact"/>
        <w:rPr>
          <w:rFonts w:ascii="Arial" w:cs="Arial" w:eastAsia="Arial" w:hAnsi="Arial"/>
          <w:sz w:val="18"/>
          <w:szCs w:val="18"/>
          <w:color w:val="auto"/>
        </w:rPr>
      </w:pPr>
    </w:p>
    <w:p>
      <w:pPr>
        <w:ind w:right="20" w:firstLine="443"/>
        <w:spacing w:after="0" w:line="258" w:lineRule="auto"/>
        <w:tabs>
          <w:tab w:leader="none" w:pos="653"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The Registration Rights Agreement. </w:t>
      </w:r>
      <w:r>
        <w:rPr>
          <w:rFonts w:ascii="Arial" w:cs="Arial" w:eastAsia="Arial" w:hAnsi="Arial"/>
          <w:sz w:val="18"/>
          <w:szCs w:val="18"/>
          <w:color w:val="auto"/>
        </w:rPr>
        <w:t>The Registration Rights Agreement has been duly authorized and, on the Closing Date, will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executed and delivered by, and will constitute a valid and binding agreement of, the Company and each of the NN Guarantors, enforceable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indemnification may be limited by applicable law.</w:t>
      </w:r>
    </w:p>
    <w:p>
      <w:pPr>
        <w:spacing w:after="0" w:line="75" w:lineRule="exact"/>
        <w:rPr>
          <w:rFonts w:ascii="Arial" w:cs="Arial" w:eastAsia="Arial" w:hAnsi="Arial"/>
          <w:sz w:val="18"/>
          <w:szCs w:val="18"/>
          <w:color w:val="auto"/>
        </w:rPr>
      </w:pPr>
    </w:p>
    <w:p>
      <w:pPr>
        <w:ind w:right="300" w:firstLine="443"/>
        <w:spacing w:after="0" w:line="314" w:lineRule="auto"/>
        <w:tabs>
          <w:tab w:leader="none" w:pos="693" w:val="left"/>
        </w:tabs>
        <w:numPr>
          <w:ilvl w:val="0"/>
          <w:numId w:val="181"/>
        </w:numPr>
        <w:rPr>
          <w:rFonts w:ascii="Arial" w:cs="Arial" w:eastAsia="Arial" w:hAnsi="Arial"/>
          <w:sz w:val="16"/>
          <w:szCs w:val="16"/>
          <w:color w:val="auto"/>
        </w:rPr>
      </w:pPr>
      <w:r>
        <w:rPr>
          <w:rFonts w:ascii="Arial" w:cs="Arial" w:eastAsia="Arial" w:hAnsi="Arial"/>
          <w:sz w:val="16"/>
          <w:szCs w:val="16"/>
          <w:b w:val="1"/>
          <w:bCs w:val="1"/>
          <w:color w:val="auto"/>
        </w:rPr>
        <w:t xml:space="preserve">The Notes and the Guarantees. </w:t>
      </w:r>
      <w:r>
        <w:rPr>
          <w:rFonts w:ascii="Arial" w:cs="Arial" w:eastAsia="Arial" w:hAnsi="Arial"/>
          <w:sz w:val="16"/>
          <w:szCs w:val="16"/>
          <w:color w:val="auto"/>
        </w:rPr>
        <w:t>The Notes have been duly authorized for issuance and sale pursuant to this Agreement and the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and, at the Closing Date, will have been duly executed by the Company and, when authenticated in the manner provided for in the Initial Indenture and delivered to and paid for by the Initial Purchasers as provided in this Agreement, will constitute valid and binding obligations</w:t>
      </w:r>
    </w:p>
    <w:p>
      <w:pPr>
        <w:spacing w:after="0" w:line="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700" w:top="270" w:right="319" w:bottom="1440" w:gutter="0" w:footer="0" w:header="0"/>
        </w:sectPr>
      </w:pPr>
    </w:p>
    <w:bookmarkStart w:id="131" w:name="page132"/>
    <w:bookmarkEnd w:id="1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Company, enforceable in accordance with their terms, except as the enforcement thereof may be limited by bankruptcy, insolvency, reorganization, moratorium or other similar laws relating to or affecting the rights and remedies of creditors or by general equitable principles, and will be entitled to the benefits of the Initial Indenture. The NN Guarantees on the Closing Date when issued will be in the respective forms contemplated by the Initial Indenture and have been duly authorized for issuance pursuant to this Agreement and the Initial Indenture; the NN Guarantees, at the Closing Date, will have been duly executed by each of the NN Guarantors and, when the Notes have been authenticated in the manner provided for in the Initial Indenture and issued and delivered against payment of the purchase price therefor, the NN Guarantees will constitute valid and binding agreements of the NN Guarantors, enforceable in accordance with their terms, except as the enforcement thereof may be limited by bankruptcy, insolvency, reorganization, moratorium or other similar laws relating to or affecting the rights and remedies of creditors or by general equitable principles and will be entitled to the benefits of the Indenture; and on or prior to the Closing Date, the PEP Guarantees will have been duly authorized by each of the PEP Guarantors, and, when the Supplemental Indenture has been duly executed and delivered by each of the parties thereto as provided in the Initial Indenture, will be valid and legally binding obligations of each of the PEP Guarantors, enforceable against each of the PEP Guarantors in accordance with their terms, except as the enforcement thereof may be limited by bankruptcy, insolvency, reorganization, moratorium or other similar laws relating to or affecting the rights and remedies of creditors or by general equitable principles and will be entitled to the benefits of the Indenture.</w:t>
      </w:r>
    </w:p>
    <w:p>
      <w:pPr>
        <w:spacing w:after="0" w:line="63" w:lineRule="exact"/>
        <w:rPr>
          <w:sz w:val="20"/>
          <w:szCs w:val="20"/>
          <w:color w:val="auto"/>
        </w:rPr>
      </w:pPr>
    </w:p>
    <w:p>
      <w:pPr>
        <w:ind w:right="100" w:firstLine="443"/>
        <w:spacing w:after="0" w:line="298" w:lineRule="auto"/>
        <w:tabs>
          <w:tab w:leader="none" w:pos="653"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 xml:space="preserve">The Exchange Securities. </w:t>
      </w:r>
      <w:r>
        <w:rPr>
          <w:rFonts w:ascii="Arial" w:cs="Arial" w:eastAsia="Arial" w:hAnsi="Arial"/>
          <w:sz w:val="16"/>
          <w:szCs w:val="16"/>
          <w:color w:val="auto"/>
        </w:rPr>
        <w:t>The Exchange Securities (including the related Guarantees) have been duly and validly authorized for issuance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when issued and authenticated in accordance with the terms of the Indenture, the Registration Rights Agreement and the Exchange Offer, will constitute valid and binding obligations of the Company, enforceable against the Company in accordance with their terms, except as the enforcement thereof may be limited by bankruptcy, insolvency, reorganization, moratorium, or similar laws relating to or affecting enforcement of the rights and remedies of creditors or by general principles of equity and will be entitled to the benefits of the Indenture.</w:t>
      </w:r>
    </w:p>
    <w:p>
      <w:pPr>
        <w:spacing w:after="0" w:line="46" w:lineRule="exact"/>
        <w:rPr>
          <w:rFonts w:ascii="Arial" w:cs="Arial" w:eastAsia="Arial" w:hAnsi="Arial"/>
          <w:sz w:val="16"/>
          <w:szCs w:val="16"/>
          <w:color w:val="auto"/>
        </w:rPr>
      </w:pPr>
    </w:p>
    <w:p>
      <w:pPr>
        <w:ind w:right="120" w:firstLine="443"/>
        <w:spacing w:after="0" w:line="258" w:lineRule="auto"/>
        <w:tabs>
          <w:tab w:leader="none" w:pos="743"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Joinder Agreements. </w:t>
      </w:r>
      <w:r>
        <w:rPr>
          <w:rFonts w:ascii="Arial" w:cs="Arial" w:eastAsia="Arial" w:hAnsi="Arial"/>
          <w:sz w:val="18"/>
          <w:szCs w:val="18"/>
          <w:color w:val="auto"/>
        </w:rPr>
        <w:t>On or prior to the Closing Date, (i) the Joinder Agreement will have been duly authorized, executed and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PEP Guarantors and (ii) the Registration Rights Agreement Joinder will have been duly authorized, executed and delivered by each of the PEP Guarantors, and will constitute a valid and legally binding obligation of each of the PEP Guarantors, except as the enforcement thereof may be limited by bankruptcy, insolvency, reorganization, moratorium or other similar laws relating to or affecting the rights and remedies of creditors or by general equitable principles.</w:t>
      </w:r>
    </w:p>
    <w:p>
      <w:pPr>
        <w:spacing w:after="0" w:line="75" w:lineRule="exact"/>
        <w:rPr>
          <w:rFonts w:ascii="Arial" w:cs="Arial" w:eastAsia="Arial" w:hAnsi="Arial"/>
          <w:sz w:val="18"/>
          <w:szCs w:val="18"/>
          <w:color w:val="auto"/>
        </w:rPr>
      </w:pPr>
    </w:p>
    <w:p>
      <w:pPr>
        <w:ind w:right="560" w:firstLine="443"/>
        <w:spacing w:after="0" w:line="282" w:lineRule="auto"/>
        <w:tabs>
          <w:tab w:leader="none" w:pos="693"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Descriptions of the Transaction Documents. </w:t>
      </w:r>
      <w:r>
        <w:rPr>
          <w:rFonts w:ascii="Arial" w:cs="Arial" w:eastAsia="Arial" w:hAnsi="Arial"/>
          <w:sz w:val="18"/>
          <w:szCs w:val="18"/>
          <w:color w:val="auto"/>
        </w:rPr>
        <w:t>Each Transaction Document conforms in all material respects to the description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Offering Memorandum.</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132" w:name="page133"/>
    <w:bookmarkEnd w:id="132"/>
    <w:p>
      <w:pPr>
        <w:ind w:right="60" w:firstLine="443"/>
        <w:spacing w:after="0" w:line="284" w:lineRule="auto"/>
        <w:tabs>
          <w:tab w:leader="none" w:pos="693" w:val="left"/>
        </w:tabs>
        <w:numPr>
          <w:ilvl w:val="1"/>
          <w:numId w:val="18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Material Adverse Change. </w:t>
      </w:r>
      <w:r>
        <w:rPr>
          <w:rFonts w:ascii="Arial" w:cs="Arial" w:eastAsia="Arial" w:hAnsi="Arial"/>
          <w:sz w:val="16"/>
          <w:szCs w:val="16"/>
          <w:color w:val="auto"/>
        </w:rPr>
        <w:t>Except as otherwise disclosed in the Offering Memorandum (exclusive of any amendment or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subsequent to the respective dates as of which information is given in the Offering Memorandum (exclusive of any amendment or supplement thereto) there has been no material adverse change in the financial condition, business, properties, business prospects or results of operations of the Company and its subsidiaries taken as a whole (any such change is called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Neither the Company nor any of its subsidiaries has sustained since the date of the last audited financial statements included in the Offering Memorandum any loss or interference with its business material to the Company and its subsidiaries considered as a whole, otherwise than as set forth in the Offering Memorandum. Since the respective dates as of which information is given in the Offering Memorandum, there has not been any (i) material change in the capitalization of the Company or its subsidiaries, (ii) material increase in the aggregate in the consolidated short-term or long-term debt of the Company, (iii) transaction that is material to the Company and its subsidiaries contemplated or entered into by the Company or any of its subsidiaries, (iv) obligation, contingent or otherwise, directly or indirectly incurred by the Company or any subsidiary that is material to the Company and its subsidiaries taken as a whole,</w:t>
      </w:r>
    </w:p>
    <w:p>
      <w:pPr>
        <w:spacing w:after="0" w:line="1" w:lineRule="exact"/>
        <w:rPr>
          <w:rFonts w:ascii="Arial" w:cs="Arial" w:eastAsia="Arial" w:hAnsi="Arial"/>
          <w:sz w:val="16"/>
          <w:szCs w:val="16"/>
          <w:color w:val="auto"/>
        </w:rPr>
      </w:pPr>
    </w:p>
    <w:p>
      <w:pPr>
        <w:ind w:right="40" w:firstLine="4"/>
        <w:spacing w:after="0" w:line="323" w:lineRule="auto"/>
        <w:tabs>
          <w:tab w:leader="none" w:pos="2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dividend or distribution of any kind declared, paid or made by the Company on any class of its capital stock, except for any dividend or distribution consistent with the Company’s past practice, or (vi) Material Adverse Change, in each case otherwise than as set forth in the Offering Memorandum.</w:t>
      </w:r>
    </w:p>
    <w:p>
      <w:pPr>
        <w:spacing w:after="0" w:line="26" w:lineRule="exact"/>
        <w:rPr>
          <w:rFonts w:ascii="Arial" w:cs="Arial" w:eastAsia="Arial" w:hAnsi="Arial"/>
          <w:sz w:val="16"/>
          <w:szCs w:val="16"/>
          <w:color w:val="auto"/>
        </w:rPr>
      </w:pPr>
    </w:p>
    <w:p>
      <w:pPr>
        <w:ind w:firstLine="443"/>
        <w:spacing w:after="0" w:line="271" w:lineRule="auto"/>
        <w:tabs>
          <w:tab w:leader="none" w:pos="693" w:val="left"/>
        </w:tabs>
        <w:numPr>
          <w:ilvl w:val="1"/>
          <w:numId w:val="184"/>
        </w:numPr>
        <w:rPr>
          <w:rFonts w:ascii="Arial" w:cs="Arial" w:eastAsia="Arial" w:hAnsi="Arial"/>
          <w:sz w:val="17"/>
          <w:szCs w:val="17"/>
          <w:color w:val="auto"/>
        </w:rPr>
      </w:pPr>
      <w:r>
        <w:rPr>
          <w:rFonts w:ascii="Arial" w:cs="Arial" w:eastAsia="Arial" w:hAnsi="Arial"/>
          <w:sz w:val="17"/>
          <w:szCs w:val="17"/>
          <w:b w:val="1"/>
          <w:bCs w:val="1"/>
          <w:color w:val="auto"/>
        </w:rPr>
        <w:t xml:space="preserve">Independent Accountants. </w:t>
      </w:r>
      <w:r>
        <w:rPr>
          <w:rFonts w:ascii="Arial" w:cs="Arial" w:eastAsia="Arial" w:hAnsi="Arial"/>
          <w:sz w:val="17"/>
          <w:szCs w:val="17"/>
          <w:color w:val="auto"/>
        </w:rPr>
        <w:t>(i) PricewaterhouseCoopers LLP, during the periods covered by the consolidated financial statements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related schedules and notes thereto included in the Offering Memorandum on which they reported were, and currently are, an independent registered public accounting firm within the meaning of the Securities Act, the Exchange Act and the rules of the Public Company Accounting Oversight Board, (ii) Deloitte and Touche LLP, who has certified the financial statements of Autocam Corporation (“</w:t>
      </w:r>
      <w:r>
        <w:rPr>
          <w:rFonts w:ascii="Arial" w:cs="Arial" w:eastAsia="Arial" w:hAnsi="Arial"/>
          <w:sz w:val="17"/>
          <w:szCs w:val="17"/>
          <w:b w:val="1"/>
          <w:bCs w:val="1"/>
          <w:color w:val="auto"/>
        </w:rPr>
        <w:t>Autocam</w:t>
      </w:r>
      <w:r>
        <w:rPr>
          <w:rFonts w:ascii="Arial" w:cs="Arial" w:eastAsia="Arial" w:hAnsi="Arial"/>
          <w:sz w:val="17"/>
          <w:szCs w:val="17"/>
          <w:color w:val="auto"/>
        </w:rPr>
        <w:t>”), a wholly-owned subsidiary of the Company, were on the dates of its reports on such financial statements, and currently are, an independent auditor with respect to Autocam under Rule 101 of The American Institute of Certified Public Accountants (“</w:t>
      </w:r>
      <w:r>
        <w:rPr>
          <w:rFonts w:ascii="Arial" w:cs="Arial" w:eastAsia="Arial" w:hAnsi="Arial"/>
          <w:sz w:val="17"/>
          <w:szCs w:val="17"/>
          <w:b w:val="1"/>
          <w:bCs w:val="1"/>
          <w:color w:val="auto"/>
        </w:rPr>
        <w:t>AICPA</w:t>
      </w:r>
      <w:r>
        <w:rPr>
          <w:rFonts w:ascii="Arial" w:cs="Arial" w:eastAsia="Arial" w:hAnsi="Arial"/>
          <w:sz w:val="17"/>
          <w:szCs w:val="17"/>
          <w:color w:val="auto"/>
        </w:rPr>
        <w:t>”) Code of Professional Conduct and its interpretations and rulings and (iii) Ernst &amp; Young LLP, during the periods covered by the consolidated financial statements of PEP and the related schedules and notes thereto included in the Offering Memorandum on which they reported were, and currently are, an independent auditor with respect to PEP under Rule 101 of The AICPA Code of Professional Conduct and its interpretations and rulings.</w:t>
      </w:r>
    </w:p>
    <w:p>
      <w:pPr>
        <w:spacing w:after="0" w:line="66" w:lineRule="exact"/>
        <w:rPr>
          <w:rFonts w:ascii="Arial" w:cs="Arial" w:eastAsia="Arial" w:hAnsi="Arial"/>
          <w:sz w:val="17"/>
          <w:szCs w:val="17"/>
          <w:color w:val="auto"/>
        </w:rPr>
      </w:pPr>
    </w:p>
    <w:p>
      <w:pPr>
        <w:ind w:right="60" w:firstLine="443"/>
        <w:spacing w:after="0" w:line="256" w:lineRule="auto"/>
        <w:tabs>
          <w:tab w:leader="none" w:pos="693" w:val="left"/>
        </w:tabs>
        <w:numPr>
          <w:ilvl w:val="1"/>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Preparation of the Financial Statements. </w:t>
      </w:r>
      <w:r>
        <w:rPr>
          <w:rFonts w:ascii="Arial" w:cs="Arial" w:eastAsia="Arial" w:hAnsi="Arial"/>
          <w:sz w:val="18"/>
          <w:szCs w:val="18"/>
          <w:color w:val="auto"/>
        </w:rPr>
        <w:t>The consolidated financial statements of the Company included in the Offering Memorandum,</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the related schedules and notes, fairly present in all material respects the financial condition of the Company and its subsidiaries as of the respective dates indicated and the consolidated statements of operations, cash flows and changes in stockholders’ equity for the respective periods specified, in each case in conformity with generally accepted accounting principles applied on a consistent basis throughout the periods involved (except as otherwise indicated in the notes thereto) and in accordance with Regulation S-X promulgated by the Commission. The financial information of Autocam included in the Offering</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0" w:right="259" w:bottom="1440" w:gutter="0" w:footer="0" w:header="0"/>
        </w:sectPr>
      </w:pPr>
    </w:p>
    <w:bookmarkStart w:id="133" w:name="page134"/>
    <w:bookmarkEnd w:id="13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Memorandum fairly presents in all material respects the financial results of Autocam and its subsidiaries as of the respective dates indicated in conformity with generally accepted accounting principles applied on a consistent basis throughout the periods involved. The consolidated financial statements of PEP included in the Offering Memorandum, together with the related schedules and notes, fairly present in all material respects the financial condition of PEP and its subsidiaries as of the respective dates indicated and the consolidated statements of operations, cash flows and changes in stockholders’ equity for the respective periods specified, in each case in conformity with generally accepted accounting principles applied on a consistent basis throughout the periods involved (except as otherwise indicated in the notes thereto). The pro forma financial information and the related notes thereto included in the Offering Memorandum have been prepared in accordance with the applicable requirements of the Securities Act and the Exchange Act, as applicable, and the assumptions underlying such pro forma financial information are reasonable and are set forth in the Offering Memorandum. The summary and selected consolidated financial data of each of the Company and PEP included in the Offering Memorandum fairly present in all material respects the information shown therein and have been compiled on a basis consistent with that of the consolidated financial statements of each of the Company and PEP included in the Offering Memorandum. The other financial information of each of the Company and PEP included in the Offering Memorandum has been derived from the accounting records of the Company and its subsidiaries and PEP and its subsidiaries, as applicable, and present fairly, in all material respects, the information shown thereby. The Offering Memorandum include all financial and other information required to be included in connection with the presentation of “non-GAAP financial measures” (as defined in Item 10 of Regulation S-K) therein, and the presentation of such non-GAAP financial measures therein complies with Regulation G and Item 10 of Regulation S-K, as applicable. Each of the Company and its subsidiaries and PEP and its subsidiaries do not have any material liabilities or obligations, direct or contingent (including any off-balance sheet obligations), required to be disclosed in the Offering Memorandum that are not so disclosed.</w:t>
      </w:r>
    </w:p>
    <w:p>
      <w:pPr>
        <w:spacing w:after="0" w:line="63" w:lineRule="exact"/>
        <w:rPr>
          <w:sz w:val="20"/>
          <w:szCs w:val="20"/>
          <w:color w:val="auto"/>
        </w:rPr>
      </w:pPr>
    </w:p>
    <w:p>
      <w:pPr>
        <w:ind w:firstLine="443"/>
        <w:spacing w:after="0" w:line="253" w:lineRule="auto"/>
        <w:tabs>
          <w:tab w:leader="none" w:pos="663"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and Good Standing. </w:t>
      </w:r>
      <w:r>
        <w:rPr>
          <w:rFonts w:ascii="Arial" w:cs="Arial" w:eastAsia="Arial" w:hAnsi="Arial"/>
          <w:sz w:val="18"/>
          <w:szCs w:val="18"/>
          <w:color w:val="auto"/>
        </w:rPr>
        <w:t>The Company has been duly incorporated and is validly existing and in good standing as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General Corporation Law of the State of Delaware, with the requisite power and authority to own and lease its properties and conduct its business as described in the Offering Memorandum and to enter into and perform its obligations under this Agreement. The Company is duly qualified to do business as a foreign corporation in good standing in all jurisdictions in which its ownership or lease of property or the conduct of its business requires such qualification, except where the failure to be so qualified would not, individually or in the aggregate, result in a Material Adverse Change. Each of the Company’s subsidiaries has been duly incorporated or organized, as applicable, and is validly existing and in good standing as a corporation or limited liability company, as applicable, under the laws of the jurisdiction of its incorporation or organization, as applicable, with the requisite power and authority (corporate or limited liability company, as applicable) to own and lease its properties and conduct its business as described in the Offering Memorandum. Each of the Company’s subsidiaries is duly qualified to do business as a foreign corporation or limited liability company, as applicable, in good standing in all jurisdictions in which its ownership or lease of property or the conduct of its business requires such qualification,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34" w:name="page135"/>
    <w:bookmarkEnd w:id="13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where the failure to be so qualified would not, individually or in the aggregate, have a Material Adverse Change. The Company does not own or control, directly or indirectly, any corporation, association or other entity other than the subsidiaries listed in Exhibit C hereto. All of the outstanding capital stock or other equity interests of each of its subsidiaries have been duly authorized and validly issued, are fully paid and nonassessable and are owned by the Company, directly or indirectly through subsidiaries, free and clear of all liens, encumbrances, equities or claims.</w:t>
      </w:r>
    </w:p>
    <w:p>
      <w:pPr>
        <w:spacing w:after="0" w:line="42" w:lineRule="exact"/>
        <w:rPr>
          <w:sz w:val="20"/>
          <w:szCs w:val="20"/>
          <w:color w:val="auto"/>
        </w:rPr>
      </w:pPr>
    </w:p>
    <w:p>
      <w:pPr>
        <w:ind w:right="60" w:firstLine="443"/>
        <w:spacing w:after="0" w:line="303" w:lineRule="auto"/>
        <w:tabs>
          <w:tab w:leader="none" w:pos="673"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t xml:space="preserve">Capitalization. </w:t>
      </w:r>
      <w:r>
        <w:rPr>
          <w:rFonts w:ascii="Arial" w:cs="Arial" w:eastAsia="Arial" w:hAnsi="Arial"/>
          <w:sz w:val="16"/>
          <w:szCs w:val="16"/>
          <w:color w:val="auto"/>
        </w:rPr>
        <w:t>At June 30, 2015 (or in the case of an Updated Final Offering Memorandum that includes financial statements for a period</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to June 30, 2015, as of the last date of such period), on a consolidated basis, after giving pro forma effect to the Transactions, the Company would have an authorized and outstanding capitalization as set forth in the Offering Memorandum under the caption “Capitalization” (other than for subsequent issuances of capital stock, if any, pursuant to employee benefit plans or upon exercise of outstanding options or warrants).</w:t>
      </w:r>
    </w:p>
    <w:p>
      <w:pPr>
        <w:spacing w:after="0" w:line="43" w:lineRule="exact"/>
        <w:rPr>
          <w:rFonts w:ascii="Arial" w:cs="Arial" w:eastAsia="Arial" w:hAnsi="Arial"/>
          <w:sz w:val="16"/>
          <w:szCs w:val="16"/>
          <w:color w:val="auto"/>
        </w:rPr>
      </w:pPr>
    </w:p>
    <w:p>
      <w:pPr>
        <w:ind w:left="660" w:hanging="217"/>
        <w:spacing w:after="0"/>
        <w:tabs>
          <w:tab w:leader="none" w:pos="660"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t>Solvency</w:t>
      </w:r>
      <w:r>
        <w:rPr>
          <w:rFonts w:ascii="Arial" w:cs="Arial" w:eastAsia="Arial" w:hAnsi="Arial"/>
          <w:sz w:val="16"/>
          <w:szCs w:val="16"/>
          <w:color w:val="auto"/>
        </w:rPr>
        <w:t>. Each of the Company and the Guarantors is, and immediately after the Closing Date will be, Solvent. As used herein, the term</w:t>
      </w:r>
    </w:p>
    <w:p>
      <w:pPr>
        <w:spacing w:after="0" w:line="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on a particular date, that on such date (i) the fair market value of the assets of such person is greater than the total amount of liabilities (including contingent liabilities) of such person, (ii) the present fair salable value of the assets of such person is greater than the amount that will be required to pay the probable liabilities of such person on its debt as they become absolute and matured, (iii) such person is able to realize upon its assets and pay its debts and other liabilities, including contingent obligations, as they mature and (iv) such person does not have unreasonably small capital.</w:t>
      </w:r>
    </w:p>
    <w:p>
      <w:pPr>
        <w:spacing w:after="0" w:line="79" w:lineRule="exact"/>
        <w:rPr>
          <w:sz w:val="20"/>
          <w:szCs w:val="20"/>
          <w:color w:val="auto"/>
        </w:rPr>
      </w:pPr>
    </w:p>
    <w:p>
      <w:pPr>
        <w:ind w:right="360" w:firstLine="443"/>
        <w:spacing w:after="0" w:line="295" w:lineRule="auto"/>
        <w:tabs>
          <w:tab w:leader="none" w:pos="693" w:val="left"/>
        </w:tabs>
        <w:numPr>
          <w:ilvl w:val="0"/>
          <w:numId w:val="187"/>
        </w:numPr>
        <w:rPr>
          <w:rFonts w:ascii="Arial" w:cs="Arial" w:eastAsia="Arial" w:hAnsi="Arial"/>
          <w:sz w:val="16"/>
          <w:szCs w:val="16"/>
          <w:color w:val="auto"/>
        </w:rPr>
      </w:pPr>
      <w:r>
        <w:rPr>
          <w:rFonts w:ascii="Arial" w:cs="Arial" w:eastAsia="Arial" w:hAnsi="Arial"/>
          <w:sz w:val="16"/>
          <w:szCs w:val="16"/>
          <w:b w:val="1"/>
          <w:bCs w:val="1"/>
          <w:color w:val="auto"/>
        </w:rPr>
        <w:t xml:space="preserve">No Material Actions or Proceedings. </w:t>
      </w:r>
      <w:r>
        <w:rPr>
          <w:rFonts w:ascii="Arial" w:cs="Arial" w:eastAsia="Arial" w:hAnsi="Arial"/>
          <w:sz w:val="16"/>
          <w:szCs w:val="16"/>
          <w:color w:val="auto"/>
        </w:rPr>
        <w:t>There are no legal or governmental actions, suits, arbitrations or other proceedings pending as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any of its subsidiaries is a party or of which any property of the Company or any of its subsidiaries is the subject that, if determined adversely to the Company or any of its subsidiaries, would reasonably be expected, individually or in the aggregate, to have a Material Adverse Change or would reasonably be expected to materially and adversely affect the consummation of the transactions contemplated by this Agreement; and no such actions, suits or proceedings are, to the Company’s knowledge, threatened or contemplated. No labor dispute with the employees of the Company or any of its subsidiaries exists or, to the knowledge of the Company, is threatened or imminent.</w:t>
      </w:r>
    </w:p>
    <w:p>
      <w:pPr>
        <w:spacing w:after="0" w:line="47" w:lineRule="exact"/>
        <w:rPr>
          <w:rFonts w:ascii="Arial" w:cs="Arial" w:eastAsia="Arial" w:hAnsi="Arial"/>
          <w:sz w:val="16"/>
          <w:szCs w:val="16"/>
          <w:color w:val="auto"/>
        </w:rPr>
      </w:pPr>
    </w:p>
    <w:p>
      <w:pPr>
        <w:ind w:right="80" w:firstLine="443"/>
        <w:spacing w:after="0" w:line="295" w:lineRule="auto"/>
        <w:tabs>
          <w:tab w:leader="none" w:pos="693" w:val="left"/>
        </w:tabs>
        <w:numPr>
          <w:ilvl w:val="0"/>
          <w:numId w:val="187"/>
        </w:numPr>
        <w:rPr>
          <w:rFonts w:ascii="Arial" w:cs="Arial" w:eastAsia="Arial" w:hAnsi="Arial"/>
          <w:sz w:val="16"/>
          <w:szCs w:val="16"/>
          <w:color w:val="auto"/>
        </w:rPr>
      </w:pPr>
      <w:r>
        <w:rPr>
          <w:rFonts w:ascii="Arial" w:cs="Arial" w:eastAsia="Arial" w:hAnsi="Arial"/>
          <w:sz w:val="16"/>
          <w:szCs w:val="16"/>
          <w:b w:val="1"/>
          <w:bCs w:val="1"/>
          <w:color w:val="auto"/>
        </w:rPr>
        <w:t xml:space="preserve">Non-Contravention; No Authorizations or Approvals. </w:t>
      </w:r>
      <w:r>
        <w:rPr>
          <w:rFonts w:ascii="Arial" w:cs="Arial" w:eastAsia="Arial" w:hAnsi="Arial"/>
          <w:sz w:val="16"/>
          <w:szCs w:val="16"/>
          <w:color w:val="auto"/>
        </w:rPr>
        <w:t>No consent, approval, authorization, or order of, or filing or registration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agency or body or any court is required for the consummation of the transactions contemplated by this Agreement, except (i) such as have been made or obtained under the Securities Act, or (ii) the consents, approvals, authorizations, registrations or qualifications as may be required by state securities or “blue sky” laws. The compliance by the Company and the Guarantors with all of the provisions of this Agreement and the consummation of the transactions contemplated herein will not conflict with, or result in a breach or violation of any of the terms and provisions of, or constitute a default under (i) the certificate of incorporation, by-laws, limited liability company agreement or similar organizational documents</w:t>
      </w:r>
    </w:p>
    <w:p>
      <w:pPr>
        <w:spacing w:after="0" w:line="9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35" w:name="page136"/>
    <w:bookmarkEnd w:id="1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Company or any of its subsidiaries, as applicable, (ii) any indenture, mortgage, deed of trust, lease, loan agreement or other agreement or instrument to which the Company or any of its subsidiaries is a party or by which the Company or any of its subsidiaries is bound or to which any of the property or assets of the Company or any of its subsidiaries is subject, or (iii) any statute, law, order, rule or regulation of any governmental agency or body or any court applicable to the Company or any of its subsidiaries or any of their property, assets or operations. None of the Company nor any of its subsidiaries is (i) in violation of its certificate of incorporation, by-laws, limited liability company agreement or similar organizational documents, as applicable, or (ii) in default (or, with the giving of notice or lapse of time or both, would be in default) under any indenture, mortgage, deed of trust, lease, loan agreement or other agreement or instrument to which the Company or any of its subsidiaries is a party or by which the Company or any of its subsidiaries is bound or to which any of the property or assets of the Company or any of its subsidiaries is subject.</w:t>
      </w:r>
    </w:p>
    <w:p>
      <w:pPr>
        <w:spacing w:after="0" w:line="54" w:lineRule="exact"/>
        <w:rPr>
          <w:sz w:val="20"/>
          <w:szCs w:val="20"/>
          <w:color w:val="auto"/>
        </w:rPr>
      </w:pPr>
    </w:p>
    <w:p>
      <w:pPr>
        <w:ind w:firstLine="443"/>
        <w:spacing w:after="0" w:line="298" w:lineRule="auto"/>
        <w:tabs>
          <w:tab w:leader="none" w:pos="733"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The Company and its subsidiaries own, possess or can acquire on commercially reasonable terms,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trademarks, trade names and other rights to inventions, know-how, patents, copyrights, confidential information and other intellectual property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could reasonably be expected to, individually or in the aggregate, have a Material Adverse Change.</w:t>
      </w:r>
    </w:p>
    <w:p>
      <w:pPr>
        <w:spacing w:after="0" w:line="46" w:lineRule="exact"/>
        <w:rPr>
          <w:rFonts w:ascii="Arial" w:cs="Arial" w:eastAsia="Arial" w:hAnsi="Arial"/>
          <w:sz w:val="16"/>
          <w:szCs w:val="16"/>
          <w:color w:val="auto"/>
        </w:rPr>
      </w:pPr>
    </w:p>
    <w:p>
      <w:pPr>
        <w:ind w:right="20" w:firstLine="443"/>
        <w:spacing w:after="0" w:line="295" w:lineRule="auto"/>
        <w:tabs>
          <w:tab w:leader="none" w:pos="693"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 xml:space="preserve">All Necessary Permits, etc. </w:t>
      </w:r>
      <w:r>
        <w:rPr>
          <w:rFonts w:ascii="Arial" w:cs="Arial" w:eastAsia="Arial" w:hAnsi="Arial"/>
          <w:sz w:val="16"/>
          <w:szCs w:val="16"/>
          <w:color w:val="auto"/>
        </w:rPr>
        <w:t>The Company and its subsidiaries possess such certificates, permits, licenses, approvals, consents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(collectively, “</w:t>
      </w:r>
      <w:r>
        <w:rPr>
          <w:rFonts w:ascii="Arial" w:cs="Arial" w:eastAsia="Arial" w:hAnsi="Arial"/>
          <w:sz w:val="16"/>
          <w:szCs w:val="16"/>
          <w:b w:val="1"/>
          <w:bCs w:val="1"/>
          <w:color w:val="auto"/>
        </w:rPr>
        <w:t>Governmental Licenses</w:t>
      </w:r>
      <w:r>
        <w:rPr>
          <w:rFonts w:ascii="Arial" w:cs="Arial" w:eastAsia="Arial" w:hAnsi="Arial"/>
          <w:sz w:val="16"/>
          <w:szCs w:val="16"/>
          <w:color w:val="auto"/>
        </w:rPr>
        <w:t>”) issued by appropriate federal, state or local governmental or regulatory agencies or bodies necessary to conduct the businesses now operated by them; and the Company and its subsidiaries are in compliance with the terms and conditions of all such Governmental Licenses; all of the Governmental Licenses are valid in full force and effect; and neither the Company nor any of its subsidiaries have received any notice of proceedings relating to the revocation or modification of any such Governmental Licenses that, if determined adversely to the Company or any of its subsidiaries, would, individually or in the aggregate, reasonably be expected to have a Material Adverse Change.</w:t>
      </w:r>
    </w:p>
    <w:p>
      <w:pPr>
        <w:spacing w:after="0" w:line="47" w:lineRule="exact"/>
        <w:rPr>
          <w:rFonts w:ascii="Arial" w:cs="Arial" w:eastAsia="Arial" w:hAnsi="Arial"/>
          <w:sz w:val="16"/>
          <w:szCs w:val="16"/>
          <w:color w:val="auto"/>
        </w:rPr>
      </w:pPr>
    </w:p>
    <w:p>
      <w:pPr>
        <w:ind w:right="40" w:firstLine="443"/>
        <w:spacing w:after="0" w:line="292" w:lineRule="auto"/>
        <w:tabs>
          <w:tab w:leader="none" w:pos="693"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 xml:space="preserve">Title to Properties. </w:t>
      </w:r>
      <w:r>
        <w:rPr>
          <w:rFonts w:ascii="Arial" w:cs="Arial" w:eastAsia="Arial" w:hAnsi="Arial"/>
          <w:sz w:val="16"/>
          <w:szCs w:val="16"/>
          <w:color w:val="auto"/>
        </w:rPr>
        <w:t>The Company and its subsidiaries have good and marketable title in fee simple to all real property owned by them, and</w:t>
      </w:r>
      <w:r>
        <w:rPr>
          <w:rFonts w:ascii="Arial" w:cs="Arial" w:eastAsia="Arial" w:hAnsi="Arial"/>
          <w:sz w:val="16"/>
          <w:szCs w:val="16"/>
          <w:b w:val="1"/>
          <w:bCs w:val="1"/>
          <w:color w:val="auto"/>
        </w:rPr>
        <w:t xml:space="preserve"> </w:t>
      </w:r>
      <w:r>
        <w:rPr>
          <w:rFonts w:ascii="Arial" w:cs="Arial" w:eastAsia="Arial" w:hAnsi="Arial"/>
          <w:sz w:val="16"/>
          <w:szCs w:val="16"/>
          <w:color w:val="auto"/>
        </w:rPr>
        <w:t>good and marketable title to all other property owned by them, in each case free from mortgages, pledges, liens, security interests, claims, restrictions, encumbrances and defects of any kind, except as are described in the Offering Memorandum. All of the leases and subleases material to the business of the Company and its subsidiaries, taken as a whole, and under which the Company or any of its subsidiaries holds the properties described in the Offering Memorandum, are in full force and effect, and neither the Company nor any subsidiary has received notice that a material claim has been asserted by anyone adverse to the rights of the Company or any of its subsidiaries under any such leases or subleases, or affecting or questioning the rights of the Company or such subsidiary to the continued possession of the leased or subleased property under any such lease or sublease.</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36" w:name="page137"/>
    <w:bookmarkEnd w:id="136"/>
    <w:p>
      <w:pPr>
        <w:ind w:right="20" w:firstLine="443"/>
        <w:spacing w:after="0" w:line="255" w:lineRule="auto"/>
        <w:tabs>
          <w:tab w:leader="none" w:pos="683"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 Law Compliance. </w:t>
      </w:r>
      <w:r>
        <w:rPr>
          <w:rFonts w:ascii="Arial" w:cs="Arial" w:eastAsia="Arial" w:hAnsi="Arial"/>
          <w:sz w:val="18"/>
          <w:szCs w:val="18"/>
          <w:color w:val="auto"/>
        </w:rPr>
        <w:t>The Company and each of its subsidiaries has (i) filed on a timely basis all federal, state, local and foreign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tax returns required to be filed or have properly requested extensions thereof; and (ii) paid all taxes of the Company and its subsidiaries due and owing (including any related assessments, fines or penalties), except for taxes being contested in good faith by the appropriate proceedings diligently conducted and for which reserves in accordance with generally accepted accounting principles have been provided. No tax deficiency has been asserted against the Company or any of its subsidiaries which has had, nor does the Company know of any tax deficiency that is likely to be asserted against the Company or any of its subsidiaries which, if determined adversely to the Company or any of its subsidiaries, would reasonably be expected to have, a Material Adverse Change.</w:t>
      </w:r>
    </w:p>
    <w:p>
      <w:pPr>
        <w:spacing w:after="0" w:line="81" w:lineRule="exact"/>
        <w:rPr>
          <w:sz w:val="20"/>
          <w:szCs w:val="20"/>
          <w:color w:val="auto"/>
        </w:rPr>
      </w:pPr>
    </w:p>
    <w:p>
      <w:pPr>
        <w:ind w:firstLine="443"/>
        <w:spacing w:after="0" w:line="289" w:lineRule="auto"/>
        <w:tabs>
          <w:tab w:leader="none" w:pos="763" w:val="left"/>
        </w:tabs>
        <w:numPr>
          <w:ilvl w:val="0"/>
          <w:numId w:val="190"/>
        </w:numPr>
        <w:rPr>
          <w:rFonts w:ascii="Arial" w:cs="Arial" w:eastAsia="Arial" w:hAnsi="Arial"/>
          <w:sz w:val="17"/>
          <w:szCs w:val="17"/>
          <w:color w:val="auto"/>
        </w:rPr>
      </w:pPr>
      <w:r>
        <w:rPr>
          <w:rFonts w:ascii="Arial" w:cs="Arial" w:eastAsia="Arial" w:hAnsi="Arial"/>
          <w:sz w:val="17"/>
          <w:szCs w:val="17"/>
          <w:b w:val="1"/>
          <w:bCs w:val="1"/>
          <w:color w:val="auto"/>
        </w:rPr>
        <w:t xml:space="preserve">Investment Company Act. </w:t>
      </w:r>
      <w:r>
        <w:rPr>
          <w:rFonts w:ascii="Arial" w:cs="Arial" w:eastAsia="Arial" w:hAnsi="Arial"/>
          <w:sz w:val="17"/>
          <w:szCs w:val="17"/>
          <w:color w:val="auto"/>
        </w:rPr>
        <w:t>Each of the Company and the Guarantors is not, and will not be, either after receipt of payment for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or after the application of the proceeds therefrom as described under “Use of Proceeds” in the Offering Memorandum, required to register as an “investment company” as such term is defined under the Investment Company Act of 1940, as amended.</w:t>
      </w:r>
    </w:p>
    <w:p>
      <w:pPr>
        <w:spacing w:after="0" w:line="50" w:lineRule="exact"/>
        <w:rPr>
          <w:rFonts w:ascii="Arial" w:cs="Arial" w:eastAsia="Arial" w:hAnsi="Arial"/>
          <w:sz w:val="17"/>
          <w:szCs w:val="17"/>
          <w:color w:val="auto"/>
        </w:rPr>
      </w:pPr>
    </w:p>
    <w:p>
      <w:pPr>
        <w:ind w:right="20" w:firstLine="443"/>
        <w:spacing w:after="0" w:line="255" w:lineRule="auto"/>
        <w:tabs>
          <w:tab w:leader="none" w:pos="783"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Each of the Company and its subsidiaries is insured by recognized and reputable institutions with policies in such amounts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such deductibles and covering such risks as are generally deemed adequate and customary for their businesses, including, but not limited to, policies covering professional liability, as well as for claims involving bodily injury and property damage.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Change. Neither the Company nor any of its subsidiaries has been denied any insurance coverage which it has sought or for which it has applied.</w:t>
      </w:r>
    </w:p>
    <w:p>
      <w:pPr>
        <w:spacing w:after="0" w:line="81" w:lineRule="exact"/>
        <w:rPr>
          <w:rFonts w:ascii="Arial" w:cs="Arial" w:eastAsia="Arial" w:hAnsi="Arial"/>
          <w:sz w:val="18"/>
          <w:szCs w:val="18"/>
          <w:color w:val="auto"/>
        </w:rPr>
      </w:pPr>
    </w:p>
    <w:p>
      <w:pPr>
        <w:ind w:right="180" w:firstLine="443"/>
        <w:spacing w:after="0" w:line="266" w:lineRule="auto"/>
        <w:tabs>
          <w:tab w:leader="none" w:pos="763"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No Stabilization or Manipulation. </w:t>
      </w:r>
      <w:r>
        <w:rPr>
          <w:rFonts w:ascii="Arial" w:cs="Arial" w:eastAsia="Arial" w:hAnsi="Arial"/>
          <w:sz w:val="18"/>
          <w:szCs w:val="18"/>
          <w:color w:val="auto"/>
        </w:rPr>
        <w:t>None of the Company or any of the Guarantors has taken or will take, directly or indirectly,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or that might be reasonably expected to cause or result in stabilization or manipulation of the price of any security of the Company to facilitate the sale or resale of the Securities.</w:t>
      </w:r>
    </w:p>
    <w:p>
      <w:pPr>
        <w:spacing w:after="0" w:line="68" w:lineRule="exact"/>
        <w:rPr>
          <w:rFonts w:ascii="Arial" w:cs="Arial" w:eastAsia="Arial" w:hAnsi="Arial"/>
          <w:sz w:val="18"/>
          <w:szCs w:val="18"/>
          <w:color w:val="auto"/>
        </w:rPr>
      </w:pPr>
    </w:p>
    <w:p>
      <w:pPr>
        <w:ind w:right="200" w:firstLine="443"/>
        <w:spacing w:after="0" w:line="266" w:lineRule="auto"/>
        <w:tabs>
          <w:tab w:leader="none" w:pos="783"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Sarbanes-Oxley. </w:t>
      </w:r>
      <w:r>
        <w:rPr>
          <w:rFonts w:ascii="Arial" w:cs="Arial" w:eastAsia="Arial" w:hAnsi="Arial"/>
          <w:sz w:val="18"/>
          <w:szCs w:val="18"/>
          <w:color w:val="auto"/>
        </w:rPr>
        <w:t>Neither the Company or any subsidiary, nor to its knowledge, any of their respective directors, members or managers,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officers, in their capacities as such, is in breach or violation of any provision of the Sarbanes-Oxley Act of 2002 and the rules and regulations promulgated in connection therewith.</w:t>
      </w:r>
    </w:p>
    <w:p>
      <w:pPr>
        <w:spacing w:after="0" w:line="68" w:lineRule="exact"/>
        <w:rPr>
          <w:rFonts w:ascii="Arial" w:cs="Arial" w:eastAsia="Arial" w:hAnsi="Arial"/>
          <w:sz w:val="18"/>
          <w:szCs w:val="18"/>
          <w:color w:val="auto"/>
        </w:rPr>
      </w:pPr>
    </w:p>
    <w:p>
      <w:pPr>
        <w:ind w:right="280" w:firstLine="443"/>
        <w:spacing w:after="0" w:line="313" w:lineRule="auto"/>
        <w:tabs>
          <w:tab w:leader="none" w:pos="763" w:val="left"/>
        </w:tabs>
        <w:numPr>
          <w:ilvl w:val="0"/>
          <w:numId w:val="190"/>
        </w:numPr>
        <w:rPr>
          <w:rFonts w:ascii="Arial" w:cs="Arial" w:eastAsia="Arial" w:hAnsi="Arial"/>
          <w:sz w:val="17"/>
          <w:szCs w:val="17"/>
          <w:color w:val="auto"/>
        </w:rPr>
      </w:pPr>
      <w:r>
        <w:rPr>
          <w:rFonts w:ascii="Arial" w:cs="Arial" w:eastAsia="Arial" w:hAnsi="Arial"/>
          <w:sz w:val="17"/>
          <w:szCs w:val="17"/>
          <w:b w:val="1"/>
          <w:bCs w:val="1"/>
          <w:color w:val="auto"/>
        </w:rPr>
        <w:t xml:space="preserve">Internal Accounting Controls. </w:t>
      </w:r>
      <w:r>
        <w:rPr>
          <w:rFonts w:ascii="Arial" w:cs="Arial" w:eastAsia="Arial" w:hAnsi="Arial"/>
          <w:sz w:val="17"/>
          <w:szCs w:val="17"/>
          <w:color w:val="auto"/>
        </w:rPr>
        <w:t>Each of the Company and its subsidiaries maintains a system of internal accounting controls sufficient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reasonable assurances that (i) transactions are executed in accordance with management’s general or specific</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0" w:right="239" w:bottom="1440" w:gutter="0" w:footer="0" w:header="0"/>
        </w:sectPr>
      </w:pPr>
    </w:p>
    <w:bookmarkStart w:id="137" w:name="page138"/>
    <w:bookmarkEnd w:id="13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(ii) transactions are recorded as necessary to permit preparation of financial statements in accordance with generally accepted accounting principles and to maintain accountability for assets, (iii) access to its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5" w:lineRule="exact"/>
        <w:rPr>
          <w:sz w:val="20"/>
          <w:szCs w:val="20"/>
          <w:color w:val="auto"/>
        </w:rPr>
      </w:pPr>
    </w:p>
    <w:p>
      <w:pPr>
        <w:ind w:right="80" w:firstLine="443"/>
        <w:spacing w:after="0" w:line="269" w:lineRule="auto"/>
        <w:tabs>
          <w:tab w:leader="none" w:pos="72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 xml:space="preserve">Disclosure Controls and Procedures. </w:t>
      </w:r>
      <w:r>
        <w:rPr>
          <w:rFonts w:ascii="Arial" w:cs="Arial" w:eastAsia="Arial" w:hAnsi="Arial"/>
          <w:sz w:val="17"/>
          <w:szCs w:val="17"/>
          <w:color w:val="auto"/>
        </w:rPr>
        <w:t>The Company maintains a system of internal control over financial reporting (as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As of the date hereof, the Company is not aware of (i) any “significant deficiency” or “material weakness” (in each case, as defined in Public Company Oversight Board Standard No. 5) in the Company’s internal control over reporting, whether or not subsequently remediated, or (ii) any fraud, whether or not material, that involves management or other employees who have a significant role in the Company’s internal control over financial reporting. The Company maintains disclosure controls and procedures (as defined in Rule 13a-15(e) under the Exchange Act) that comply with the requirements of the Exchange Act, which controls and procedures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w:t>
      </w:r>
    </w:p>
    <w:p>
      <w:pPr>
        <w:spacing w:after="0" w:line="71" w:lineRule="exact"/>
        <w:rPr>
          <w:rFonts w:ascii="Arial" w:cs="Arial" w:eastAsia="Arial" w:hAnsi="Arial"/>
          <w:sz w:val="17"/>
          <w:szCs w:val="17"/>
          <w:color w:val="auto"/>
        </w:rPr>
      </w:pPr>
    </w:p>
    <w:p>
      <w:pPr>
        <w:jc w:val="both"/>
        <w:ind w:right="140" w:firstLine="443"/>
        <w:spacing w:after="0" w:line="266" w:lineRule="auto"/>
        <w:tabs>
          <w:tab w:leader="none" w:pos="783"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 xml:space="preserve">Margin Regulations. </w:t>
      </w:r>
      <w:r>
        <w:rPr>
          <w:rFonts w:ascii="Arial" w:cs="Arial" w:eastAsia="Arial" w:hAnsi="Arial"/>
          <w:sz w:val="18"/>
          <w:szCs w:val="18"/>
          <w:color w:val="auto"/>
        </w:rPr>
        <w:t>Neither the Company nor any Guarantor nor any of their respective subsidiaries nor any agent thereof acting on their</w:t>
      </w:r>
      <w:r>
        <w:rPr>
          <w:rFonts w:ascii="Arial" w:cs="Arial" w:eastAsia="Arial" w:hAnsi="Arial"/>
          <w:sz w:val="18"/>
          <w:szCs w:val="18"/>
          <w:b w:val="1"/>
          <w:bCs w:val="1"/>
          <w:color w:val="auto"/>
        </w:rPr>
        <w:t xml:space="preserve"> </w:t>
      </w:r>
      <w:r>
        <w:rPr>
          <w:rFonts w:ascii="Arial" w:cs="Arial" w:eastAsia="Arial" w:hAnsi="Arial"/>
          <w:sz w:val="18"/>
          <w:szCs w:val="18"/>
          <w:color w:val="auto"/>
        </w:rPr>
        <w:t>behalf has taken, and none of them will take, any action that might cause this Agreement or the issuance or sale of the Securities to violate Regulation T, Regulation U or Regulation X of the Board of Governors of the Federal Reserve System.</w:t>
      </w:r>
    </w:p>
    <w:p>
      <w:pPr>
        <w:spacing w:after="0" w:line="68" w:lineRule="exact"/>
        <w:rPr>
          <w:rFonts w:ascii="Arial" w:cs="Arial" w:eastAsia="Arial" w:hAnsi="Arial"/>
          <w:sz w:val="18"/>
          <w:szCs w:val="18"/>
          <w:color w:val="auto"/>
        </w:rPr>
      </w:pPr>
    </w:p>
    <w:p>
      <w:pPr>
        <w:ind w:firstLine="443"/>
        <w:spacing w:after="0" w:line="272" w:lineRule="auto"/>
        <w:tabs>
          <w:tab w:leader="none" w:pos="783"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Except as would not reasonably be expected to, individually or in the aggregate, have a Material Adverse Change</w:t>
      </w:r>
      <w:r>
        <w:rPr>
          <w:rFonts w:ascii="Arial" w:cs="Arial" w:eastAsia="Arial" w:hAnsi="Arial"/>
          <w:sz w:val="17"/>
          <w:szCs w:val="17"/>
          <w:b w:val="1"/>
          <w:bCs w:val="1"/>
          <w:color w:val="auto"/>
        </w:rPr>
        <w:t xml:space="preserve"> </w:t>
      </w:r>
      <w:r>
        <w:rPr>
          <w:rFonts w:ascii="Arial" w:cs="Arial" w:eastAsia="Arial" w:hAnsi="Arial"/>
          <w:sz w:val="17"/>
          <w:szCs w:val="17"/>
          <w:color w:val="auto"/>
        </w:rPr>
        <w:t>and as disclosed in the Offering Memorandum, (i) neither the Company nor any of its subsidiaries is, or has been, in violation of any federal, state, local or foreign statute, rule, regulation, ordinance, code, policy or rule of common law or any judicial or administrative interpretation thereof, including any judicial or administrative order, consent, decree or judgment, of any governmental agency or body or any court relating to the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polychlorinated biphenyls or toxic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138" w:name="page139"/>
    <w:bookmarkEnd w:id="13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possess all permits, authorizations and approvals required under any applicable Environmental Laws and are, and at all times have been,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(iv) neither the Company nor any of its subsidiaries has received written notice of any actual or potential liability for the investigation or remediation of any Hazardous Materials, (v) neither the Company nor any of its subsidiaries is subject to any binding or written order, decree or agreement requiring any of them to perform any response or corrective action relating to any Hazardous Materials and (vi) there are no events or circumstances that might reasonably be expected to form the basis of an order or obligation for clean-up, remediation, corrective action or other response action, or an action, suit, demand or proceeding by any private party or governmental body or agency, against or affecting the Company or any of its subsidiaries relating to any Hazardous Materials or the violation of, or liability under, any Environmental Laws.</w:t>
      </w:r>
    </w:p>
    <w:p>
      <w:pPr>
        <w:spacing w:after="0" w:line="53" w:lineRule="exact"/>
        <w:rPr>
          <w:sz w:val="20"/>
          <w:szCs w:val="20"/>
          <w:color w:val="auto"/>
        </w:rPr>
      </w:pPr>
    </w:p>
    <w:p>
      <w:pPr>
        <w:ind w:firstLine="443"/>
        <w:spacing w:after="0" w:line="286" w:lineRule="auto"/>
        <w:tabs>
          <w:tab w:leader="none" w:pos="703" w:val="left"/>
        </w:tabs>
        <w:numPr>
          <w:ilvl w:val="0"/>
          <w:numId w:val="192"/>
        </w:numPr>
        <w:rPr>
          <w:rFonts w:ascii="Arial" w:cs="Arial" w:eastAsia="Arial" w:hAnsi="Arial"/>
          <w:sz w:val="16"/>
          <w:szCs w:val="16"/>
          <w:color w:val="auto"/>
        </w:rPr>
      </w:pPr>
      <w:r>
        <w:rPr>
          <w:rFonts w:ascii="Arial" w:cs="Arial" w:eastAsia="Arial" w:hAnsi="Arial"/>
          <w:sz w:val="16"/>
          <w:szCs w:val="16"/>
          <w:b w:val="1"/>
          <w:bCs w:val="1"/>
          <w:color w:val="auto"/>
        </w:rPr>
        <w:t xml:space="preserve">ERISA. </w:t>
      </w:r>
      <w:r>
        <w:rPr>
          <w:rFonts w:ascii="Arial" w:cs="Arial" w:eastAsia="Arial" w:hAnsi="Arial"/>
          <w:sz w:val="16"/>
          <w:szCs w:val="16"/>
          <w:color w:val="auto"/>
        </w:rPr>
        <w:t>The Company and its subsidiaries and each “employee benefit plan” (as defined in Section 3(3) of the Employee Retirement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their terms and with ERISA and/or other applicable law.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 subsidiary, any member of any group of organizations described in Sections 414(b), (c), (m) or (o) of the Internal Revenue Code of 1986, as amended (the “</w:t>
      </w:r>
      <w:r>
        <w:rPr>
          <w:rFonts w:ascii="Arial" w:cs="Arial" w:eastAsia="Arial" w:hAnsi="Arial"/>
          <w:sz w:val="16"/>
          <w:szCs w:val="16"/>
          <w:b w:val="1"/>
          <w:bCs w:val="1"/>
          <w:color w:val="auto"/>
        </w:rPr>
        <w:t>Internal Revenue Code</w:t>
      </w:r>
      <w:r>
        <w:rPr>
          <w:rFonts w:ascii="Arial" w:cs="Arial" w:eastAsia="Arial" w:hAnsi="Arial"/>
          <w:sz w:val="16"/>
          <w:szCs w:val="16"/>
          <w:color w:val="auto"/>
        </w:rPr>
        <w:t>”), of which the Company or such subsidiary is a member. No “reportable event” (as defined under ERISA) has occurred or is reasonably expected to occur with respect to any “employee benefit plan” established or maintained by the Company, its subsidiaries or, except as would not reasonably be expected to result in material liability to the Company or any of its subsidiaries, any of their ERISA Affiliates. No “employee benefit plan” established or maintained by the Company, its subsidiaries or any of their ERISA Affiliates, if such “employee benefit plan” were terminated, would have any material “amount of unfunded benefit liabilities” (as defined under Title IV of ERISA). Neither the Company, its subsidiaries nor, except as would not reasonably be expected to result in material liability to the Company or any of its subsidiaries, any of their ERISA Affiliates has incurred or reasonably expects to incur any liability under (i) Title IV of ERISA, (ii) Sections 412, 4971 or 4975 of the Internal Revenue Code, (iii) Section 4980B of the Internal Revenue Code with respect to the excise tax imposed thereunder or (iv) any similar non-U.S. law. Each “employee benefit plan” established or maintained by the Company, its subsidiaries or any of their ERISA Affiliates that is intended to be qualified under Section 401(a) of the Internal Revenue Code has received a favorable determination letter from the Internal Revenue Service and nothing has occurred, whether by action or failure to act, which is reasonably likely to cause disqualification of any such employee benefit plan under Section 401(a) of the Internal Revenue Code.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0" w:right="239" w:bottom="1440" w:gutter="0" w:footer="0" w:header="0"/>
        </w:sectPr>
      </w:pPr>
    </w:p>
    <w:bookmarkStart w:id="139" w:name="page140"/>
    <w:bookmarkEnd w:id="139"/>
    <w:p>
      <w:pPr>
        <w:ind w:firstLine="443"/>
        <w:spacing w:after="0" w:line="270" w:lineRule="auto"/>
        <w:tabs>
          <w:tab w:leader="none" w:pos="703"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Unlawful Payments. </w:t>
      </w:r>
      <w:r>
        <w:rPr>
          <w:rFonts w:ascii="Arial" w:cs="Arial" w:eastAsia="Arial" w:hAnsi="Arial"/>
          <w:sz w:val="17"/>
          <w:szCs w:val="17"/>
          <w:color w:val="auto"/>
        </w:rPr>
        <w:t>Neither the Company nor any of its subsidiaries nor, to the knowledge of the Company, any director, officer, agent,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69" w:lineRule="exact"/>
        <w:rPr>
          <w:rFonts w:ascii="Arial" w:cs="Arial" w:eastAsia="Arial" w:hAnsi="Arial"/>
          <w:sz w:val="17"/>
          <w:szCs w:val="17"/>
          <w:color w:val="auto"/>
        </w:rPr>
      </w:pPr>
    </w:p>
    <w:p>
      <w:pPr>
        <w:jc w:val="both"/>
        <w:ind w:right="60" w:firstLine="443"/>
        <w:spacing w:after="0" w:line="295" w:lineRule="auto"/>
        <w:tabs>
          <w:tab w:leader="none" w:pos="783" w:val="left"/>
        </w:tabs>
        <w:numPr>
          <w:ilvl w:val="0"/>
          <w:numId w:val="193"/>
        </w:numPr>
        <w:rPr>
          <w:rFonts w:ascii="Arial" w:cs="Arial" w:eastAsia="Arial" w:hAnsi="Arial"/>
          <w:sz w:val="16"/>
          <w:szCs w:val="16"/>
          <w:color w:val="auto"/>
        </w:rPr>
      </w:pPr>
      <w:r>
        <w:rPr>
          <w:rFonts w:ascii="Arial" w:cs="Arial" w:eastAsia="Arial" w:hAnsi="Arial"/>
          <w:sz w:val="16"/>
          <w:szCs w:val="16"/>
          <w:b w:val="1"/>
          <w:bCs w:val="1"/>
          <w:color w:val="auto"/>
        </w:rPr>
        <w:t xml:space="preserve">No Conflict with Money Laundering Laws. </w:t>
      </w:r>
      <w:r>
        <w:rPr>
          <w:rFonts w:ascii="Arial" w:cs="Arial" w:eastAsia="Arial" w:hAnsi="Arial"/>
          <w:sz w:val="16"/>
          <w:szCs w:val="16"/>
          <w:color w:val="auto"/>
        </w:rPr>
        <w:t>The operations of the Company and its subsidiaries are, and have been conducted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47" w:lineRule="exact"/>
        <w:rPr>
          <w:rFonts w:ascii="Arial" w:cs="Arial" w:eastAsia="Arial" w:hAnsi="Arial"/>
          <w:sz w:val="16"/>
          <w:szCs w:val="16"/>
          <w:color w:val="auto"/>
        </w:rPr>
      </w:pPr>
    </w:p>
    <w:p>
      <w:pPr>
        <w:ind w:right="20" w:firstLine="443"/>
        <w:spacing w:after="0" w:line="272" w:lineRule="auto"/>
        <w:tabs>
          <w:tab w:leader="none" w:pos="703"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No Conflict with Sanctions Laws. </w:t>
      </w:r>
      <w:r>
        <w:rPr>
          <w:rFonts w:ascii="Arial" w:cs="Arial" w:eastAsia="Arial" w:hAnsi="Arial"/>
          <w:sz w:val="17"/>
          <w:szCs w:val="17"/>
          <w:color w:val="auto"/>
        </w:rPr>
        <w:t>Neither the Company nor any of its subsidiaries nor, to the knowledge of the Company, any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agent, employee, affiliate or person acting on behalf of the Company or any of its subsidiaries is currently subject to any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or other relevant sanctions authority;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sanctions administered by OFAC or other relevant sanctions authority or in any other manner that will result in a violation by any person (including any person participating in the transaction whether as underwriter, advisor, investor or otherwise) of sanctions administered by OFAC or other relevant sanctions authority.</w:t>
      </w:r>
    </w:p>
    <w:p>
      <w:pPr>
        <w:spacing w:after="0" w:line="64" w:lineRule="exact"/>
        <w:rPr>
          <w:rFonts w:ascii="Arial" w:cs="Arial" w:eastAsia="Arial" w:hAnsi="Arial"/>
          <w:sz w:val="17"/>
          <w:szCs w:val="17"/>
          <w:color w:val="auto"/>
        </w:rPr>
      </w:pPr>
    </w:p>
    <w:p>
      <w:pPr>
        <w:ind w:right="200" w:firstLine="443"/>
        <w:spacing w:after="0" w:line="281" w:lineRule="auto"/>
        <w:tabs>
          <w:tab w:leader="none" w:pos="883"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Senior Credit Facility. </w:t>
      </w:r>
      <w:r>
        <w:rPr>
          <w:rFonts w:ascii="Arial" w:cs="Arial" w:eastAsia="Arial" w:hAnsi="Arial"/>
          <w:sz w:val="17"/>
          <w:szCs w:val="17"/>
          <w:color w:val="auto"/>
        </w:rPr>
        <w:t>The Senior Credit Facility Documentation has been duly and validly authorized by the Company and, when duly</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and delivered by the Company and the Guarantors, will be the valid and legally binding obligation of the Company and the Guarantors, enforceable in accordance with its terms, except as the enforcement thereof may be limited by bankruptcy, insolvency, reorganization, moratorium or other similar laws relating to or affecting the rights and remedies of creditors or by general equitable principles.</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0" w:right="259" w:bottom="1440" w:gutter="0" w:footer="0" w:header="0"/>
        </w:sectPr>
      </w:pPr>
    </w:p>
    <w:bookmarkStart w:id="140" w:name="page141"/>
    <w:bookmarkEnd w:id="140"/>
    <w:p>
      <w:pPr>
        <w:ind w:left="460" w:firstLine="443"/>
        <w:spacing w:after="0" w:line="258" w:lineRule="auto"/>
        <w:tabs>
          <w:tab w:leader="none" w:pos="1243"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Regulation S. </w:t>
      </w:r>
      <w:r>
        <w:rPr>
          <w:rFonts w:ascii="Arial" w:cs="Arial" w:eastAsia="Arial" w:hAnsi="Arial"/>
          <w:sz w:val="18"/>
          <w:szCs w:val="18"/>
          <w:color w:val="auto"/>
        </w:rPr>
        <w:t>The Company, the Guarantors and their respective affiliates and all persons acting on their behalf (other than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as to whom the Company and the Guarantors make no representation) have complied with and will comply with the offering restrictions requirements of Regulation S in connection with the offering of the Securities outside the United States and, in connection therewith, the Offering Memorandum will contain the disclosure required by Rule 902. Each of the Company and the Guarantors is a “reporting issuer”, as defined in Rule 902 under the Securities Act.</w:t>
      </w:r>
    </w:p>
    <w:p>
      <w:pPr>
        <w:spacing w:after="0" w:line="75" w:lineRule="exact"/>
        <w:rPr>
          <w:rFonts w:ascii="Arial" w:cs="Arial" w:eastAsia="Arial" w:hAnsi="Arial"/>
          <w:sz w:val="18"/>
          <w:szCs w:val="18"/>
          <w:color w:val="auto"/>
        </w:rPr>
      </w:pPr>
    </w:p>
    <w:p>
      <w:pPr>
        <w:jc w:val="both"/>
        <w:ind w:left="460" w:right="100" w:firstLine="443"/>
        <w:spacing w:after="0" w:line="266" w:lineRule="auto"/>
        <w:tabs>
          <w:tab w:leader="none" w:pos="1243"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Market Related Data. </w:t>
      </w:r>
      <w:r>
        <w:rPr>
          <w:rFonts w:ascii="Arial" w:cs="Arial" w:eastAsia="Arial" w:hAnsi="Arial"/>
          <w:sz w:val="18"/>
          <w:szCs w:val="18"/>
          <w:color w:val="auto"/>
        </w:rPr>
        <w:t>Any statistical and market-related data included in the Offering Memorandum are based on or derived from sources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 believes to be reliable and accurate or represent the Company’s good faith estimates that are made on the basis of data derived from such sources.</w:t>
      </w:r>
    </w:p>
    <w:p>
      <w:pPr>
        <w:spacing w:after="0" w:line="68" w:lineRule="exact"/>
        <w:rPr>
          <w:rFonts w:ascii="Arial" w:cs="Arial" w:eastAsia="Arial" w:hAnsi="Arial"/>
          <w:sz w:val="18"/>
          <w:szCs w:val="18"/>
          <w:color w:val="auto"/>
        </w:rPr>
      </w:pPr>
    </w:p>
    <w:p>
      <w:pPr>
        <w:ind w:left="460" w:right="540" w:firstLine="443"/>
        <w:spacing w:after="0" w:line="266" w:lineRule="auto"/>
        <w:tabs>
          <w:tab w:leader="none" w:pos="1243"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Occupational Safety and Health Act. </w:t>
      </w:r>
      <w:r>
        <w:rPr>
          <w:rFonts w:ascii="Arial" w:cs="Arial" w:eastAsia="Arial" w:hAnsi="Arial"/>
          <w:sz w:val="18"/>
          <w:szCs w:val="18"/>
          <w:color w:val="auto"/>
        </w:rPr>
        <w:t>The Company and each of its subsidiaries are in compliance in all respects with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Occupational Safety and Health Act of 1970, as amended, including all applicable regulations thereunder, except for such noncompliance as would not, individually or in the aggregate, have a Material Adverse Change.</w:t>
      </w:r>
    </w:p>
    <w:p>
      <w:pPr>
        <w:spacing w:after="0" w:line="68" w:lineRule="exact"/>
        <w:rPr>
          <w:rFonts w:ascii="Arial" w:cs="Arial" w:eastAsia="Arial" w:hAnsi="Arial"/>
          <w:sz w:val="18"/>
          <w:szCs w:val="18"/>
          <w:color w:val="auto"/>
        </w:rPr>
      </w:pPr>
    </w:p>
    <w:p>
      <w:pPr>
        <w:ind w:left="460" w:right="160" w:firstLine="443"/>
        <w:spacing w:after="0" w:line="314" w:lineRule="auto"/>
        <w:tabs>
          <w:tab w:leader="none" w:pos="1243"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No Restrictions on Subsidiaries. </w:t>
      </w:r>
      <w:r>
        <w:rPr>
          <w:rFonts w:ascii="Arial" w:cs="Arial" w:eastAsia="Arial" w:hAnsi="Arial"/>
          <w:sz w:val="16"/>
          <w:szCs w:val="16"/>
          <w:color w:val="auto"/>
        </w:rPr>
        <w:t>Except as described in the Offering Memorandum, none of the Company’s subsidiaries is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directly or indirectly, from (i) paying any dividends or distributions to the Company, (ii) repaying to the Company any loans or advances to such subsidiary from the Company or (iii) transferring any property or assets to the Company or any other subsidiary of the Company.</w:t>
      </w:r>
    </w:p>
    <w:p>
      <w:pPr>
        <w:spacing w:after="0" w:line="146"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Any certificate signed by an officer of the Company or any Guarantor and delivered to the Initial Purchasers or to counsel for the Initial Purchasers shall be deemed to be a representation and warranty by the Company or such Guarantor to each Initial Purchaser as to the matters set forth therein.</w:t>
      </w:r>
    </w:p>
    <w:p>
      <w:pPr>
        <w:spacing w:after="0" w:line="120" w:lineRule="exact"/>
        <w:rPr>
          <w:sz w:val="20"/>
          <w:szCs w:val="20"/>
          <w:color w:val="auto"/>
        </w:rPr>
      </w:pPr>
    </w:p>
    <w:p>
      <w:pPr>
        <w:ind w:right="480" w:firstLine="456"/>
        <w:spacing w:after="0" w:line="34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color w:val="auto"/>
        </w:rPr>
        <w:t>Covenants of the Company.</w:t>
      </w:r>
      <w:r>
        <w:rPr>
          <w:rFonts w:ascii="Arial" w:cs="Arial" w:eastAsia="Arial" w:hAnsi="Arial"/>
          <w:sz w:val="16"/>
          <w:szCs w:val="16"/>
          <w:color w:val="auto"/>
        </w:rPr>
        <w:t xml:space="preserve"> The Company and the NN Guarantors, jointly and severally (and, in addition, upon the execution and delivery of the Joinder Agreement, the PEP Guarantors, jointly and severally) further covenants and agrees with each Initial Purchaser as follows:</w:t>
      </w:r>
    </w:p>
    <w:p>
      <w:pPr>
        <w:spacing w:after="0" w:line="8" w:lineRule="exact"/>
        <w:rPr>
          <w:sz w:val="20"/>
          <w:szCs w:val="20"/>
          <w:color w:val="auto"/>
        </w:rPr>
      </w:pPr>
    </w:p>
    <w:p>
      <w:pPr>
        <w:ind w:left="460" w:right="100" w:firstLine="443"/>
        <w:spacing w:after="0" w:line="266" w:lineRule="auto"/>
        <w:tabs>
          <w:tab w:leader="none" w:pos="1143"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Copies of the Offering Memorandum. </w:t>
      </w:r>
      <w:r>
        <w:rPr>
          <w:rFonts w:ascii="Arial" w:cs="Arial" w:eastAsia="Arial" w:hAnsi="Arial"/>
          <w:sz w:val="18"/>
          <w:szCs w:val="18"/>
          <w:color w:val="auto"/>
        </w:rPr>
        <w:t>The Company will furnish to the Initial Purchasers and to counsel for the Initial Purchasers,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charge, as many copies of the Final Offering Memorandum and any Updated Final Offering Memorandum and any amendments and supplements thereto as they shall reasonably request.</w:t>
      </w:r>
    </w:p>
    <w:p>
      <w:pPr>
        <w:spacing w:after="0" w:line="68" w:lineRule="exact"/>
        <w:rPr>
          <w:rFonts w:ascii="Arial" w:cs="Arial" w:eastAsia="Arial" w:hAnsi="Arial"/>
          <w:sz w:val="18"/>
          <w:szCs w:val="18"/>
          <w:color w:val="auto"/>
        </w:rPr>
      </w:pPr>
    </w:p>
    <w:p>
      <w:pPr>
        <w:ind w:left="460" w:right="180" w:firstLine="443"/>
        <w:spacing w:after="0" w:line="313" w:lineRule="auto"/>
        <w:tabs>
          <w:tab w:leader="none" w:pos="1153" w:val="left"/>
        </w:tabs>
        <w:numPr>
          <w:ilvl w:val="0"/>
          <w:numId w:val="195"/>
        </w:numPr>
        <w:rPr>
          <w:rFonts w:ascii="Arial" w:cs="Arial" w:eastAsia="Arial" w:hAnsi="Arial"/>
          <w:sz w:val="17"/>
          <w:szCs w:val="17"/>
          <w:color w:val="auto"/>
        </w:rPr>
      </w:pPr>
      <w:r>
        <w:rPr>
          <w:rFonts w:ascii="Arial" w:cs="Arial" w:eastAsia="Arial" w:hAnsi="Arial"/>
          <w:sz w:val="17"/>
          <w:szCs w:val="17"/>
          <w:b w:val="1"/>
          <w:bCs w:val="1"/>
          <w:color w:val="auto"/>
        </w:rPr>
        <w:t xml:space="preserve">Final Offering Memorandum; Amendments and Supplements. </w:t>
      </w:r>
      <w:r>
        <w:rPr>
          <w:rFonts w:ascii="Arial" w:cs="Arial" w:eastAsia="Arial" w:hAnsi="Arial"/>
          <w:sz w:val="17"/>
          <w:szCs w:val="17"/>
          <w:color w:val="auto"/>
        </w:rPr>
        <w:t>The Company will prepare and deliver to the Initial Purchasers the Final</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Memorandum and any Updated Final Offering Memorandum in the form approved by the Representative.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141" w:name="page142"/>
    <w:bookmarkEnd w:id="14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not amend or supplement the Final Offering Memorandum prior to the Closing Date or any Updated Final Offering Memorandum prior to any Settlement Date related thereto unless the Representative shall previously have been furnished a copy of the proposed amendment or supplement a reasonable period of time prior to the proposed use or filing, and shall not have reasonably objected to such amendment or supplement. Before making, preparing, using, authorizing, approving or distributing any Company Additional Written Communication, the Company will furnish to the Representative a copy of such written communication for review and will not make, prepare, use, authorize, approve or distribute any such written communication to which the Representative reasonably objects.</w:t>
      </w:r>
    </w:p>
    <w:p>
      <w:pPr>
        <w:spacing w:after="0" w:line="66" w:lineRule="exact"/>
        <w:rPr>
          <w:sz w:val="20"/>
          <w:szCs w:val="20"/>
          <w:color w:val="auto"/>
        </w:rPr>
      </w:pPr>
    </w:p>
    <w:p>
      <w:pPr>
        <w:ind w:left="680" w:hanging="237"/>
        <w:spacing w:after="0"/>
        <w:tabs>
          <w:tab w:leader="none" w:pos="6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Amendments and Supplements to the Final Offering Memorandum and Other Securities Act Matters.</w:t>
      </w:r>
    </w:p>
    <w:p>
      <w:pPr>
        <w:spacing w:after="0" w:line="121" w:lineRule="exact"/>
        <w:rPr>
          <w:sz w:val="20"/>
          <w:szCs w:val="20"/>
          <w:color w:val="auto"/>
        </w:rPr>
      </w:pPr>
    </w:p>
    <w:p>
      <w:pPr>
        <w:ind w:right="20" w:firstLine="438"/>
        <w:spacing w:after="0" w:line="270" w:lineRule="auto"/>
        <w:rPr>
          <w:sz w:val="20"/>
          <w:szCs w:val="20"/>
          <w:color w:val="auto"/>
        </w:rPr>
      </w:pPr>
      <w:r>
        <w:rPr>
          <w:rFonts w:ascii="Arial" w:cs="Arial" w:eastAsia="Arial" w:hAnsi="Arial"/>
          <w:sz w:val="17"/>
          <w:szCs w:val="17"/>
          <w:color w:val="auto"/>
        </w:rPr>
        <w:t>At any time prior to the Closing Date or any Settlement Date, if (i) any event occurs or condition exists as a result of which the Final Offering Memorandum or any Updated Final Offering Memorandum, as then amended or supplemented, would include any untrue statement of a material fact or omit to state any material fact necessary in order to make the statements therein, in the light of the circumstances under which they were made, not misleading or (ii) it should be necessary to amend or supplement the Final Offering Memorandum or any Updated Final Offering Memorandum, to comply with applicable law, the Company and the Guarantors will immediately notify the Initial Purchasers thereof and will prepare and (subject to Section 3(a) hereof) provide to the Initial Purchasers such amendments or supplements to the Final Offering Memorandum or Updated Final Offering Memorandum so that the statements in the Final Offering Memorandum or Updated Final Offering Memorandum as so amended or supplemented will not, in the light of the circumstances under which they were made, be misleading or so that the Final Offering Memorandum or Updated Final Offering Memorandum will comply with all applicable law.</w:t>
      </w:r>
    </w:p>
    <w:p>
      <w:pPr>
        <w:spacing w:after="0" w:line="74" w:lineRule="exact"/>
        <w:rPr>
          <w:sz w:val="20"/>
          <w:szCs w:val="20"/>
          <w:color w:val="auto"/>
        </w:rPr>
      </w:pPr>
    </w:p>
    <w:p>
      <w:pPr>
        <w:ind w:right="20" w:firstLine="438"/>
        <w:spacing w:after="0" w:line="288" w:lineRule="auto"/>
        <w:rPr>
          <w:sz w:val="20"/>
          <w:szCs w:val="20"/>
          <w:color w:val="auto"/>
        </w:rPr>
      </w:pPr>
      <w:r>
        <w:rPr>
          <w:rFonts w:ascii="Arial" w:cs="Arial" w:eastAsia="Arial" w:hAnsi="Arial"/>
          <w:sz w:val="16"/>
          <w:szCs w:val="16"/>
          <w:color w:val="auto"/>
        </w:rPr>
        <w:t>Prior to the completion of the placement of the Securities by the Initial Purchasers with the Subsequent Purchasers, if any event occurs or condition exists as a result of which it is necessary to amend or supplement the Final Offering Memorandum or any Updated Final Offering Memorandum, as then amended or supplemented, in order to make the statements therein, in the light of the circumstances when the Final Offering Memorandum or any Updated Final Offering Memorandum is delivered to a Subsequent Purchaser, not misleading, or if in the judgment of the Representative or counsel for the Initial Purchasers it is otherwise necessary to amend or supplement the Final Offering Memorandum or any Updated Final Offering Memorandum to comply with applicable law, the Company and the Guarantors agree to promptly prepare (subject to this Section 3) and provide at its own expense to the Initial Purchasers, amendments or supplements to the Final Offering Memorandum or any Updated Final Offering Memorandum so that the statements in the Final Offering Memorandum or any Updated Final Offering Memorandum as so amended or supplemented will not, in the light of the circumstances at the Closing Date or the applicable Settlement Date and at the time of sale of Securities, be misleading or so that the Final Offering Memorandum or any Updated Final Offering Memorandum, as amended or supplemented, will comply with all applicable law.</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74" w:right="279" w:bottom="1440" w:gutter="0" w:footer="0" w:header="0"/>
        </w:sectPr>
      </w:pPr>
    </w:p>
    <w:bookmarkStart w:id="142" w:name="page143"/>
    <w:bookmarkEnd w:id="142"/>
    <w:p>
      <w:pPr>
        <w:ind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consummation of the Exchange Offer or the effectiveness of an applicable shelf registration statement and for so long as the Securities are outstanding, if, in the judgment of the Representative, the Initial Purchasers or any of their affiliates (as such term is defined in the Securities Act) are required to deliver a prospectus in connection with sales of, or market-making activities with respect to, the Securities, the Company and the Guarantors agree to periodically amend the applicable registration statement so that the information contained therein complies with the requirements of Section 10 of the Securities Act, to amend the applicable registration statement or supplement the related prospectus or the documents incorporated therein when necessary to reflect any material changes in the information provided therein so that the registration statement and the prospectus will not contain any untrue statement of a material fact or omit to state any material fact necessary in order to make the statements therein, in the light of the circumstances existing as of the date the prospectus is so delivered, not misleading and to provide the Initial Purchasers with copies of each amendment or supplement filed and such other documents as the Initial Purchasers may reasonably request.</w:t>
      </w:r>
    </w:p>
    <w:p>
      <w:pPr>
        <w:spacing w:after="0" w:line="59" w:lineRule="exact"/>
        <w:rPr>
          <w:sz w:val="20"/>
          <w:szCs w:val="20"/>
          <w:color w:val="auto"/>
        </w:rPr>
      </w:pPr>
    </w:p>
    <w:p>
      <w:pPr>
        <w:ind w:right="40" w:firstLine="438"/>
        <w:spacing w:after="0" w:line="308" w:lineRule="auto"/>
        <w:rPr>
          <w:sz w:val="20"/>
          <w:szCs w:val="20"/>
          <w:color w:val="auto"/>
        </w:rPr>
      </w:pPr>
      <w:r>
        <w:rPr>
          <w:rFonts w:ascii="Arial" w:cs="Arial" w:eastAsia="Arial" w:hAnsi="Arial"/>
          <w:sz w:val="17"/>
          <w:szCs w:val="17"/>
          <w:color w:val="auto"/>
        </w:rPr>
        <w:t>The Company hereby expressly acknowledges that the indemnification and contribution provisions of Section 7 hereof are specifically applicable and relate to each offering memorandum, registration statement, prospectus, amendment or supplement referred to in this Section 3.</w:t>
      </w:r>
    </w:p>
    <w:p>
      <w:pPr>
        <w:spacing w:after="0" w:line="34" w:lineRule="exact"/>
        <w:rPr>
          <w:sz w:val="20"/>
          <w:szCs w:val="20"/>
          <w:color w:val="auto"/>
        </w:rPr>
      </w:pPr>
    </w:p>
    <w:p>
      <w:pPr>
        <w:ind w:right="100" w:firstLine="443"/>
        <w:spacing w:after="0" w:line="282" w:lineRule="auto"/>
        <w:tabs>
          <w:tab w:leader="none" w:pos="693"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Use of Proceeds. </w:t>
      </w:r>
      <w:r>
        <w:rPr>
          <w:rFonts w:ascii="Arial" w:cs="Arial" w:eastAsia="Arial" w:hAnsi="Arial"/>
          <w:sz w:val="18"/>
          <w:szCs w:val="18"/>
          <w:color w:val="auto"/>
        </w:rPr>
        <w:t>The Company shall apply the net proceeds from the sale of the Securities as described under the caption “Use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Final Offering Memorandum or any Updated Final Offering Memorandum.</w:t>
      </w:r>
    </w:p>
    <w:p>
      <w:pPr>
        <w:spacing w:after="0" w:line="53" w:lineRule="exact"/>
        <w:rPr>
          <w:rFonts w:ascii="Arial" w:cs="Arial" w:eastAsia="Arial" w:hAnsi="Arial"/>
          <w:sz w:val="18"/>
          <w:szCs w:val="18"/>
          <w:color w:val="auto"/>
        </w:rPr>
      </w:pPr>
    </w:p>
    <w:p>
      <w:pPr>
        <w:ind w:right="400" w:firstLine="443"/>
        <w:spacing w:after="0" w:line="282" w:lineRule="auto"/>
        <w:tabs>
          <w:tab w:leader="none" w:pos="683"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The Depositary</w:t>
      </w:r>
      <w:r>
        <w:rPr>
          <w:rFonts w:ascii="Arial" w:cs="Arial" w:eastAsia="Arial" w:hAnsi="Arial"/>
          <w:sz w:val="18"/>
          <w:szCs w:val="18"/>
          <w:color w:val="auto"/>
        </w:rPr>
        <w:t>. The Company will assist the Initial Purchasers in arranging for the Securities to be eligible for clearance and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facilities of the Depositary.</w:t>
      </w:r>
    </w:p>
    <w:p>
      <w:pPr>
        <w:spacing w:after="0" w:line="53" w:lineRule="exact"/>
        <w:rPr>
          <w:rFonts w:ascii="Arial" w:cs="Arial" w:eastAsia="Arial" w:hAnsi="Arial"/>
          <w:sz w:val="18"/>
          <w:szCs w:val="18"/>
          <w:color w:val="auto"/>
        </w:rPr>
      </w:pPr>
    </w:p>
    <w:p>
      <w:pPr>
        <w:ind w:right="60" w:firstLine="443"/>
        <w:spacing w:after="0" w:line="261" w:lineRule="auto"/>
        <w:tabs>
          <w:tab w:leader="none" w:pos="663"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Information. </w:t>
      </w:r>
      <w:r>
        <w:rPr>
          <w:rFonts w:ascii="Arial" w:cs="Arial" w:eastAsia="Arial" w:hAnsi="Arial"/>
          <w:sz w:val="18"/>
          <w:szCs w:val="18"/>
          <w:color w:val="auto"/>
        </w:rPr>
        <w:t>So long as any of the Securities are “restricted securities” within the meaning of Rule 144(a)(3)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at any time when the Company is not subject to Section 13 or 15(d) of the Exchange Act, for the benefit of holders and beneficial owners from time to time of the Securities, the Company shall furnish, at its expense, upon request, to holders and beneficial owners of Securities and prospective purchasers of Securities information satisfying the requirements of Rule 144A(d).</w:t>
      </w:r>
    </w:p>
    <w:p>
      <w:pPr>
        <w:spacing w:after="0" w:line="71" w:lineRule="exact"/>
        <w:rPr>
          <w:rFonts w:ascii="Arial" w:cs="Arial" w:eastAsia="Arial" w:hAnsi="Arial"/>
          <w:sz w:val="18"/>
          <w:szCs w:val="18"/>
          <w:color w:val="auto"/>
        </w:rPr>
      </w:pPr>
    </w:p>
    <w:p>
      <w:pPr>
        <w:ind w:right="300" w:firstLine="443"/>
        <w:spacing w:after="0" w:line="256" w:lineRule="auto"/>
        <w:tabs>
          <w:tab w:leader="none" w:pos="693"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No Other Securities. </w:t>
      </w:r>
      <w:r>
        <w:rPr>
          <w:rFonts w:ascii="Arial" w:cs="Arial" w:eastAsia="Arial" w:hAnsi="Arial"/>
          <w:sz w:val="18"/>
          <w:szCs w:val="18"/>
          <w:color w:val="auto"/>
        </w:rPr>
        <w:t>During the period of 90 days following the date hereof, the Company will not,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SunTrust (which consent may be withheld at the sole discretion of SunTrust), directly or 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of the Company or securities exchangeable for or convertible into debt securities of the Company (other than as contemplated by this Agreement and to register the Exchange Securities).</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143" w:name="page144"/>
    <w:bookmarkEnd w:id="143"/>
    <w:p>
      <w:pPr>
        <w:ind w:right="120" w:firstLine="443"/>
        <w:spacing w:after="0" w:line="270" w:lineRule="auto"/>
        <w:tabs>
          <w:tab w:leader="none" w:pos="693" w:val="left"/>
        </w:tabs>
        <w:numPr>
          <w:ilvl w:val="1"/>
          <w:numId w:val="19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Blue Sky Compliance. </w:t>
      </w:r>
      <w:r>
        <w:rPr>
          <w:rFonts w:ascii="Arial" w:cs="Arial" w:eastAsia="Arial" w:hAnsi="Arial"/>
          <w:sz w:val="17"/>
          <w:szCs w:val="17"/>
          <w:color w:val="auto"/>
        </w:rPr>
        <w:t>Each of the Company and the Guarantors shall cooperate with the Representative and counsel for the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Purchasers to qualify or register (or to obtain exemptions from qualifying or registering) all or any part of the Securities for offer and sale under the securities laws of the several states of the United States, the provinces of Canada or any other jurisdictions designated by the Representative, shall comply with such laws and shall continue such qualifications, registrations and exemptions in effect so long as required for the distribution of the Securities. None of the Company or any of the Guarantors shall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each of the Company and the Guarantors shall use its best efforts to obtain the withdrawal thereof at the earliest possible moment.</w:t>
      </w:r>
    </w:p>
    <w:p>
      <w:pPr>
        <w:spacing w:after="0" w:line="69" w:lineRule="exact"/>
        <w:rPr>
          <w:rFonts w:ascii="Arial" w:cs="Arial" w:eastAsia="Arial" w:hAnsi="Arial"/>
          <w:sz w:val="17"/>
          <w:szCs w:val="17"/>
          <w:color w:val="auto"/>
        </w:rPr>
      </w:pPr>
    </w:p>
    <w:p>
      <w:pPr>
        <w:ind w:right="120" w:firstLine="443"/>
        <w:spacing w:after="0" w:line="266" w:lineRule="auto"/>
        <w:tabs>
          <w:tab w:leader="none" w:pos="653" w:val="left"/>
        </w:tabs>
        <w:numPr>
          <w:ilvl w:val="1"/>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No Integration. </w:t>
      </w:r>
      <w:r>
        <w:rPr>
          <w:rFonts w:ascii="Arial" w:cs="Arial" w:eastAsia="Arial" w:hAnsi="Arial"/>
          <w:sz w:val="18"/>
          <w:szCs w:val="18"/>
          <w:color w:val="auto"/>
        </w:rPr>
        <w:t>The Company agrees that it will not and will cause its Affiliates, directly or through any agent, not to make any offer or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securities of the Company of any class if, as a result of the doctrine of “integration” referred to in Rule 502 under the Securities Act, such offer or sale would render invalid the sale of Securities pursuant hereto.</w:t>
      </w:r>
    </w:p>
    <w:p>
      <w:pPr>
        <w:spacing w:after="0" w:line="68" w:lineRule="exact"/>
        <w:rPr>
          <w:rFonts w:ascii="Arial" w:cs="Arial" w:eastAsia="Arial" w:hAnsi="Arial"/>
          <w:sz w:val="18"/>
          <w:szCs w:val="18"/>
          <w:color w:val="auto"/>
        </w:rPr>
      </w:pPr>
    </w:p>
    <w:p>
      <w:pPr>
        <w:ind w:right="140" w:firstLine="443"/>
        <w:spacing w:after="0" w:line="287" w:lineRule="auto"/>
        <w:tabs>
          <w:tab w:leader="none" w:pos="653" w:val="left"/>
        </w:tabs>
        <w:numPr>
          <w:ilvl w:val="1"/>
          <w:numId w:val="198"/>
        </w:numPr>
        <w:rPr>
          <w:rFonts w:ascii="Arial" w:cs="Arial" w:eastAsia="Arial" w:hAnsi="Arial"/>
          <w:sz w:val="16"/>
          <w:szCs w:val="16"/>
          <w:color w:val="auto"/>
        </w:rPr>
      </w:pPr>
      <w:r>
        <w:rPr>
          <w:rFonts w:ascii="Arial" w:cs="Arial" w:eastAsia="Arial" w:hAnsi="Arial"/>
          <w:sz w:val="16"/>
          <w:szCs w:val="16"/>
          <w:b w:val="1"/>
          <w:bCs w:val="1"/>
          <w:color w:val="auto"/>
        </w:rPr>
        <w:t>No General Solicitation or Directed Selling Efforts</w:t>
      </w:r>
      <w:r>
        <w:rPr>
          <w:rFonts w:ascii="Arial" w:cs="Arial" w:eastAsia="Arial" w:hAnsi="Arial"/>
          <w:sz w:val="16"/>
          <w:szCs w:val="16"/>
          <w:color w:val="auto"/>
        </w:rPr>
        <w:t>. The Company agrees that it will not and will not permit any of its Affiliates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acting on its or their behalf (other than the Initial Purchasers, as to which no covenant is given) to (i) solicit offers for, or offer or sell, the Securities by means of any form of general solicitation or general advertising within the meaning of Rule 502(c) of Regulation D without the prior written consent of the Representatives or in any manner involving a public offering within the meaning of Section 4(a)(2) of the Securities Act or</w:t>
      </w:r>
    </w:p>
    <w:p>
      <w:pPr>
        <w:spacing w:after="0" w:line="2" w:lineRule="exact"/>
        <w:rPr>
          <w:rFonts w:ascii="Arial" w:cs="Arial" w:eastAsia="Arial" w:hAnsi="Arial"/>
          <w:sz w:val="16"/>
          <w:szCs w:val="16"/>
          <w:color w:val="auto"/>
        </w:rPr>
      </w:pPr>
    </w:p>
    <w:p>
      <w:pPr>
        <w:ind w:right="300" w:firstLine="4"/>
        <w:spacing w:after="0" w:line="261" w:lineRule="auto"/>
        <w:tabs>
          <w:tab w:leader="none" w:pos="2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engage in any directed selling efforts with respect to the Securities within the meaning of Regulation S, and the Company will and will cause all such persons to comply with the offering restrictions requirement of Regulation S with respect to the Securities.</w:t>
      </w:r>
    </w:p>
    <w:p>
      <w:pPr>
        <w:spacing w:after="0" w:line="71" w:lineRule="exact"/>
        <w:rPr>
          <w:rFonts w:ascii="Arial" w:cs="Arial" w:eastAsia="Arial" w:hAnsi="Arial"/>
          <w:sz w:val="18"/>
          <w:szCs w:val="18"/>
          <w:color w:val="auto"/>
        </w:rPr>
      </w:pPr>
    </w:p>
    <w:p>
      <w:pPr>
        <w:ind w:right="960" w:firstLine="443"/>
        <w:spacing w:after="0" w:line="282" w:lineRule="auto"/>
        <w:tabs>
          <w:tab w:leader="none" w:pos="693"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Legended Securities. </w:t>
      </w:r>
      <w:r>
        <w:rPr>
          <w:rFonts w:ascii="Arial" w:cs="Arial" w:eastAsia="Arial" w:hAnsi="Arial"/>
          <w:sz w:val="18"/>
          <w:szCs w:val="18"/>
          <w:color w:val="auto"/>
        </w:rPr>
        <w:t>Each certificate for a Security will bear the legend contained in “Notice to Investors” in the Final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Memorandum for the time period and upon the other terms stated in the Final Offering Memorandum.</w:t>
      </w:r>
    </w:p>
    <w:p>
      <w:pPr>
        <w:spacing w:after="0" w:line="53" w:lineRule="exact"/>
        <w:rPr>
          <w:rFonts w:ascii="Arial" w:cs="Arial" w:eastAsia="Arial" w:hAnsi="Arial"/>
          <w:sz w:val="18"/>
          <w:szCs w:val="18"/>
          <w:color w:val="auto"/>
        </w:rPr>
      </w:pPr>
    </w:p>
    <w:p>
      <w:pPr>
        <w:ind w:right="20" w:firstLine="443"/>
        <w:spacing w:after="0" w:line="313" w:lineRule="auto"/>
        <w:tabs>
          <w:tab w:leader="none" w:pos="653" w:val="left"/>
        </w:tabs>
        <w:numPr>
          <w:ilvl w:val="1"/>
          <w:numId w:val="199"/>
        </w:numPr>
        <w:rPr>
          <w:rFonts w:ascii="Arial" w:cs="Arial" w:eastAsia="Arial" w:hAnsi="Arial"/>
          <w:sz w:val="17"/>
          <w:szCs w:val="17"/>
          <w:color w:val="auto"/>
        </w:rPr>
      </w:pPr>
      <w:r>
        <w:rPr>
          <w:rFonts w:ascii="Arial" w:cs="Arial" w:eastAsia="Arial" w:hAnsi="Arial"/>
          <w:sz w:val="17"/>
          <w:szCs w:val="17"/>
          <w:b w:val="1"/>
          <w:bCs w:val="1"/>
          <w:color w:val="auto"/>
        </w:rPr>
        <w:t xml:space="preserve">No Resales. </w:t>
      </w:r>
      <w:r>
        <w:rPr>
          <w:rFonts w:ascii="Arial" w:cs="Arial" w:eastAsia="Arial" w:hAnsi="Arial"/>
          <w:sz w:val="17"/>
          <w:szCs w:val="17"/>
          <w:color w:val="auto"/>
        </w:rPr>
        <w:t>The Company will not, and will not permit any of its Affiliates to, resell any of the Notes that have been acquired by any of them,</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pursuant to an effective registration statement under the Securities Act or in accordance with Rule 144 under the Securities Act.</w:t>
      </w:r>
    </w:p>
    <w:p>
      <w:pPr>
        <w:spacing w:after="0" w:line="30" w:lineRule="exact"/>
        <w:rPr>
          <w:rFonts w:ascii="Arial" w:cs="Arial" w:eastAsia="Arial" w:hAnsi="Arial"/>
          <w:sz w:val="17"/>
          <w:szCs w:val="17"/>
          <w:color w:val="auto"/>
        </w:rPr>
      </w:pPr>
    </w:p>
    <w:p>
      <w:pPr>
        <w:ind w:firstLine="443"/>
        <w:spacing w:after="0" w:line="266" w:lineRule="auto"/>
        <w:tabs>
          <w:tab w:leader="none" w:pos="743"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Acquisition. </w:t>
      </w:r>
      <w:r>
        <w:rPr>
          <w:rFonts w:ascii="Arial" w:cs="Arial" w:eastAsia="Arial" w:hAnsi="Arial"/>
          <w:sz w:val="18"/>
          <w:szCs w:val="18"/>
          <w:color w:val="auto"/>
        </w:rPr>
        <w:t>Immediately after the consummation of the Acquisition, the Company and the PEP Guarantors shall cause to be delivered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Purchasers (i) executed copies of the Joinder Agreement, the Registration Rights Agreement Joinder and the Supplemental Indenture, in each case executed and delivered by the PEP Guarantors</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0" w:right="259" w:bottom="1440" w:gutter="0" w:footer="0" w:header="0"/>
        </w:sectPr>
      </w:pPr>
    </w:p>
    <w:bookmarkStart w:id="144" w:name="page145"/>
    <w:bookmarkEnd w:id="144"/>
    <w:p>
      <w:pPr>
        <w:ind w:left="46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other parties thereto and (ii) the favorable opinion dated the date of the Acquisition, of Baker, Donelson, Bearman, Caldwell &amp; Berkowitz, PC, counsel for the PEP Guarantors, the form of which is attached as Exhibit A-2 hereto and of Massachusetts local counsel for the PEP Guarantors, the form of which is attached as Exhibit A-4 hereto.</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Representative on behalf of the several Initial Purchasers, may, in its sole discretion, waive in writing the performance by the Company or any Guarantor of any one or more of the foregoing covenants or extend the time for their performance.</w:t>
      </w:r>
    </w:p>
    <w:p>
      <w:pPr>
        <w:spacing w:after="0" w:line="166"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Conditions of the Obligations of the Initial Purchasers.</w:t>
      </w:r>
      <w:r>
        <w:rPr>
          <w:rFonts w:ascii="Arial" w:cs="Arial" w:eastAsia="Arial" w:hAnsi="Arial"/>
          <w:sz w:val="18"/>
          <w:szCs w:val="18"/>
          <w:color w:val="auto"/>
        </w:rPr>
        <w:t xml:space="preserve"> The obligations of the several Initial Purchasers to purchase and pay for the Notes shall be subject to the accuracy of the representations and warranties of the Company in Section 2 hereof, in each case as of the date hereof and as of the Closing Date, as if made on and as of the Closing Date and to the timely performance by the Company of its covenants and other obligations hereunder, and to each of the following additional conditions:</w:t>
      </w:r>
    </w:p>
    <w:p>
      <w:pPr>
        <w:spacing w:after="0" w:line="72" w:lineRule="exact"/>
        <w:rPr>
          <w:sz w:val="20"/>
          <w:szCs w:val="20"/>
          <w:color w:val="auto"/>
        </w:rPr>
      </w:pPr>
    </w:p>
    <w:p>
      <w:pPr>
        <w:ind w:left="460" w:right="120" w:firstLine="443"/>
        <w:spacing w:after="0" w:line="293" w:lineRule="auto"/>
        <w:tabs>
          <w:tab w:leader="none" w:pos="1143" w:val="left"/>
        </w:tabs>
        <w:numPr>
          <w:ilvl w:val="1"/>
          <w:numId w:val="200"/>
        </w:numPr>
        <w:rPr>
          <w:rFonts w:ascii="Arial" w:cs="Arial" w:eastAsia="Arial" w:hAnsi="Arial"/>
          <w:sz w:val="16"/>
          <w:szCs w:val="16"/>
          <w:color w:val="auto"/>
        </w:rPr>
      </w:pPr>
      <w:r>
        <w:rPr>
          <w:rFonts w:ascii="Arial" w:cs="Arial" w:eastAsia="Arial" w:hAnsi="Arial"/>
          <w:sz w:val="16"/>
          <w:szCs w:val="16"/>
          <w:b w:val="1"/>
          <w:bCs w:val="1"/>
          <w:color w:val="auto"/>
        </w:rPr>
        <w:t xml:space="preserve">Comfort Letters. </w:t>
      </w:r>
      <w:r>
        <w:rPr>
          <w:rFonts w:ascii="Arial" w:cs="Arial" w:eastAsia="Arial" w:hAnsi="Arial"/>
          <w:sz w:val="16"/>
          <w:szCs w:val="16"/>
          <w:color w:val="auto"/>
        </w:rPr>
        <w:t>The Initial Purchasers shall have received on the Closing Date a letter, dated the Closing Date, in form and substance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satisfactory to the Initial Purchasers and counsel for the Initial Purchasers, from each of (i) PricewaterhouseCoopers LLP, (ii) Ernst &amp; Young LLP and</w:t>
      </w:r>
    </w:p>
    <w:p>
      <w:pPr>
        <w:spacing w:after="0" w:line="1" w:lineRule="exact"/>
        <w:rPr>
          <w:rFonts w:ascii="Arial" w:cs="Arial" w:eastAsia="Arial" w:hAnsi="Arial"/>
          <w:sz w:val="16"/>
          <w:szCs w:val="16"/>
          <w:color w:val="auto"/>
        </w:rPr>
      </w:pPr>
    </w:p>
    <w:p>
      <w:pPr>
        <w:ind w:left="460" w:firstLine="4"/>
        <w:spacing w:after="0" w:line="273" w:lineRule="auto"/>
        <w:tabs>
          <w:tab w:leader="none" w:pos="77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Deloitte &amp; Touche LLP, in each case containing statements and information of the type ordinarily included in accountants’ “comfort letters” to underwriters with respect to the financial statements and certain financial information contained in the Final Offering Memorandum;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letter shall use a “cut-off date” within three days of the date of such letter. References to the Final Offering Memorandum in this paragraph with respect to any letter referred to above shall include any amendment or supplement thereto at the date of such letter.</w:t>
      </w:r>
    </w:p>
    <w:p>
      <w:pPr>
        <w:spacing w:after="0" w:line="64" w:lineRule="exact"/>
        <w:rPr>
          <w:rFonts w:ascii="Arial" w:cs="Arial" w:eastAsia="Arial" w:hAnsi="Arial"/>
          <w:sz w:val="17"/>
          <w:szCs w:val="17"/>
          <w:color w:val="auto"/>
        </w:rPr>
      </w:pPr>
    </w:p>
    <w:p>
      <w:pPr>
        <w:ind w:left="460" w:right="100" w:firstLine="443"/>
        <w:spacing w:after="0" w:line="261" w:lineRule="auto"/>
        <w:tabs>
          <w:tab w:leader="none" w:pos="1153" w:val="left"/>
        </w:tabs>
        <w:numPr>
          <w:ilvl w:val="1"/>
          <w:numId w:val="201"/>
        </w:numPr>
        <w:rPr>
          <w:rFonts w:ascii="Arial" w:cs="Arial" w:eastAsia="Arial" w:hAnsi="Arial"/>
          <w:sz w:val="18"/>
          <w:szCs w:val="18"/>
          <w:color w:val="auto"/>
        </w:rPr>
      </w:pPr>
      <w:r>
        <w:rPr>
          <w:rFonts w:ascii="Arial" w:cs="Arial" w:eastAsia="Arial" w:hAnsi="Arial"/>
          <w:sz w:val="18"/>
          <w:szCs w:val="18"/>
          <w:b w:val="1"/>
          <w:bCs w:val="1"/>
          <w:color w:val="auto"/>
        </w:rPr>
        <w:t xml:space="preserve">No Material Adverse Change. </w:t>
      </w:r>
      <w:r>
        <w:rPr>
          <w:rFonts w:ascii="Arial" w:cs="Arial" w:eastAsia="Arial" w:hAnsi="Arial"/>
          <w:sz w:val="18"/>
          <w:szCs w:val="18"/>
          <w:color w:val="auto"/>
        </w:rPr>
        <w:t>For the period from and after the date of this Agreement and prior to the Closing Date, no event or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results in a Material Adverse Change shall have occurred or shall exist, the effect of which in the judgment of the Representative makes it impracticable or inadvisable to proceed with the offering, sale or delivery of the Securities on the terms and in the manner contemplated by this Agreement and the Final Offering Memorandum.</w:t>
      </w:r>
    </w:p>
    <w:p>
      <w:pPr>
        <w:spacing w:after="0" w:line="71" w:lineRule="exact"/>
        <w:rPr>
          <w:rFonts w:ascii="Arial" w:cs="Arial" w:eastAsia="Arial" w:hAnsi="Arial"/>
          <w:sz w:val="18"/>
          <w:szCs w:val="18"/>
          <w:color w:val="auto"/>
        </w:rPr>
      </w:pPr>
    </w:p>
    <w:p>
      <w:pPr>
        <w:ind w:left="460" w:right="140" w:firstLine="443"/>
        <w:spacing w:after="0" w:line="303" w:lineRule="auto"/>
        <w:tabs>
          <w:tab w:leader="none" w:pos="1143" w:val="left"/>
        </w:tabs>
        <w:numPr>
          <w:ilvl w:val="1"/>
          <w:numId w:val="201"/>
        </w:numPr>
        <w:rPr>
          <w:rFonts w:ascii="Arial" w:cs="Arial" w:eastAsia="Arial" w:hAnsi="Arial"/>
          <w:sz w:val="16"/>
          <w:szCs w:val="16"/>
          <w:color w:val="auto"/>
        </w:rPr>
      </w:pPr>
      <w:r>
        <w:rPr>
          <w:rFonts w:ascii="Arial" w:cs="Arial" w:eastAsia="Arial" w:hAnsi="Arial"/>
          <w:sz w:val="16"/>
          <w:szCs w:val="16"/>
          <w:b w:val="1"/>
          <w:bCs w:val="1"/>
          <w:color w:val="auto"/>
        </w:rPr>
        <w:t xml:space="preserve">No Ratings Agency Change. </w:t>
      </w:r>
      <w:r>
        <w:rPr>
          <w:rFonts w:ascii="Arial" w:cs="Arial" w:eastAsia="Arial" w:hAnsi="Arial"/>
          <w:sz w:val="16"/>
          <w:szCs w:val="16"/>
          <w:color w:val="auto"/>
        </w:rPr>
        <w:t>For the period from and after the date of this Agreement and prior to the Closing Date, there shall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any downgrading, nor shall any notice have been given of any intended or potential downgrading or of any review for a possible change that does not indicate the direction of the possible change, in the rating accorded the Company or any of its subsidiaries or any of their securities or indebtedness by any “nationally recognized statistical rating organization” as such term is defined for purposes of Rule 436 under the Securities Act.</w:t>
      </w:r>
    </w:p>
    <w:p>
      <w:pPr>
        <w:spacing w:after="0" w:line="43" w:lineRule="exact"/>
        <w:rPr>
          <w:rFonts w:ascii="Arial" w:cs="Arial" w:eastAsia="Arial" w:hAnsi="Arial"/>
          <w:sz w:val="16"/>
          <w:szCs w:val="16"/>
          <w:color w:val="auto"/>
        </w:rPr>
      </w:pPr>
    </w:p>
    <w:p>
      <w:pPr>
        <w:ind w:left="460" w:right="60" w:firstLine="443"/>
        <w:spacing w:after="0" w:line="289" w:lineRule="auto"/>
        <w:tabs>
          <w:tab w:leader="none" w:pos="1153" w:val="left"/>
        </w:tabs>
        <w:numPr>
          <w:ilvl w:val="1"/>
          <w:numId w:val="201"/>
        </w:numPr>
        <w:rPr>
          <w:rFonts w:ascii="Arial" w:cs="Arial" w:eastAsia="Arial" w:hAnsi="Arial"/>
          <w:sz w:val="17"/>
          <w:szCs w:val="17"/>
          <w:color w:val="auto"/>
        </w:rPr>
      </w:pPr>
      <w:r>
        <w:rPr>
          <w:rFonts w:ascii="Arial" w:cs="Arial" w:eastAsia="Arial" w:hAnsi="Arial"/>
          <w:sz w:val="17"/>
          <w:szCs w:val="17"/>
          <w:b w:val="1"/>
          <w:bCs w:val="1"/>
          <w:color w:val="auto"/>
        </w:rPr>
        <w:t xml:space="preserve">Opinion of Counsel for the Company. </w:t>
      </w:r>
      <w:r>
        <w:rPr>
          <w:rFonts w:ascii="Arial" w:cs="Arial" w:eastAsia="Arial" w:hAnsi="Arial"/>
          <w:sz w:val="17"/>
          <w:szCs w:val="17"/>
          <w:color w:val="auto"/>
        </w:rPr>
        <w:t>On the Closing Date, the Initial Purchasers shall have received the favorable opinion dated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Date, of Baker, Donelson, Bearman, Caldwell &amp; Berkowitz, PC, counsel for the Company, the form of which is attached as Exhibit A-1 hereto and Ohio, Connecticut, Michigan and Texas local counsel for the Company, the form of which is attached as Exhibit A-3 hereto.</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45" w:name="page146"/>
    <w:bookmarkEnd w:id="145"/>
    <w:p>
      <w:pPr>
        <w:ind w:left="460" w:firstLine="443"/>
        <w:spacing w:after="0" w:line="266" w:lineRule="auto"/>
        <w:tabs>
          <w:tab w:leader="none" w:pos="1143"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Opinion of Counsel for the Initial Purchasers. </w:t>
      </w:r>
      <w:r>
        <w:rPr>
          <w:rFonts w:ascii="Arial" w:cs="Arial" w:eastAsia="Arial" w:hAnsi="Arial"/>
          <w:sz w:val="18"/>
          <w:szCs w:val="18"/>
          <w:color w:val="auto"/>
        </w:rPr>
        <w:t>On the Closing Date, the Initial Purchasers shall have received the favorable opinion, dated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Closing Date, of Cahill Gordon &amp; Reindel LLP, counsel for the Initial Purchasers, with respect to such matters as may be reasonably requested by the Initial Purchasers.</w:t>
      </w:r>
    </w:p>
    <w:p>
      <w:pPr>
        <w:spacing w:after="0" w:line="68" w:lineRule="exact"/>
        <w:rPr>
          <w:rFonts w:ascii="Arial" w:cs="Arial" w:eastAsia="Arial" w:hAnsi="Arial"/>
          <w:sz w:val="18"/>
          <w:szCs w:val="18"/>
          <w:color w:val="auto"/>
        </w:rPr>
      </w:pPr>
    </w:p>
    <w:p>
      <w:pPr>
        <w:ind w:left="460" w:firstLine="443"/>
        <w:spacing w:after="0" w:line="273" w:lineRule="auto"/>
        <w:tabs>
          <w:tab w:leader="none" w:pos="1123"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 xml:space="preserve">Officers’ Certificate. </w:t>
      </w:r>
      <w:r>
        <w:rPr>
          <w:rFonts w:ascii="Arial" w:cs="Arial" w:eastAsia="Arial" w:hAnsi="Arial"/>
          <w:sz w:val="17"/>
          <w:szCs w:val="17"/>
          <w:color w:val="auto"/>
        </w:rPr>
        <w:t>On the Closing Date, the Initial Purchasers shall have received a certificate, dated as of the Closing Date, executed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or Chief Financial Officer of the Company and each NN Guarantor, to the effect set forth in Section 4(c) hereof, and further to the effect that: (i) for the period from and after the date of this Agreement and prior to the Closing Date there has not occurred any Material Adverse Change; (ii) the representations, warranties and covenants of the Company and the Guarantors set forth in Section 2 hereof were true and correct as of the date hereof and are true and correct as of the Closing Date with the same force and effect as though expressly made on and as of the Closing Date; and (iii) each of the Company and the Guarantors has complied with all the agreements and satisfied all the conditions on its part to be performed or satisfied at or prior to the Closing Date.</w:t>
      </w:r>
    </w:p>
    <w:p>
      <w:pPr>
        <w:spacing w:after="0" w:line="64" w:lineRule="exact"/>
        <w:rPr>
          <w:rFonts w:ascii="Arial" w:cs="Arial" w:eastAsia="Arial" w:hAnsi="Arial"/>
          <w:sz w:val="17"/>
          <w:szCs w:val="17"/>
          <w:color w:val="auto"/>
        </w:rPr>
      </w:pPr>
    </w:p>
    <w:p>
      <w:pPr>
        <w:ind w:left="460" w:firstLine="443"/>
        <w:spacing w:after="0" w:line="266" w:lineRule="auto"/>
        <w:tabs>
          <w:tab w:leader="none" w:pos="1153"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Indenture and Securities. </w:t>
      </w:r>
      <w:r>
        <w:rPr>
          <w:rFonts w:ascii="Arial" w:cs="Arial" w:eastAsia="Arial" w:hAnsi="Arial"/>
          <w:sz w:val="18"/>
          <w:szCs w:val="18"/>
          <w:color w:val="auto"/>
        </w:rPr>
        <w:t>The Initial Indenture shall have been duly executed and delivered by a duly authorized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NN Guarantors and the Trustee, and the Securities shall have been duly executed and delivered by a duly authorized officer of the Company and duly authenticated by the Trustee.</w:t>
      </w:r>
    </w:p>
    <w:p>
      <w:pPr>
        <w:spacing w:after="0" w:line="68" w:lineRule="exact"/>
        <w:rPr>
          <w:rFonts w:ascii="Arial" w:cs="Arial" w:eastAsia="Arial" w:hAnsi="Arial"/>
          <w:sz w:val="18"/>
          <w:szCs w:val="18"/>
          <w:color w:val="auto"/>
        </w:rPr>
      </w:pPr>
    </w:p>
    <w:p>
      <w:pPr>
        <w:ind w:left="460" w:right="320" w:firstLine="443"/>
        <w:spacing w:after="0" w:line="282" w:lineRule="auto"/>
        <w:tabs>
          <w:tab w:leader="none" w:pos="1153"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Registration Rights Agreement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Purchasers shall have received a counterpart of the Registration Rights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executed and delivered by a duly authorized officer of the Company and each of the NN Guarantors.</w:t>
      </w:r>
    </w:p>
    <w:p>
      <w:pPr>
        <w:spacing w:after="0" w:line="53" w:lineRule="exact"/>
        <w:rPr>
          <w:rFonts w:ascii="Arial" w:cs="Arial" w:eastAsia="Arial" w:hAnsi="Arial"/>
          <w:sz w:val="18"/>
          <w:szCs w:val="18"/>
          <w:color w:val="auto"/>
        </w:rPr>
      </w:pPr>
    </w:p>
    <w:p>
      <w:pPr>
        <w:ind w:left="460" w:right="80" w:firstLine="443"/>
        <w:spacing w:after="0" w:line="266" w:lineRule="auto"/>
        <w:tabs>
          <w:tab w:leader="none" w:pos="1113"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Senior Credit Facility. </w:t>
      </w:r>
      <w:r>
        <w:rPr>
          <w:rFonts w:ascii="Arial" w:cs="Arial" w:eastAsia="Arial" w:hAnsi="Arial"/>
          <w:sz w:val="18"/>
          <w:szCs w:val="18"/>
          <w:color w:val="auto"/>
        </w:rPr>
        <w:t>Concurrently with or prior to the Closing Date, the Company and the NN Guarantors shall have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Senior Credit Facility consistent in all material respects with the terms described in the Final Offering Memorandum and the Representative shall have received conformed counterparts thereof.</w:t>
      </w:r>
    </w:p>
    <w:p>
      <w:pPr>
        <w:spacing w:after="0" w:line="68" w:lineRule="exact"/>
        <w:rPr>
          <w:rFonts w:ascii="Arial" w:cs="Arial" w:eastAsia="Arial" w:hAnsi="Arial"/>
          <w:sz w:val="18"/>
          <w:szCs w:val="18"/>
          <w:color w:val="auto"/>
        </w:rPr>
      </w:pPr>
    </w:p>
    <w:p>
      <w:pPr>
        <w:ind w:left="460" w:right="540" w:firstLine="443"/>
        <w:spacing w:after="0" w:line="282" w:lineRule="auto"/>
        <w:tabs>
          <w:tab w:leader="none" w:pos="1113"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Concurrent Transactions. </w:t>
      </w:r>
      <w:r>
        <w:rPr>
          <w:rFonts w:ascii="Arial" w:cs="Arial" w:eastAsia="Arial" w:hAnsi="Arial"/>
          <w:sz w:val="18"/>
          <w:szCs w:val="18"/>
          <w:color w:val="auto"/>
        </w:rPr>
        <w:t>The Transactions shall have been consummated on the terms and conditions described in the Final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Memorandum.</w:t>
      </w:r>
    </w:p>
    <w:p>
      <w:pPr>
        <w:spacing w:after="0" w:line="53" w:lineRule="exact"/>
        <w:rPr>
          <w:rFonts w:ascii="Arial" w:cs="Arial" w:eastAsia="Arial" w:hAnsi="Arial"/>
          <w:sz w:val="18"/>
          <w:szCs w:val="18"/>
          <w:color w:val="auto"/>
        </w:rPr>
      </w:pPr>
    </w:p>
    <w:p>
      <w:pPr>
        <w:ind w:left="460" w:right="120" w:firstLine="443"/>
        <w:spacing w:after="0" w:line="282" w:lineRule="auto"/>
        <w:tabs>
          <w:tab w:leader="none" w:pos="1153"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Additional Documents. </w:t>
      </w:r>
      <w:r>
        <w:rPr>
          <w:rFonts w:ascii="Arial" w:cs="Arial" w:eastAsia="Arial" w:hAnsi="Arial"/>
          <w:sz w:val="18"/>
          <w:szCs w:val="18"/>
          <w:color w:val="auto"/>
        </w:rPr>
        <w:t>On or before the Closing Date, the Initial Purchasers and counsel for the Initial Purchasers shall have received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documents and opinions as they may reasonably request.</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any condition specified in this Section 4 is not satisfied or waived by SunTrust when and as required to be satisfied, this Agreement may be terminated by SunTrust by notice to the Company at any time on or prior to the Closing Date, which termination shall be without liability on the part of any party to any other party, subject to survival of the provisions referenced in Section 8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146" w:name="page147"/>
    <w:bookmarkEnd w:id="146"/>
    <w:p>
      <w:pPr>
        <w:ind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Arial" w:cs="Arial" w:eastAsia="Arial" w:hAnsi="Arial"/>
          <w:sz w:val="18"/>
          <w:szCs w:val="18"/>
          <w:b w:val="1"/>
          <w:bCs w:val="1"/>
          <w:color w:val="auto"/>
        </w:rPr>
        <w:t>Offer and Sale Procedures</w:t>
      </w:r>
      <w:r>
        <w:rPr>
          <w:rFonts w:ascii="Arial" w:cs="Arial" w:eastAsia="Arial" w:hAnsi="Arial"/>
          <w:sz w:val="18"/>
          <w:szCs w:val="18"/>
          <w:color w:val="auto"/>
        </w:rPr>
        <w:t>. Each of the Initial Purchasers, on the one hand, and the Company and each of the NN Guarantors (and, upon the execution and delivery of the Joinder the Agreement, the PEP Guarantors), on the other hand, hereby agree to observe the following procedures in connection with the offer and sale of the Securities:</w:t>
      </w:r>
    </w:p>
    <w:p>
      <w:pPr>
        <w:spacing w:after="0" w:line="72" w:lineRule="exact"/>
        <w:rPr>
          <w:sz w:val="20"/>
          <w:szCs w:val="20"/>
          <w:color w:val="auto"/>
        </w:rPr>
      </w:pPr>
    </w:p>
    <w:p>
      <w:pPr>
        <w:ind w:left="460" w:right="140" w:firstLine="443"/>
        <w:spacing w:after="0" w:line="257" w:lineRule="auto"/>
        <w:tabs>
          <w:tab w:leader="none" w:pos="114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Offers and sales of the Securities will be made only by the Initial Purchasers or Affiliates thereof qualified to do so in the jurisdictions in which such offers or sales are made. Each sale of Securities shall be made only to persons whom the seller reasonably believes to be Qualified Institutional Buyers or non-U.S. persons outside the United States to whom the offeror or seller reasonably believes offers and sales of the Securities may be made in reliance upon Regulation S upon the terms and conditions set forth in Annex I hereto, which Annex I is hereby expressly made a part hereof.</w:t>
      </w:r>
    </w:p>
    <w:p>
      <w:pPr>
        <w:spacing w:after="0" w:line="80"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Upon original issuance by the Company, and until such time as the same is no longer required under the applicable requirements of the Securities Act, the Securities (and all securities issued in exchange therefor or in substitution thereof, other than the Exchange Securities) shall bear the following legend:</w:t>
      </w:r>
    </w:p>
    <w:p>
      <w:pPr>
        <w:spacing w:after="0" w:line="73" w:lineRule="exact"/>
        <w:rPr>
          <w:sz w:val="20"/>
          <w:szCs w:val="20"/>
          <w:color w:val="auto"/>
        </w:rPr>
      </w:pPr>
    </w:p>
    <w:p>
      <w:pPr>
        <w:ind w:left="920" w:right="120"/>
        <w:spacing w:after="0" w:line="268" w:lineRule="auto"/>
        <w:rPr>
          <w:sz w:val="20"/>
          <w:szCs w:val="20"/>
          <w:color w:val="auto"/>
        </w:rPr>
      </w:pPr>
      <w:r>
        <w:rPr>
          <w:rFonts w:ascii="Arial" w:cs="Arial" w:eastAsia="Arial" w:hAnsi="Arial"/>
          <w:sz w:val="17"/>
          <w:szCs w:val="17"/>
          <w:color w:val="auto"/>
        </w:rPr>
        <w:t>“THE SECURITY (OR ITS PREDECESSOR) EVIDENCED HEREBY WAS ORIGINALLY ISSUED IN A TRANSACTION EXEMPT FROM REGISTRATION UNDER SECTION 5 OF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COMPANY THAT (A) SUCH SECURITY MAY BE RESOLD, PLEDGED OR OTHERWISE TRANSFERRED, ONLY (1)(a)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 (b) OUTSIDE THE UNITED STATES TO A FOREIGN PERSON IN A TRANSACTION MEETING THE REQUIREMENTS OF RULE 903 OR RULE 904 OF REGULATION S UNDER THE SECURITIES ACT, (c) PURSUANT TO AN EXEMPTION FROM REGISTRATION UNDER THE SECURITIES ACT PROVIDED BY RULE 144 THEREUNDER (IF APPLICABLE) OR (d) IN ACCORDANCE WITH ANOTHER EXEMPTION FROM THE REGISTRATION REQUIREMENTS OF THE SECURITIES ACT (AND BASED UPON AN OPINION OF COUNSEL ACCEPTABLE TO THE COMPANY IF THE COMPANY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sectPr>
      </w:pPr>
    </w:p>
    <w:bookmarkStart w:id="147" w:name="page148"/>
    <w:bookmarkEnd w:id="147"/>
    <w:p>
      <w:pPr>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REQUESTS), (2) TO THE COMPANY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 EXEMPTION PROVIDED BY RULE 144 FOR RESALE OF THE SECURITY EVIDENCED HEREBY.”</w:t>
      </w:r>
    </w:p>
    <w:p>
      <w:pPr>
        <w:spacing w:after="0" w:line="193"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Following the sale of the Securities by the Initial Purchasers to Subsequent Purchasers pursuant to the terms hereof, the Initial Purchasers shall not be liable or responsible to the Company for any losses, damages or liabilities suffered or incurred by the Company, including any losses, damages or liabilities under the Securities Act, arising from or relating to any resale or transfer of any Security.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color w:val="auto"/>
        </w:rPr>
        <w:t>Payment of Expenses</w:t>
      </w:r>
      <w:r>
        <w:rPr>
          <w:rFonts w:ascii="Arial" w:cs="Arial" w:eastAsia="Arial" w:hAnsi="Arial"/>
          <w:sz w:val="18"/>
          <w:szCs w:val="18"/>
          <w:color w:val="auto"/>
        </w:rPr>
        <w:t>.</w:t>
      </w:r>
    </w:p>
    <w:p>
      <w:pPr>
        <w:spacing w:after="0" w:line="229" w:lineRule="exact"/>
        <w:rPr>
          <w:sz w:val="20"/>
          <w:szCs w:val="20"/>
          <w:color w:val="auto"/>
        </w:rPr>
      </w:pPr>
    </w:p>
    <w:p>
      <w:pPr>
        <w:ind w:right="20" w:firstLine="464"/>
        <w:spacing w:after="0" w:line="285" w:lineRule="auto"/>
        <w:tabs>
          <w:tab w:leader="none" w:pos="70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set forth in Section 10(e) below, whether or not the transactions contemplated in this Agreement are consummated or this Agreement is terminated, the Company and the NN Guarantors and, upon execution and delivery of the Joinder Agreement, the PEP Guarantors, will pay or cause to be paid all costs, fees and expenses incident to the performance of its obligations under this Agreement and in connection with the transactions contemplated hereby, including, without limitation, (i) all expenses incident to the preparation, issuance and delivery of the Securities, (ii) all costs and expenses related to the issuance and delivery of the Securities to the Initial Purchasers, including any transfer or other taxes payable thereon, (iii) all fees, disbursements and expenses of the Company’s counsel and the Company’s accountants in connection with the issuance and sale of the Securities and all other fees or expenses in connection with the preparation of the Preliminary Offering Memorandum, any Permitted General Solicitation, the Final Offering Memorandum and each Updated Final Offering Memorandum and all amendments and supplements thereto, and the Transaction Documents, including all printing costs associated therewith, and the delivering of copies thereof to the Initial Purchasers, in the quantities herein above specified, (iv) the fees and expenses of the Trustee, including the fees and disbursements of counsel for the Trustee in connection with the Indenture, the Securities and the Exchange Securities, (v) all filing fees, attorneys’ fees and expenses incurred by the Company, the Guarantors or the Initial Purchasers in connection with qualifying or registering (or obtaining exemptions from the qualification or registration of) all or any part of the Securities for offer and sale under the securities laws of the several states of the United States, the provinces of Canada or other jurisdictions designated by the Initial Purchasers (including, without limitation, the cost of preparing, printing and mailing preliminary and final blue sky or legal investment memoranda and any related supplements to the Preliminary Offering Memorandum, the Final Offering Memorandum or any Updated Final Offering Memorandum), (vi) any fees payable in connection with the rating of the Securities or the Exchange Securities with the ratings agencies, and (viii) all costs and expenses relating to investor presentations, including any “road show” presentations undertaken in connection with the marketing of the offering of the Securities, including,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48" w:name="page149"/>
    <w:bookmarkEnd w:id="148"/>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limitation, expenses associated with the production of road show slides and graphics, fees and expenses of any consultants engaged in connection with the road show presentations, travel and lodging expenses of the representatives (including the Initial Purchasers) and officers of the Company and any such consultants, and 50% of the cost of any aircraft chartered in connection with the road show. It is understood, however, that except as provided in this Section 6 and Section 8 hereof, the Initial Purchasers shall pay their own expenses, including the fees and disbursements of their counsel.</w:t>
      </w:r>
    </w:p>
    <w:p>
      <w:pPr>
        <w:spacing w:after="0" w:line="154" w:lineRule="exact"/>
        <w:rPr>
          <w:sz w:val="20"/>
          <w:szCs w:val="20"/>
          <w:color w:val="auto"/>
        </w:rPr>
      </w:pPr>
    </w:p>
    <w:p>
      <w:pPr>
        <w:ind w:right="40" w:firstLine="464"/>
        <w:spacing w:after="0" w:line="273" w:lineRule="auto"/>
        <w:tabs>
          <w:tab w:leader="none" w:pos="71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the sale of the Securities provided for herein is not consummated because any condition to the obligations of the Initial Purchasers set forth in Section 5 hereof is not satisfied, because this Agreement is terminated pursuant to Section 9 hereof or because of any failure, refusal or inability on the part of the Company to perform all obligations and satisfy all conditions on its part to be performed or satisfied hereunder other than by reason of a default by any of the Initial Purchasers, the Company will reimburse the Initial Purchasers upon demand for all reasonable out-of-pocket expenses (including, without limitation, documented fees and disbursements of counsel, printing expenses, travel expenses, postage, facsimile and telephone charges) that shall have been incurred by them in connection with the proposed purchase and sale of the Securities.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color w:val="auto"/>
        </w:rPr>
        <w:t>Indemnification.</w:t>
      </w:r>
    </w:p>
    <w:p>
      <w:pPr>
        <w:spacing w:after="0" w:line="225" w:lineRule="exact"/>
        <w:rPr>
          <w:sz w:val="20"/>
          <w:szCs w:val="20"/>
          <w:color w:val="auto"/>
        </w:rPr>
      </w:pPr>
    </w:p>
    <w:p>
      <w:pPr>
        <w:ind w:firstLine="464"/>
        <w:spacing w:after="0" w:line="286" w:lineRule="auto"/>
        <w:tabs>
          <w:tab w:leader="none" w:pos="701"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by the Company and the Guarantors. </w:t>
      </w:r>
      <w:r>
        <w:rPr>
          <w:rFonts w:ascii="Arial" w:cs="Arial" w:eastAsia="Arial" w:hAnsi="Arial"/>
          <w:sz w:val="16"/>
          <w:szCs w:val="16"/>
          <w:color w:val="auto"/>
        </w:rPr>
        <w:t>Each of the Company and the NN Guarantors, and upon execution of the Joinder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each of the PEP Guarantors, jointly and severally, agrees to indemnify and hold harmless each Initial Purchaser, its affiliates, directors, officers and employees, and each person, if any, who controls (within the meaning of Section 15 of the Securities Act or Section 20 of the Exchange Act) any Initial Purchaser against any and all losses, claims, damages, liabilities or expenses, as incurred, to which such Initial Purchaser, affiliate, director, officer, employee or controlling person may become subject, under the Securities Act, the Exchange Act or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arise out of or are based upon any untrue statement or alleged untrue statement of a material fact contained in the Preliminary Offering Memorandum, any Company Additional Written Communication, any Permitted General Solicitation, the Final Offering Memorandum or any Updated Final Offering Memorandum (or any amendment or supplement thereto), or the omission or alleged omission therefrom of a material fact, in each case, necessary in order to make the statements therein, in the light of the circumstances under which they were made, not misleading; and will reimburse each Initial Purchaser and each such affiliate, director, officer, employee or controlling person for any and all expenses (including the fees and disbursements of counsel chosen by SunTrust) as such expenses are reasonably incurred by such Initial Purchaser or such affiliate, director, officer, employee or controlling person in connection with investigating, defending, settling, compromising or paying any such loss, claim, damage, liability, expense or action; provided, however, that the Company and the Guarantors will not be liable in any such case to the extent, but only to the extent, that any such loss, claim, damage, liability or expense arises out of or is based upon any untrue statement or alleged untrue statement or omission or alleged omission made in reliance upon and in conformity with written information relating to such Initial Purchaser and furnished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49" w:name="page150"/>
    <w:bookmarkEnd w:id="149"/>
    <w:p>
      <w:pPr>
        <w:ind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by such Initial Purchaser through the Representatives expressly for use in the Preliminary Offering Memorandum, any Company Additional Written Communication, the Final Offering Memorandum or any Updated Final Offering Memorandum (or any amendment or supplement thereto). The indemnity agreement set forth in this Section 7(a) shall be in addition to any liabilities that the Company may otherwise have.</w:t>
      </w:r>
    </w:p>
    <w:p>
      <w:pPr>
        <w:spacing w:after="0" w:line="143" w:lineRule="exact"/>
        <w:rPr>
          <w:sz w:val="20"/>
          <w:szCs w:val="20"/>
          <w:color w:val="auto"/>
        </w:rPr>
      </w:pPr>
    </w:p>
    <w:p>
      <w:pPr>
        <w:ind w:firstLine="464"/>
        <w:spacing w:after="0" w:line="284" w:lineRule="auto"/>
        <w:tabs>
          <w:tab w:leader="none" w:pos="711" w:val="left"/>
        </w:tabs>
        <w:numPr>
          <w:ilvl w:val="0"/>
          <w:numId w:val="207"/>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by the Initial Purchasers. </w:t>
      </w:r>
      <w:r>
        <w:rPr>
          <w:rFonts w:ascii="Arial" w:cs="Arial" w:eastAsia="Arial" w:hAnsi="Arial"/>
          <w:sz w:val="16"/>
          <w:szCs w:val="16"/>
          <w:color w:val="auto"/>
        </w:rPr>
        <w:t>Each Initial Purchaser agrees, severally and not jointly, to indemnify and hold harmless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each NN Guarantor and, upon execution and delivery of the Joinder Agreement, each PEP Guarantor, each of their respective affiliates, directors, officers and each person, if any, who controls the Company or any such Guarantor within the meaning of Section 15 of the Securities Act or Section 20 of the Exchange Act, against any and all losses, claims, damages, liabilities or expenses, as incurred, to which the Company, any Guarantor or any such affiliate,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Initial Purchaser), insofar as such loss, claim, damage, liability or expense (or actions in respect thereof as contemplated below) arises out of or is based upon any untrue statement or alleged untrue statement of a material fact contained in the Preliminary Offering Memorandum, any Company Additional Written Communication, any Permitted General Solicitation, the Final Offering Memorandum or any Updated Final Offering Memorandum (or any amendment or supplement thereto), or the omission or alleged omission therefrom of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Preliminary Offering Memorandum, any Company Additional Written Communication, the Final Offering Memorandum or any Updated Final Offering Memorandum (or any amendment or supplement thereto), in reliance upon and in conformity with written information relating to such Initial Purchaser and furnished to the Company by such Initial Purchaser through the Representative expressly for use therein; and to reimburse the Company, any NN Guarantor and, upon execution and delivery of the Joinder Agreement, any PEP Guarantor and each such affiliate, director, officer or controlling person for any and all expenses (including the fees and disbursements of counsel) as such expenses are reasonably incurred by the Company, any such Guarantor or such affiliate, director, officer or controlling person in connection with investigating, defending, settling, compromising or paying any such loss, claim, damage, liability, expense or action. Each of the Company and the NN Guarantors and, upon execution and delivery of the Joinder Agreement, the PEP Guarantors hereby acknowledges that the only information that the Initial Purchasers through the Representative have furnished to the Company expressly for use in the Preliminary Offering Memorandum, any Company Additional Written Communication, the Final Offering Memorandum or any Updated Final Offering Memorandum (or any amendment or supplement thereto) are the statements set forth in the third sentence of the sixth paragraph and eighth and ninth paragraphs under the caption “Plan of Distribution” in the Preliminary Offering Memorandum and the Final Offering Memorandum. The indemnity agreement set forth in this Section 7(b) shall be in addition to any liabilities that each Initial Purchaser may otherwise have.</w:t>
      </w:r>
    </w:p>
    <w:p>
      <w:pPr>
        <w:spacing w:after="0" w:line="178" w:lineRule="exact"/>
        <w:rPr>
          <w:rFonts w:ascii="Arial" w:cs="Arial" w:eastAsia="Arial" w:hAnsi="Arial"/>
          <w:sz w:val="16"/>
          <w:szCs w:val="16"/>
          <w:color w:val="auto"/>
        </w:rPr>
      </w:pPr>
    </w:p>
    <w:p>
      <w:pPr>
        <w:ind w:right="20" w:firstLine="464"/>
        <w:spacing w:after="0" w:line="282" w:lineRule="auto"/>
        <w:tabs>
          <w:tab w:leader="none" w:pos="701"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Notices and Procedures</w:t>
      </w:r>
      <w:r>
        <w:rPr>
          <w:rFonts w:ascii="Arial" w:cs="Arial" w:eastAsia="Arial" w:hAnsi="Arial"/>
          <w:sz w:val="18"/>
          <w:szCs w:val="18"/>
          <w:color w:val="auto"/>
        </w:rPr>
        <w:t>. Promptly after receipt by any person to whom indemnity may be available under this Section 7 (the “</w:t>
      </w:r>
      <w:r>
        <w:rPr>
          <w:rFonts w:ascii="Arial" w:cs="Arial" w:eastAsia="Arial" w:hAnsi="Arial"/>
          <w:sz w:val="18"/>
          <w:szCs w:val="18"/>
          <w:b w:val="1"/>
          <w:bCs w:val="1"/>
          <w:color w:val="auto"/>
        </w:rPr>
        <w:t>indemnified party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notice of the commencement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50" w:name="page151"/>
    <w:bookmarkEnd w:id="15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action, such indemnified party will, if a claim in respect thereof is to be made against any person from whom indemnity may be sought under this Section 7 (the “</w:t>
      </w:r>
      <w:r>
        <w:rPr>
          <w:rFonts w:ascii="Arial" w:cs="Arial" w:eastAsia="Arial" w:hAnsi="Arial"/>
          <w:sz w:val="16"/>
          <w:szCs w:val="16"/>
          <w:b w:val="1"/>
          <w:bCs w:val="1"/>
          <w:color w:val="auto"/>
        </w:rPr>
        <w:t>indemnifying party</w:t>
      </w:r>
      <w:r>
        <w:rPr>
          <w:rFonts w:ascii="Arial" w:cs="Arial" w:eastAsia="Arial" w:hAnsi="Arial"/>
          <w:sz w:val="16"/>
          <w:szCs w:val="16"/>
          <w:color w:val="auto"/>
        </w:rPr>
        <w:t>”), notify such indemnifying party in writing of the commencement thereof; provided that the failure to so notify such indemnifying party will not relieve such indemnifying party from any liability which it may have to such indemnified party under this Section 7 except to the extent that it has been materially prejudiced by such failure (through the forfeiture of substantive rights and defenses) and shall not relieve such indemnifying party from any liability that such indemnifying party may have to such indemnified party other than under this Section 7. In case any such action is brought against any indemnified party, and such indemnified party notifies the relevant indemnifying party of the commencement thereof, such indemnifying party will be entitled to participate therein and, to the extent that it may wish, to assume the defense thereof, jointly with any other indemnifying party similarly notified, with counsel reasonably satisfactory to such indemnified party; provided, however, if the defendants in any such action (including impleaded parties) include both the indemnified party and the indemnifying party and the indemnified party shall have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After notice from the indemnifying party to such indemnified party of its election so to assume the defense thereof and approval by the indemnified party of counsel appointed to defend such action, the indemnifying party will not be liable to such indemnified party under this Section 7 for any legal or other expenses other than reasonable costs of investigation, subsequently incurred by such indemnified party in connection with the defense thereof, unless</w:t>
      </w:r>
    </w:p>
    <w:p>
      <w:pPr>
        <w:spacing w:after="0" w:line="1" w:lineRule="exact"/>
        <w:rPr>
          <w:sz w:val="20"/>
          <w:szCs w:val="20"/>
          <w:color w:val="auto"/>
        </w:rPr>
      </w:pPr>
    </w:p>
    <w:p>
      <w:pPr>
        <w:ind w:firstLine="8"/>
        <w:spacing w:after="0" w:line="267" w:lineRule="auto"/>
        <w:tabs>
          <w:tab w:leader="none" w:pos="21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indemnified party shall have employed separate counsel in accordance with the proviso to the immediately preceding sentence (it being understood, however, that the indemnifying party shall not be liable for the expenses of more than one separate counsel (together with local counsel (in each jurisdiction)), which shall be selected by SunTrust (in the case of counsel representing the Initial Purchasers or their related persons), representing the indemnified parties who are parties to such action), (ii) the indemnifying party shall not have employed counsel satisfactory to the indemnified party to represent the indemnified party within a reasonable time after notice of commencement of the action or (iii) such indemnifying party has authorized the employment of counsel for such indemnified party at the expense of the indemnifying party. After such notice from an indemnifying party to an indemnified party, such indemnifying party will not be liable for the costs and expenses of any settlement of such action effected by such indemnified party without the written consent of such indemnifying party. Notwithstanding the foregoing sentence, if at any time an indemnified party shall have requested an indemnifying party to reimburse the indemnified party for fees and expenses of counsel as contemplated by (i), (ii) or (iii) of the third sentence of this paragraph, the indemnifying party agrees that it shall be liable for any settlement of any proceeding effected without its written consent if (x) such settlement is entered into more than 30 days after receipt by such indemnifying party of the aforesaid request and (y) such indemnifying party shall not have reimbursed the indemnified party in accordance with such request prior to the date of such settlement. An indemnifying party will not, without the prior written consent of the indemnified party, settle or compromise or consent to the entry of any judgment in any pending or threatened claim, action, suit or proceeding in respect of which indemnification may be sought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51" w:name="page152"/>
    <w:bookmarkEnd w:id="15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(whether or not the indemnified party or any other person that may be entitled to indemnification hereunder is a party to such claim, action, suit or proceeding) unless such settlement, compromise or consent (i) includes an unconditional release of the indemnified party and such other persons from all liability arising out of such claim, action, suit or proceeding and (ii) does not include any statements as to or any findings of fault, culpability or failure to act by or on behalf of any indemnified party.</w:t>
      </w:r>
    </w:p>
    <w:p>
      <w:pPr>
        <w:spacing w:after="0" w:line="183" w:lineRule="exact"/>
        <w:rPr>
          <w:sz w:val="20"/>
          <w:szCs w:val="20"/>
          <w:color w:val="auto"/>
        </w:rPr>
      </w:pPr>
    </w:p>
    <w:p>
      <w:pPr>
        <w:ind w:firstLine="464"/>
        <w:spacing w:after="0" w:line="285" w:lineRule="auto"/>
        <w:tabs>
          <w:tab w:leader="none" w:pos="711" w:val="left"/>
        </w:tabs>
        <w:numPr>
          <w:ilvl w:val="1"/>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Contribution. </w:t>
      </w:r>
      <w:r>
        <w:rPr>
          <w:rFonts w:ascii="Arial" w:cs="Arial" w:eastAsia="Arial" w:hAnsi="Arial"/>
          <w:sz w:val="16"/>
          <w:szCs w:val="16"/>
          <w:color w:val="auto"/>
        </w:rPr>
        <w:t>If the indemnification provided for in the preceding paragraphs of this Section 7 is held to be unavailable to or otherwise insufficient,</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and the Guarantors, on the one hand, and the Initial Purchasers, on the other hand, from the offering of the Securities pursuant to this Agreement or (ii) if the allocation provided by clause (i) above is not permitted by applicable law, in such proportion as is appropriate to reflect not only the relative benefits referred to in clause</w:t>
      </w:r>
    </w:p>
    <w:p>
      <w:pPr>
        <w:spacing w:after="0" w:line="3" w:lineRule="exact"/>
        <w:rPr>
          <w:rFonts w:ascii="Arial" w:cs="Arial" w:eastAsia="Arial" w:hAnsi="Arial"/>
          <w:sz w:val="16"/>
          <w:szCs w:val="16"/>
          <w:color w:val="auto"/>
        </w:rPr>
      </w:pPr>
    </w:p>
    <w:p>
      <w:pPr>
        <w:ind w:right="20" w:firstLine="8"/>
        <w:spacing w:after="0" w:line="284" w:lineRule="auto"/>
        <w:tabs>
          <w:tab w:leader="none" w:pos="2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above but also the relative fault of the Company and the Guarantors, on the one hand, and the Initial Purchasers, on the other hand, in connection with the statements or omissions or inaccuracies in the representations and warranties herein which resulted in such losses, claims, damages, liabilities or expenses, as well as any other relevant equitable considerations. The relative benefits received by the Company and the Guarantors, on the one hand, and the Initial Purchasers,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total discount received by the Initial Purchasers, bear to the aggregate initial offering price of the Securities. The relative fault of the Company and the Guarantors, on the one hand, and the Initial Purchasers, on the other hand, shall be determined by reference to, among other things, whether any such untrue or alleged untrue statement of a material fact or omission or alleged omission to state a material fact relates to information supplied by the Company and the Guarantors, on the one hand, or the Initial Purchasers,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any legal or other fees or expenses reasonably incurred by such party in connection with investigating or defending any action or claim. The provisions set forth in subclauses (a) and (b) of this Section 7 with respect to notice of commencement of any action shall apply if a claim for contribution is to be made under this Section 7; provided, however, that no additional notice shall be required with respect to any action for which notice has been given under Section 7(c) hereof for purposes of indemnification. The Company, the NN Guarantors and, upon execution and delivery of the Joinder Agreement, the PEP Guarantors, and the Initial Purchasers agree that it would not be just and equitable if contribution pursuant to this Section 7 were determined by pro rata allocation (even if the Initial Purchasers were treated as one entity for such purpose) or by any other method of allocation which does not take account of the equitable considerations referred to in this Section 7. Notwithstanding the provisions of this Section 7, no Initial Purchaser shall be required to contribute any amount in excess of the discount received by such Initial Purchaser in connection with the Securities distributed by it. No person guilty of fraudulent misrepresentation (within the meaning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52" w:name="page153"/>
    <w:bookmarkEnd w:id="152"/>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 of the Securities Act) shall be entitled to contribution from any person who was not guilty of such fraudulent misrepresentation. The Initial Purchasers’ obligations to contribute pursuant to this Section 7 are several, and not joint, in proportion to their respective commitments as set forth opposite their names in Schedule A-1. For purposes of this Section 7, each director, officer and employee of an Initial Purchaser and each person, if any, who controls an Initial Purchaser within the meaning of the Securities Act and the Exchange Act shall have the same rights to contribution as such Initial Purchaser, and each affiliate, director or officer of the Company or any Guarantor, and each person, if any, who controls the Company or any Guarantor within the meaning of the Securities Act and the Exchange Act shall have the same rights to contribution as the Company and the Guarantors.</w:t>
      </w:r>
    </w:p>
    <w:p>
      <w:pPr>
        <w:spacing w:after="0" w:line="1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b w:val="1"/>
          <w:bCs w:val="1"/>
          <w:color w:val="auto"/>
        </w:rPr>
        <w:t>Termination of this Agreement.</w:t>
      </w:r>
      <w:r>
        <w:rPr>
          <w:rFonts w:ascii="Arial" w:cs="Arial" w:eastAsia="Arial" w:hAnsi="Arial"/>
          <w:sz w:val="16"/>
          <w:szCs w:val="16"/>
          <w:color w:val="auto"/>
        </w:rPr>
        <w:t xml:space="preserve"> The Representative may terminate this Agreement with respect to the Notes by notice to the Company in accordance with the last paragraph of Section 4 hereof or at any time prior to the Closing Date if at any time: (i) trading or quotation in any of the Company’s securities shall have been suspended or limited by the Commission or by the Nasdaq Stock Market, or trading in securities generally on either the Nasdaq Stock Market or the New York Stock Exchange (the “</w:t>
      </w:r>
      <w:r>
        <w:rPr>
          <w:rFonts w:ascii="Arial" w:cs="Arial" w:eastAsia="Arial" w:hAnsi="Arial"/>
          <w:sz w:val="16"/>
          <w:szCs w:val="16"/>
          <w:b w:val="1"/>
          <w:bCs w:val="1"/>
          <w:color w:val="auto"/>
        </w:rPr>
        <w:t>NYSE</w:t>
      </w:r>
      <w:r>
        <w:rPr>
          <w:rFonts w:ascii="Arial" w:cs="Arial" w:eastAsia="Arial" w:hAnsi="Arial"/>
          <w:sz w:val="16"/>
          <w:szCs w:val="16"/>
          <w:color w:val="auto"/>
        </w:rPr>
        <w:t>”) shall have been suspended or limited, or minimum or maximum prices shall have been generally established on any of such quotation system or stock exchange by the Commission or FINRA; (ii) a general banking moratorium shall have been declared by any of federal, New York or Delaware authorities; (iii) there shall have been (A) an outbreak or escalation of hostilities between the United States and any foreign power, (B) an outbreak or escalation of any other insurrection or armed conflict involving the United States or (C) any substantial change in general economic, political or financial conditions which has an effect on the U.S. financial markets that, in the case of any event described in this clause (iii), in the reasonable judgment of the Representative, is material and adverse and makes it impracticable or inadvisable to proceed with the offer, sale and delivery of the Securities as disclosed in the Final Offering Memorandum, exclusive of any amendment or supplement thereto; or (iv) in the reasonable judgment of the Representative there shall have occurred any Material Adverse Change. Any termination pursuant to this Section 8 shall be without liability on the part of (i) the Company or any Guarantor to any Initial Purchaser, except that the Company and the Guarantors shall be obligated to reimburse the expenses of the Initial Purchasers pursuant to Section 6 hereof, (ii) any Initial Purchaser to the Company, or (iii) any party hereto to any other party except that the provisions of Section 7 hereof shall at all times be effective and shall survive such termination.</w:t>
      </w:r>
    </w:p>
    <w:p>
      <w:pPr>
        <w:spacing w:after="0" w:line="172"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b w:val="1"/>
          <w:bCs w:val="1"/>
          <w:color w:val="auto"/>
        </w:rPr>
        <w:t>Notices.</w:t>
      </w:r>
      <w:r>
        <w:rPr>
          <w:rFonts w:ascii="Arial" w:cs="Arial" w:eastAsia="Arial" w:hAnsi="Arial"/>
          <w:sz w:val="16"/>
          <w:szCs w:val="16"/>
          <w:color w:val="auto"/>
        </w:rPr>
        <w:t xml:space="preserve"> All communications hereunder shall be in writing and, if sent to any of the Initial Purchasers, shall be delivered or sent by mail or transmitted and confirmed in writing by any standard form of telecommunication to SunTrust Robinson Humphrey, Inc., 3333 Peachtree Road, 10th Floor, Atlanta, GA 30326, Facsimile: 404-926-5248, Attention: High Yield Syndicate, with a copy to Cahill Gordon &amp; Reindel LLP, 80 Pine Street, New York, NY 10005, Attention: James J. Clark, Esq. and if sent to the Company, shall be delivered or sent by mail, telex or facsimile transmission and confirmed in writing to the Company at NN, Inc., 207 Mockingbird Lane, Johnson City, TN 37604, Facsimile: 423-743-2670, Attention: James H. Dorton, Senior Vice President – Chief Financial Officer, with a copy to Baker, Donelson, Bearman, Caldwell &amp; Berkowitz, PC, First Tennessee Building, 165 Madison Avenue, Suite 2000, Memphis, TN 38103, Attention: Richard F. Mattern, Esq., and NN, Inc., 207 Mockingbird Lane, Johnson City, TN 37604, Attention: Matthew S. Heiter, Esq.</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53" w:name="page154"/>
    <w:bookmarkEnd w:id="153"/>
    <w:p>
      <w:pPr>
        <w:ind w:right="600" w:firstLine="456"/>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6"/>
          <w:szCs w:val="16"/>
          <w:b w:val="1"/>
          <w:bCs w:val="1"/>
          <w:color w:val="auto"/>
        </w:rPr>
        <w:t>Agreement to Cooperate</w:t>
      </w:r>
      <w:r>
        <w:rPr>
          <w:rFonts w:ascii="Arial" w:cs="Arial" w:eastAsia="Arial" w:hAnsi="Arial"/>
          <w:sz w:val="16"/>
          <w:szCs w:val="16"/>
          <w:color w:val="auto"/>
        </w:rPr>
        <w:t>. The Company and the NN Guarantors, jointly and severally (and, in addition, upon the execution and delivery of the Joinder Agreement, the PEP Guarantors, jointly and severally) further covenant and agree with each Initial Purchaser as follows:</w:t>
      </w:r>
    </w:p>
    <w:p>
      <w:pPr>
        <w:spacing w:after="0" w:line="120" w:lineRule="exact"/>
        <w:rPr>
          <w:sz w:val="20"/>
          <w:szCs w:val="20"/>
          <w:color w:val="auto"/>
        </w:rPr>
      </w:pPr>
    </w:p>
    <w:p>
      <w:pPr>
        <w:ind w:left="700" w:hanging="236"/>
        <w:spacing w:after="0"/>
        <w:tabs>
          <w:tab w:leader="none" w:pos="7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After the Closing Date, but prior to the expiration of the Cooperation Period (as defined below) the Company and the Guarantors shall:</w:t>
      </w:r>
    </w:p>
    <w:p>
      <w:pPr>
        <w:spacing w:after="0" w:line="117" w:lineRule="exact"/>
        <w:rPr>
          <w:rFonts w:ascii="Arial" w:cs="Arial" w:eastAsia="Arial" w:hAnsi="Arial"/>
          <w:sz w:val="18"/>
          <w:szCs w:val="18"/>
          <w:color w:val="auto"/>
        </w:rPr>
      </w:pPr>
    </w:p>
    <w:p>
      <w:pPr>
        <w:ind w:left="460" w:right="20" w:firstLine="443"/>
        <w:spacing w:after="0" w:line="268" w:lineRule="auto"/>
        <w:tabs>
          <w:tab w:leader="none" w:pos="1113" w:val="left"/>
        </w:tabs>
        <w:numPr>
          <w:ilvl w:val="1"/>
          <w:numId w:val="211"/>
        </w:numPr>
        <w:rPr>
          <w:rFonts w:ascii="Arial" w:cs="Arial" w:eastAsia="Arial" w:hAnsi="Arial"/>
          <w:sz w:val="17"/>
          <w:szCs w:val="17"/>
          <w:color w:val="auto"/>
        </w:rPr>
      </w:pPr>
      <w:r>
        <w:rPr>
          <w:rFonts w:ascii="Arial" w:cs="Arial" w:eastAsia="Arial" w:hAnsi="Arial"/>
          <w:sz w:val="17"/>
          <w:szCs w:val="17"/>
          <w:color w:val="auto"/>
        </w:rPr>
        <w:t>upon request of the Representative, on up to three (3) occasions, subject to Blackout Periods (as defined below), use their commercially reasonable efforts to provide to the Initial Purchasers an updated version of the Final Offering Memorandum (including for the avoidance of doubt the final Canadian wrapper) (as so amended, supplemented or updated from time to time in accordance with the terms hereof, an “</w:t>
      </w:r>
      <w:r>
        <w:rPr>
          <w:rFonts w:ascii="Arial" w:cs="Arial" w:eastAsia="Arial" w:hAnsi="Arial"/>
          <w:sz w:val="17"/>
          <w:szCs w:val="17"/>
          <w:b w:val="1"/>
          <w:bCs w:val="1"/>
          <w:color w:val="auto"/>
        </w:rPr>
        <w:t>Updated Final Offering</w:t>
      </w:r>
      <w:r>
        <w:rPr>
          <w:rFonts w:ascii="Arial" w:cs="Arial" w:eastAsia="Arial" w:hAnsi="Arial"/>
          <w:sz w:val="17"/>
          <w:szCs w:val="17"/>
          <w:color w:val="auto"/>
        </w:rPr>
        <w:t xml:space="preserve"> </w:t>
      </w:r>
      <w:r>
        <w:rPr>
          <w:rFonts w:ascii="Arial" w:cs="Arial" w:eastAsia="Arial" w:hAnsi="Arial"/>
          <w:sz w:val="17"/>
          <w:szCs w:val="17"/>
          <w:b w:val="1"/>
          <w:bCs w:val="1"/>
          <w:color w:val="auto"/>
        </w:rPr>
        <w:t>Memorandum</w:t>
      </w:r>
      <w:r>
        <w:rPr>
          <w:rFonts w:ascii="Arial" w:cs="Arial" w:eastAsia="Arial" w:hAnsi="Arial"/>
          <w:sz w:val="17"/>
          <w:szCs w:val="17"/>
          <w:color w:val="auto"/>
        </w:rPr>
        <w:t>”) in a form consistent with the Final Offering Memorandum (including all financial statements, pro forma 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business and other financial data of the type required in a registered offering by Regulation S-X and Regulation S-K under the Securities Act (other than Rule 3-10 and Rule 3-16 of Regulation S-X and subject to exceptions customary for private placements pursuant to Rule 144A and if reasonably requested by the Representative, to the extent reasonably practicable, any “flash” or “capsule” financial information (on an annual or quarterly basis) with respect to the Company and its subsidiaries) such that the Updated Final Offering Memorandum does not contain any untrue statement of a material fact or omit to state any material fact necessary to make the statements therein,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will the Company and the Guarantors be required to provide updated annual audited or quarterly unaudited financial statements earlier than the time the Company and the Guarantors are required to provide such information as described in the Final Offering Memorandum under the heading “Description of the Notes–Reports” (without giving effect to the grace period in clause (4) under “Description of the Notes–Events of Default and Remedies” in the Final Offering Memorandum);</w:t>
      </w:r>
    </w:p>
    <w:p>
      <w:pPr>
        <w:spacing w:after="0" w:line="79" w:lineRule="exact"/>
        <w:rPr>
          <w:rFonts w:ascii="Arial" w:cs="Arial" w:eastAsia="Arial" w:hAnsi="Arial"/>
          <w:sz w:val="17"/>
          <w:szCs w:val="17"/>
          <w:color w:val="auto"/>
        </w:rPr>
      </w:pPr>
    </w:p>
    <w:p>
      <w:pPr>
        <w:ind w:left="460" w:right="140" w:firstLine="443"/>
        <w:spacing w:after="0" w:line="286" w:lineRule="auto"/>
        <w:tabs>
          <w:tab w:leader="none" w:pos="1163" w:val="left"/>
        </w:tabs>
        <w:numPr>
          <w:ilvl w:val="1"/>
          <w:numId w:val="211"/>
        </w:numPr>
        <w:rPr>
          <w:rFonts w:ascii="Arial" w:cs="Arial" w:eastAsia="Arial" w:hAnsi="Arial"/>
          <w:sz w:val="16"/>
          <w:szCs w:val="16"/>
          <w:color w:val="auto"/>
        </w:rPr>
      </w:pPr>
      <w:r>
        <w:rPr>
          <w:rFonts w:ascii="Arial" w:cs="Arial" w:eastAsia="Arial" w:hAnsi="Arial"/>
          <w:sz w:val="16"/>
          <w:szCs w:val="16"/>
          <w:color w:val="auto"/>
        </w:rPr>
        <w:t>upon written notice from the Representative, in connection with an offer and resale of the Securities (the fifth business day (or such other period as mutually agreed between the Company and the Representative) after each such notice herein referred to as the “</w:t>
      </w:r>
      <w:r>
        <w:rPr>
          <w:rFonts w:ascii="Arial" w:cs="Arial" w:eastAsia="Arial" w:hAnsi="Arial"/>
          <w:sz w:val="16"/>
          <w:szCs w:val="16"/>
          <w:b w:val="1"/>
          <w:bCs w:val="1"/>
          <w:color w:val="auto"/>
        </w:rPr>
        <w:t>Sale Date</w:t>
      </w:r>
      <w:r>
        <w:rPr>
          <w:rFonts w:ascii="Arial" w:cs="Arial" w:eastAsia="Arial" w:hAnsi="Arial"/>
          <w:sz w:val="16"/>
          <w:szCs w:val="16"/>
          <w:color w:val="auto"/>
        </w:rPr>
        <w:t>” and the related settlement date mutually determined by the Company and the Representative, the “</w:t>
      </w:r>
      <w:r>
        <w:rPr>
          <w:rFonts w:ascii="Arial" w:cs="Arial" w:eastAsia="Arial" w:hAnsi="Arial"/>
          <w:sz w:val="16"/>
          <w:szCs w:val="16"/>
          <w:b w:val="1"/>
          <w:bCs w:val="1"/>
          <w:color w:val="auto"/>
        </w:rPr>
        <w:t>Settlement Date</w:t>
      </w:r>
      <w:r>
        <w:rPr>
          <w:rFonts w:ascii="Arial" w:cs="Arial" w:eastAsia="Arial" w:hAnsi="Arial"/>
          <w:sz w:val="16"/>
          <w:szCs w:val="16"/>
          <w:color w:val="auto"/>
        </w:rPr>
        <w:t>”), use commercially reasonable efforts to provide the Initial Purchasers on or prior to the Sale Date or the Settlement Date, as applicable, the following, provided that there shall be no more than three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 Sale Dates:</w:t>
      </w:r>
    </w:p>
    <w:p>
      <w:pPr>
        <w:spacing w:after="0" w:line="103" w:lineRule="exact"/>
        <w:rPr>
          <w:sz w:val="20"/>
          <w:szCs w:val="20"/>
          <w:color w:val="auto"/>
        </w:rPr>
      </w:pPr>
    </w:p>
    <w:p>
      <w:pPr>
        <w:ind w:left="460" w:right="60" w:firstLine="443"/>
        <w:spacing w:after="0" w:line="342" w:lineRule="auto"/>
        <w:tabs>
          <w:tab w:leader="none" w:pos="119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opinions and negative assurance letters, as the case may be, consistent in all relevant respects with those provided pursuant to Section 4(d) of this Agreement and dated such Settlement Date (including opinions covering the PEP Guarantors in their capacity as Guarantors);</w:t>
      </w:r>
    </w:p>
    <w:p>
      <w:pPr>
        <w:spacing w:after="0" w:line="15" w:lineRule="exact"/>
        <w:rPr>
          <w:rFonts w:ascii="Arial" w:cs="Arial" w:eastAsia="Arial" w:hAnsi="Arial"/>
          <w:sz w:val="16"/>
          <w:szCs w:val="16"/>
          <w:color w:val="auto"/>
        </w:rPr>
      </w:pPr>
    </w:p>
    <w:p>
      <w:pPr>
        <w:ind w:left="460" w:firstLine="443"/>
        <w:spacing w:after="0" w:line="277" w:lineRule="auto"/>
        <w:tabs>
          <w:tab w:leader="none" w:pos="118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a “comfort” letter dated such Sale Date and a “bring-down” comfort letter dated such Settlement Date, with respect to the Company and its subsidiaries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154" w:name="page155"/>
    <w:bookmarkEnd w:id="15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Updated Final Offering Memorandum from PricewaterhouseCoopers LLP, (ii) a “comfort” letter dated such Sale Date and a “bring-down” comfort letter dated such Settlement Date, with respect to PEP and its subsidiaries and the Updated Final Offering Memorandum from Ernst &amp; Young LLP and</w:t>
      </w:r>
    </w:p>
    <w:p>
      <w:pPr>
        <w:ind w:firstLine="4"/>
        <w:spacing w:after="0" w:line="302" w:lineRule="auto"/>
        <w:tabs>
          <w:tab w:leader="none" w:pos="31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 “comfort letter” dated such Sale Date, with respect to Autocam and the Updated Final Offering Memorandum from Deloitte &amp; Touche LLP, in each case addressed to the Initial Purchasers, such comfort letters to be in the form consistent with that provided under this Agreement (as appropriately updated) and such bring-down comfort letters to be in customary form and substantially consistent with that provided for Rule 144A debt offerings;</w:t>
      </w:r>
    </w:p>
    <w:p>
      <w:pPr>
        <w:spacing w:after="0" w:line="47" w:lineRule="exact"/>
        <w:rPr>
          <w:rFonts w:ascii="Arial" w:cs="Arial" w:eastAsia="Arial" w:hAnsi="Arial"/>
          <w:sz w:val="16"/>
          <w:szCs w:val="16"/>
          <w:color w:val="auto"/>
        </w:rPr>
      </w:pPr>
    </w:p>
    <w:p>
      <w:pPr>
        <w:ind w:right="340" w:firstLine="443"/>
        <w:spacing w:after="0" w:line="277" w:lineRule="auto"/>
        <w:tabs>
          <w:tab w:leader="none" w:pos="72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 officer’s certificate dated as of such Settlement Date and consistent with the officer’s certificate delivered by the Company pursuant to Section 4(f) (provided that references therein to the Closing Date shall be to such Settlement Date); and</w:t>
      </w:r>
    </w:p>
    <w:p>
      <w:pPr>
        <w:spacing w:after="0" w:line="62" w:lineRule="exact"/>
        <w:rPr>
          <w:sz w:val="20"/>
          <w:szCs w:val="20"/>
          <w:color w:val="auto"/>
        </w:rPr>
      </w:pPr>
    </w:p>
    <w:p>
      <w:pPr>
        <w:ind w:right="20" w:firstLine="443"/>
        <w:spacing w:after="0" w:line="270" w:lineRule="auto"/>
        <w:tabs>
          <w:tab w:leader="none" w:pos="75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 connection with such request, use commercially reasonable efforts to assist the Initial Purchasers in their marketing efforts for the resale of Securities during the Cooperation Period (as defined below) by (A) providing to the Initial Purchasers and their counsel all information they reasonably request to update due diligence (including by way of any conference calls) to each Sale Date and each Settlement Date and (B) reasonably cooperating with the Initial Purchasers in connection with the marketing of the Securities by (1) meeting with rating agencies, and (2) preparing road show materials and having senior management (including the CEO and CFO to the extent the inclusion of both would not materially interfere with any day to day operations of the business) of the Company available to participate in one or more meetings with prospective investors, or participating in conference calls at mutually agreeable times with prospective investors to whom the Initial Purchasers propose to resell the unsold allotment of Securities then held by them; provided, that such assistance does not unreasonably interfere with the ongoing operations of the Company and the Guarantors or otherwise impair, in any material respect, the ability of any officer or executive of the Company or any Guarantor to carry out their duties to the Company and the Guarantors;</w:t>
      </w:r>
    </w:p>
    <w:p>
      <w:pPr>
        <w:spacing w:after="0" w:line="69" w:lineRule="exact"/>
        <w:rPr>
          <w:rFonts w:ascii="Arial" w:cs="Arial" w:eastAsia="Arial" w:hAnsi="Arial"/>
          <w:sz w:val="17"/>
          <w:szCs w:val="17"/>
          <w:color w:val="auto"/>
        </w:rPr>
      </w:pPr>
    </w:p>
    <w:p>
      <w:pPr>
        <w:ind w:right="120" w:firstLine="443"/>
        <w:spacing w:after="0" w:line="264" w:lineRule="auto"/>
        <w:tabs>
          <w:tab w:leader="none" w:pos="74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extent not previously done on or before the Closing Date, use commercially reasonable efforts to (A) obtain CUSIP numbers for the Notes as necessary; (B) obtain eligibility for the Notes to clear and settle through DTC; and (C) maintain a rating of the Notes from Standard &amp; Poor’s and Moody’s;</w:t>
      </w:r>
    </w:p>
    <w:p>
      <w:pPr>
        <w:spacing w:after="0" w:line="73" w:lineRule="exact"/>
        <w:rPr>
          <w:rFonts w:ascii="Arial" w:cs="Arial" w:eastAsia="Arial" w:hAnsi="Arial"/>
          <w:sz w:val="18"/>
          <w:szCs w:val="18"/>
          <w:color w:val="auto"/>
        </w:rPr>
      </w:pPr>
    </w:p>
    <w:p>
      <w:pPr>
        <w:ind w:right="120" w:firstLine="443"/>
        <w:spacing w:after="0" w:line="273" w:lineRule="auto"/>
        <w:tabs>
          <w:tab w:leader="none" w:pos="69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use commercially reasonable efforts to furnish to each Initial Purchaser and to counsel for the Initial Purchasers, without charge except as set forth in clause (e) below, as many copies of each Updated Final Offering Memorandum and any amendments and supplements thereto as they may reasonably request; provided, that the Initial Purchasers shall not be entitled to use such Updated Final Offering Memorandum delivered pursuant to this clause (v) at such time as (A) the financial information contained therein no longer complies with the applicable requirements of Regulation S-X (other than Rule 3-10 and Rule 3-16 of Regulation S-X and subject to exceptions customary for private placements pursuant to Rule 144A), or (B) the Company has delivered a blackout notice pursuant to Section 10(c) below;</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74" w:right="239" w:bottom="1440" w:gutter="0" w:footer="0" w:header="0"/>
        </w:sectPr>
      </w:pPr>
    </w:p>
    <w:bookmarkStart w:id="155" w:name="page156"/>
    <w:bookmarkEnd w:id="155"/>
    <w:p>
      <w:pPr>
        <w:jc w:val="both"/>
        <w:ind w:left="400" w:right="200" w:firstLine="443"/>
        <w:spacing w:after="0" w:line="264" w:lineRule="auto"/>
        <w:tabs>
          <w:tab w:leader="none" w:pos="1143" w:val="left"/>
        </w:tabs>
        <w:numPr>
          <w:ilvl w:val="1"/>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provisions of clause (i) above and clause (vii) below, not make any amendment or supplement to an Updated Final Offering Memorandum or otherwise distribute or refer to any Company Additional Written Communication that shall be reasonably disapproved by SunTrust after reasonable notice thereof; and</w:t>
      </w:r>
    </w:p>
    <w:p>
      <w:pPr>
        <w:spacing w:after="0" w:line="73" w:lineRule="exact"/>
        <w:rPr>
          <w:rFonts w:ascii="Arial" w:cs="Arial" w:eastAsia="Arial" w:hAnsi="Arial"/>
          <w:sz w:val="18"/>
          <w:szCs w:val="18"/>
          <w:color w:val="auto"/>
        </w:rPr>
      </w:pPr>
    </w:p>
    <w:p>
      <w:pPr>
        <w:ind w:left="400" w:right="100" w:firstLine="443"/>
        <w:spacing w:after="0" w:line="287" w:lineRule="auto"/>
        <w:tabs>
          <w:tab w:leader="none" w:pos="1193"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if at any time any event (for the avoidance of doubt, an “event” shall not be deemed to include financial statements being deemed to be “stale” due to the passage of time or the availability of financial statements for a subsequent period) occurs prior to the completion of the resale of the Securities by the Initial Purchasers (as determined by the Initial Purchasers) but in any event before the end of the Cooperation Period, as a result of which the Final Offering Memorandum or any Updated Final Offering Memorandum, as then amended or supplemented, would include any untrue statement of a material fact or omit to state any material fact necessary to make the statements therein, in the light of the circumstances under which they were made, not misleading, or if it should be necessary to amend or supplement the Final Offering Memorandum or any Updated Offering Final Memorandum to comply with applicable law in the opinion of counsel for the Initial Purchasers or counsel for the Company, then, use commercially reasonable efforts to (A) prepare an amendment or supplement that will correct such statement or omission or effect such compliance and (B) supply any supplement or amendment thereto to the several Initial Purchasers (it being understood that the Initial Purchasers will cease making use of such Updated Final Offering Memorandum until such amendment or supplement is available) and counsel for the Initial Purchasers, without charge except as set forth in clause (e) below, in such quantities as they may reasonably request and promptly notify the Initial Purchasers of any event or other occurrence which would require any such amendment or supplement.</w:t>
      </w:r>
    </w:p>
    <w:p>
      <w:pPr>
        <w:spacing w:after="0" w:line="164" w:lineRule="exact"/>
        <w:rPr>
          <w:rFonts w:ascii="Arial" w:cs="Arial" w:eastAsia="Arial" w:hAnsi="Arial"/>
          <w:sz w:val="16"/>
          <w:szCs w:val="16"/>
          <w:color w:val="auto"/>
        </w:rPr>
      </w:pPr>
    </w:p>
    <w:p>
      <w:pPr>
        <w:ind w:left="-60" w:right="780" w:firstLine="464"/>
        <w:spacing w:after="0" w:line="282" w:lineRule="auto"/>
        <w:tabs>
          <w:tab w:leader="none" w:pos="65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provisions set forth in this Section 10 shall terminate 365 days after the Closing Date (the “</w:t>
      </w:r>
      <w:r>
        <w:rPr>
          <w:rFonts w:ascii="Arial" w:cs="Arial" w:eastAsia="Arial" w:hAnsi="Arial"/>
          <w:sz w:val="18"/>
          <w:szCs w:val="18"/>
          <w:b w:val="1"/>
          <w:bCs w:val="1"/>
          <w:color w:val="auto"/>
        </w:rPr>
        <w:t>Cooperation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Cooperation Period shall be extended by the number of days for any Blackout Period.</w:t>
      </w:r>
    </w:p>
    <w:p>
      <w:pPr>
        <w:spacing w:after="0" w:line="161" w:lineRule="exact"/>
        <w:rPr>
          <w:rFonts w:ascii="Arial" w:cs="Arial" w:eastAsia="Arial" w:hAnsi="Arial"/>
          <w:sz w:val="18"/>
          <w:szCs w:val="18"/>
          <w:color w:val="auto"/>
        </w:rPr>
      </w:pPr>
    </w:p>
    <w:p>
      <w:pPr>
        <w:ind w:left="-60" w:firstLine="464"/>
        <w:spacing w:after="0" w:line="270" w:lineRule="auto"/>
        <w:tabs>
          <w:tab w:leader="none" w:pos="64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Blackout Period</w:t>
      </w:r>
      <w:r>
        <w:rPr>
          <w:rFonts w:ascii="Arial" w:cs="Arial" w:eastAsia="Arial" w:hAnsi="Arial"/>
          <w:sz w:val="17"/>
          <w:szCs w:val="17"/>
          <w:color w:val="auto"/>
        </w:rPr>
        <w:t>” shall mean a period not to exceed fifteen business days following delivery of written notice by the Company to Representative (a “</w:t>
      </w:r>
      <w:r>
        <w:rPr>
          <w:rFonts w:ascii="Arial" w:cs="Arial" w:eastAsia="Arial" w:hAnsi="Arial"/>
          <w:sz w:val="17"/>
          <w:szCs w:val="17"/>
          <w:b w:val="1"/>
          <w:bCs w:val="1"/>
          <w:color w:val="auto"/>
        </w:rPr>
        <w:t>blackout notice</w:t>
      </w:r>
      <w:r>
        <w:rPr>
          <w:rFonts w:ascii="Arial" w:cs="Arial" w:eastAsia="Arial" w:hAnsi="Arial"/>
          <w:sz w:val="17"/>
          <w:szCs w:val="17"/>
          <w:color w:val="auto"/>
        </w:rPr>
        <w:t xml:space="preserve">”) solely to the extent that and so long as the Company determines reasonably and in good faith that providing an Updated Final Offering Memorandum in accordance herewith would require the disclosure of material information in the Updated Final Offering Memorandum that, in the reasonable judgment of the Company, would be materially detrimental to the Company if so disclosed or, prior to the execution of definitive documentation related thereto, would otherwise materially adversely affect an acquisition, disposition, merger or other material corporate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be no more than two Blackout Periods during the Cooperation Period. A subsequent Blackout Period shall not be permitted to continue on a consecutive basis following a Blackout Period and a period of at least 30 days shall have lapsed after the end of a Blackout Period prior to the start of another Blackout Period. The Company shall promptly notify the Representative of the end of a Blackout Period. If any Sale Date, “road show” or marketing in respect of any Updated Final Offering Memorandum is affected by any Blackout Period, such Sale Date, “road show” or Updated Final Offering Memorandum shall not count towards any maximum number of occasions or Updated Final Offering Memoranda permitted under this Section 10 (unless a Settlement Date occurs in respect of such Sale Date, “road show” or Updated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300" w:top="274" w:right="299" w:bottom="1440" w:gutter="0" w:footer="0" w:header="0"/>
        </w:sectPr>
      </w:pPr>
    </w:p>
    <w:bookmarkStart w:id="156" w:name="page157"/>
    <w:bookmarkEnd w:id="156"/>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 Offering Memorandum or, with respect to a “road show,” at least 10 business days have elapsed between the completion of the “road show” and the commencement of such Blackout Period).</w:t>
      </w:r>
    </w:p>
    <w:p>
      <w:pPr>
        <w:spacing w:after="0" w:line="170" w:lineRule="exact"/>
        <w:rPr>
          <w:sz w:val="20"/>
          <w:szCs w:val="20"/>
          <w:color w:val="auto"/>
        </w:rPr>
      </w:pPr>
    </w:p>
    <w:p>
      <w:pPr>
        <w:ind w:right="60" w:firstLine="464"/>
        <w:spacing w:after="0" w:line="255" w:lineRule="auto"/>
        <w:tabs>
          <w:tab w:leader="none" w:pos="71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In addition to paragraph (a) above, the Representative may request in writing that the Company and the Guarantors assist the Initial Purchasers in their marketing efforts for the resale of Securities, and the Company and the Guarantors hereby agree to provide such assistance, by causing senior management of the Company (including the CEO and CFO) to participate in a customary “road show” for high yield debt securities on no more than two occasions after the Closing Date that shall not exceed eight business days in the aggregate (unless otherwise agreed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each such “road show” shall (i) not exceed four business days, (ii) be on consecutive business days unless the Company otherwise requests and the Representative shall agrees (such agreement not to be unreasonably withheld, delayed or conditioned), and (iii) each “road show” shall be separated by no less than 30 business days.</w:t>
      </w:r>
    </w:p>
    <w:p>
      <w:pPr>
        <w:spacing w:after="0" w:line="189" w:lineRule="exact"/>
        <w:rPr>
          <w:rFonts w:ascii="Arial" w:cs="Arial" w:eastAsia="Arial" w:hAnsi="Arial"/>
          <w:sz w:val="18"/>
          <w:szCs w:val="18"/>
          <w:color w:val="auto"/>
        </w:rPr>
      </w:pPr>
    </w:p>
    <w:p>
      <w:pPr>
        <w:ind w:firstLine="464"/>
        <w:spacing w:after="0" w:line="284" w:lineRule="auto"/>
        <w:tabs>
          <w:tab w:leader="none" w:pos="701" w:val="left"/>
        </w:tabs>
        <w:numPr>
          <w:ilvl w:val="1"/>
          <w:numId w:val="217"/>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Initial Purchasers will pay or cause to be paid all costs, fees and expenses incident to third offer and resale of the Securities by the Initial Purchasers during the Cooperation Period, if any, including, without limitation, (i) all expenses incident to the offer, resale and delivery of the Securities, (ii) all reasonable fees, disbursements and expenses of the Company’s counsel in connection with the offer and resale of the Securities and all other reasonable fees or expenses in connection with the preparation of any Updated Final Offering Memorandum and all amendments and supplements thereto, including all printing costs associated therewith, and the delivering of copies thereof to the Initial Purchasers, in the quantities herein above specified, (iii) all reasonable fees, disbursements and expenses of each of Pricewaterhouse Coopers LLP, Ernst &amp; Young LLP and Deloitte &amp; Touche LLP in connection with the preparation of any “comfort” letter dated as of any Sale Date and a “bring-down” comfort letter dated as of any Settlement Date,</w:t>
      </w:r>
    </w:p>
    <w:p>
      <w:pPr>
        <w:spacing w:after="0" w:line="2" w:lineRule="exact"/>
        <w:rPr>
          <w:rFonts w:ascii="Arial" w:cs="Arial" w:eastAsia="Arial" w:hAnsi="Arial"/>
          <w:sz w:val="16"/>
          <w:szCs w:val="16"/>
          <w:color w:val="auto"/>
        </w:rPr>
      </w:pPr>
    </w:p>
    <w:p>
      <w:pPr>
        <w:ind w:right="60" w:firstLine="8"/>
        <w:spacing w:after="0" w:line="285" w:lineRule="auto"/>
        <w:tabs>
          <w:tab w:leader="none" w:pos="30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reasonable fees and expenses of the Trustee, if any, including the fees and disbursements of counsel for the Trustee in connection with the Indenture, the Securities and the Exchange Securities, (v) all reasonable filing fees, attorneys’ fees and expense incurred by the Company, the Guarantors or the Initial Purchasers in connection with qualifying or registering (or obtaining exemptions from the qualification or registration of) all or any part of the Securities for offer and resale under the securities laws of the several states of the United States, the provinces of Canada or other jurisdictions designated by the Initial Purchasers (including, without limitation, the cost of preparing, printing and mailing preliminary and final blue sky or legal investment memoranda and any related supplements to any Updated Final Offering Memorandum), (vi) any fees payable in connection with the rating of the Securities or the Exchange Securities with the ratings agencies, and (vii) all costs and expenses relating to investor presentations, including any “road show” presentations undertaken in connection with the offer and resale of the Securities by the Initial Purchasers, including, without limitation, expenses associated with the production of road show slides and graphics, fees and expenses of any consultants engaged in connection with the road show presentations, travel and lodging expenses of the representatives (including the Initial Purchasers) and officers of the Company and any such consultants, and 50% of the cost of any aircraft chartered in connection with such road show. It is further understood that the Initial Purchasers shall pay their own expenses incident to the third offer and resale of the Securities by the Initial Purchasers during the Cooperation Period, including the fees and disbursements of their counsel. For the avoidance of doubt, the fees and expenses incident to the first and second offers and resales of the Securities by the Initial Purchasers during the Cooperation Period shall be paid in accordance with the provision set forth in Section 6 hereof.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57" w:name="page158"/>
    <w:bookmarkEnd w:id="157"/>
    <w:p>
      <w:pPr>
        <w:ind w:right="6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8"/>
          <w:szCs w:val="18"/>
          <w:b w:val="1"/>
          <w:bCs w:val="1"/>
          <w:color w:val="auto"/>
        </w:rPr>
        <w:t>Successors.</w:t>
      </w:r>
      <w:r>
        <w:rPr>
          <w:rFonts w:ascii="Arial" w:cs="Arial" w:eastAsia="Arial" w:hAnsi="Arial"/>
          <w:sz w:val="18"/>
          <w:szCs w:val="18"/>
          <w:color w:val="auto"/>
        </w:rPr>
        <w:t xml:space="preserve"> This Agreement shall inure to the benefit of and be binding upon the parties hereto and their respective successors and the officers and directors and any controlling persons referred to herein, and the affiliates of each Initial Purchaser referred to in Section 7 hereof. Nothing in this Agreement is intended or shall be construed to give any other person any legal or equitable right, remedy or claim under or in respect of this Agreement or any provision contained herein. No Subsequent Purchaser of Securities from any Initial Purchaser shall be deemed to be a successor merely by reason of such purchase.</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color w:val="auto"/>
        </w:rPr>
        <w:t>Authority of the Representatives.</w:t>
      </w:r>
      <w:r>
        <w:rPr>
          <w:rFonts w:ascii="Arial" w:cs="Arial" w:eastAsia="Arial" w:hAnsi="Arial"/>
          <w:sz w:val="18"/>
          <w:szCs w:val="18"/>
          <w:color w:val="auto"/>
        </w:rPr>
        <w:t xml:space="preserve"> Any action by the Initial Purchasers hereunder may be taken by SunTrust on behalf of the Initial Purchasers, and any such action taken by SunTrust shall be binding upon the Initial Purchasers.</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color w:val="auto"/>
        </w:rPr>
        <w:t>Partial Unenforceability.</w:t>
      </w:r>
      <w:r>
        <w:rPr>
          <w:rFonts w:ascii="Arial" w:cs="Arial" w:eastAsia="Arial" w:hAnsi="Arial"/>
          <w:sz w:val="18"/>
          <w:szCs w:val="18"/>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color w:val="auto"/>
        </w:rPr>
        <w:t>Governing Law; Consent to Jurisdiction.</w:t>
      </w:r>
      <w:r>
        <w:rPr>
          <w:rFonts w:ascii="Arial" w:cs="Arial" w:eastAsia="Arial" w:hAnsi="Arial"/>
          <w:sz w:val="18"/>
          <w:szCs w:val="18"/>
          <w:color w:val="auto"/>
        </w:rPr>
        <w:t xml:space="preserve"> THIS AGREEMENT AND ANY CLAIM, CONTROVERSY OR DISPUTE ARISING UNDER OR RELATED TO THIS AGREEMENT SHALL BE GOVERNED BY AND CONSTRUED IN ACCORDANCE WITH THE LAWS OF THE STATE OF NEW YORK APPLICABLE TO AGREEMENTS MADE AND TO BE PERFORMED IN SUCH STATE WITHOUT REGARD TO CONFLICTS OF LAW PRINCIPLES THEREOF.</w:t>
      </w:r>
    </w:p>
    <w:p>
      <w:pPr>
        <w:spacing w:after="0" w:line="180" w:lineRule="exact"/>
        <w:rPr>
          <w:sz w:val="20"/>
          <w:szCs w:val="20"/>
          <w:color w:val="auto"/>
        </w:rPr>
      </w:pPr>
    </w:p>
    <w:p>
      <w:pPr>
        <w:ind w:right="60" w:firstLine="464"/>
        <w:spacing w:after="0" w:line="271" w:lineRule="auto"/>
        <w:tabs>
          <w:tab w:leader="none" w:pos="70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based upon this Agreement or the transactions contemplated hereby (“</w:t>
      </w:r>
      <w:r>
        <w:rPr>
          <w:rFonts w:ascii="Arial" w:cs="Arial" w:eastAsia="Arial" w:hAnsi="Arial"/>
          <w:sz w:val="17"/>
          <w:szCs w:val="17"/>
          <w:b w:val="1"/>
          <w:bCs w:val="1"/>
          <w:color w:val="auto"/>
        </w:rPr>
        <w:t>Related Proceedings</w:t>
      </w:r>
      <w:r>
        <w:rPr>
          <w:rFonts w:ascii="Arial" w:cs="Arial" w:eastAsia="Arial" w:hAnsi="Arial"/>
          <w:sz w:val="17"/>
          <w:szCs w:val="17"/>
          <w:color w:val="auto"/>
        </w:rPr>
        <w:t>”) may be instituted in the federal courts of the United States of America located in the City and County of New York or the courts of the State of New York in each case located in the City and County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suits, actions, or proceedings instituted in regard to the enforcement of a judgment of any Specified Court in a Related Proceeding (a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Judgment</w:t>
      </w:r>
      <w:r>
        <w:rPr>
          <w:rFonts w:ascii="Arial" w:cs="Arial" w:eastAsia="Arial" w:hAnsi="Arial"/>
          <w:sz w:val="17"/>
          <w:szCs w:val="17"/>
          <w:color w:val="auto"/>
        </w:rPr>
        <w:t>”), as to which such jurisdiction is non-exclusive) of the Specified Courts in any Related Proceeding. Service of any process, summons, notice or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by mail to such party’s address set forth above shall be effective service of process for any Related Proceeding brought in any Specified Court. The parties irrevocably and unconditionally waive any objection to the laying of venue of any Specified Proceeding in the Specified Courts and irrevocably and unconditionally waive and agree not to plead or claim in any Specified Court that any Related Proceeding brought in any Specified Court has been brought in an inconvenient forum.</w:t>
      </w:r>
    </w:p>
    <w:p>
      <w:pPr>
        <w:spacing w:after="0" w:line="174"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b w:val="1"/>
          <w:bCs w:val="1"/>
          <w:color w:val="auto"/>
        </w:rPr>
        <w:t>Waiver of Jury Trial.</w:t>
      </w:r>
      <w:r>
        <w:rPr>
          <w:rFonts w:ascii="Arial" w:cs="Arial" w:eastAsia="Arial" w:hAnsi="Arial"/>
          <w:sz w:val="16"/>
          <w:szCs w:val="16"/>
          <w:color w:val="auto"/>
        </w:rPr>
        <w:t xml:space="preserve"> Each of the Company and the NN Guarantors and, upon execution and delivery of the Joinder Agreement, the PEP Guarantors, hereby irrevocably and unconditionally waives trial by jury in any legal action or proceeding relating to this Agreement.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158" w:name="page159"/>
    <w:bookmarkEnd w:id="158"/>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6"/>
          <w:szCs w:val="16"/>
          <w:b w:val="1"/>
          <w:bCs w:val="1"/>
          <w:color w:val="auto"/>
        </w:rPr>
        <w:t>Defaulting Initial Purchasers.</w:t>
      </w:r>
      <w:r>
        <w:rPr>
          <w:rFonts w:ascii="Arial" w:cs="Arial" w:eastAsia="Arial" w:hAnsi="Arial"/>
          <w:sz w:val="16"/>
          <w:szCs w:val="16"/>
          <w:color w:val="auto"/>
        </w:rPr>
        <w:t xml:space="preserve"> If, on the Closing Date, any one or more of the several Initial Purchasers shall fail or refuse to purchase Securities that it or they have agreed to purchase hereunder on such date, and the aggregate principal amount of Securities which such defaulting Initial Purchaser or Initial Purchasers agreed but failed or refused to purchase does not exceed 10% of the aggregate principal amount of the Securities to be purchased on the Closing Date, the other Initial Purchasers shall be obligated, severally, in the proportions that the aggregate principal amount of Securities set forth opposite their respective names on Schedule A-1 bears to the aggregate principal amount of Securities set forth opposite the names of all such nondefaulting Initial Purchasers, or in such other proportions as may be specified by the Representative with the consent of the non-defaulting Initial Purchasers, to purchase the Securities which such defaulting Initial Purchaser or Initial Purchasers agreed but failed or refused to purchase on such date. If, on the Closing Date, any one or more of the Initial Purchasers shall fail or refuse to purchase Securities and the aggregate principal amount of Securities with respect to which such default occurs exceeds 10% of the aggregate principal amount of Securities to be purchased on such date, and arrangements satisfactory to the Representative and the Company for the purchase of such Securities are not made within 48 hours after such default, this Agreement shall terminate without liability of any party to any other party except that the provisions of Sections 6 and 8 hereof shall at all times be effective and shall survive such termination. In any such case either the Representative or the Company shall have the right to postpone the Closing Date but in no event for longer than seven days in order that the required changes, if any, to the Offering Memorandum or any other documents or arrangements may be effected.</w:t>
      </w:r>
    </w:p>
    <w:p>
      <w:pPr>
        <w:spacing w:after="0" w:line="16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Initial Purchaser</w:t>
      </w:r>
      <w:r>
        <w:rPr>
          <w:rFonts w:ascii="Arial" w:cs="Arial" w:eastAsia="Arial" w:hAnsi="Arial"/>
          <w:sz w:val="18"/>
          <w:szCs w:val="18"/>
          <w:color w:val="auto"/>
        </w:rPr>
        <w:t>” shall be deemed to include any person substituted for a defaulting Initial Purchaser under this Section 16. Any action taken under this Section 16 shall not relieve any defaulting Initial Purchaser from liability in respect of any default of such Initial Purchaser under this Agreement.</w:t>
      </w:r>
    </w:p>
    <w:p>
      <w:pPr>
        <w:spacing w:after="0" w:line="17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b w:val="1"/>
          <w:bCs w:val="1"/>
          <w:color w:val="auto"/>
        </w:rPr>
        <w:t>No Advisory or Fiduciary Responsibility.</w:t>
      </w:r>
      <w:r>
        <w:rPr>
          <w:rFonts w:ascii="Arial" w:cs="Arial" w:eastAsia="Arial" w:hAnsi="Arial"/>
          <w:sz w:val="17"/>
          <w:szCs w:val="17"/>
          <w:color w:val="auto"/>
        </w:rPr>
        <w:t xml:space="preserve"> Each of the Company and the NN Guarantors and, upon execution and delivery of the Joinder Agreement, the PEP Guarantors, acknowledges and agrees that: (i) the purchase and sale of the Securities pursuant to this Agreement, including the determination of the offering price of the Securities and any related discounts and commissions, is an arm’s-length commercial transaction among the Company and the Guarantors, on the one hand, and the several Initial Purchasers, on the other hand, and the Company and the Guarantors are capable of evaluating and understanding and understand and accept the terms, risks and conditions of the transactions contemplated by this Agreement; (ii) in connection with each transaction contemplated hereby and the process leading to such transaction each Initial Purchaser is and has been acting solely as a principal and is not the agent or fiduciary of the Company, and the Guarantors or their respective affiliates, stockholders, creditors or employees or any other party; (iii) no Initial Purchaser has assumed or will assume an advisory or fiduciary responsibility in favor of the Company and the Guarantors with respect to any of the transactions contemplated hereby or the process leading thereto (irrespective of whether such Initial Purchaser has advised or is currently advising the Company and the Guarantors on other matters) or any other obligation to the Company and the Guarantors except the obligations expressly set forth in this Agreement; (iv) the several Initial Purchasers and their respective affiliates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159" w:name="page160"/>
    <w:bookmarkEnd w:id="159"/>
    <w:p>
      <w:pPr>
        <w:ind w:right="3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engaged in a broad range of transactions that involve interests that differ from those of the Company and the Guarantors, and the several Initial Purchasers have no obligation to disclose any of such interests by virtue of any fiduciary or advisory relationship; and (v) the Initial Purchasers have not provided any legal, accounting, regulatory or tax advice with respect to the offering contemplated hereby, and the Company and the Guarantors have consulted their own legal, accounting, regulatory and tax advisors to the extent they deemed appropriate.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supersedes all prior agreements and understandings (whether written or oral) among the Company, the Guarantors and the several Initial Purchasers, or any of them, with respect to the subject matter hereof. The Company and the Guarantors hereby waive and release, to the fullest extent permitted by law, any claims that the Company and the Guarantors may have against the several Initial Purchasers with respect to any breach or alleged breach of fiduciary duty.</w:t>
      </w:r>
    </w:p>
    <w:p>
      <w:pPr>
        <w:spacing w:after="0" w:line="183"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b w:val="1"/>
          <w:bCs w:val="1"/>
          <w:color w:val="auto"/>
        </w:rPr>
        <w:t>Survival.</w:t>
      </w:r>
      <w:r>
        <w:rPr>
          <w:rFonts w:ascii="Arial" w:cs="Arial" w:eastAsia="Arial" w:hAnsi="Arial"/>
          <w:sz w:val="16"/>
          <w:szCs w:val="16"/>
          <w:color w:val="auto"/>
        </w:rPr>
        <w:t xml:space="preserve"> The respective indemnities, agreements, representations, warranties and other statements of the Company, the Guarantors, their respective officers and the several Initial Purchasers set forth in or made pursuant to this Agreement will remain in full force and effect, regardless of any investigation made by or on behalf of any Initial Purchaser, the Company, any Guarantor or any of their partners, officers or directors or any controlling person, as the case may be, and will survive delivery of and payment for the Securities sold hereunder and any termination of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64"/>
        <w:spacing w:after="0" w:line="282"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of the parties to this Agreement and supersedes all prior written or oral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contemporaneous oral agreements, understandings and negotiations with respect to the subject matter hereof.</w:t>
      </w:r>
    </w:p>
    <w:p>
      <w:pPr>
        <w:spacing w:after="0" w:line="161" w:lineRule="exact"/>
        <w:rPr>
          <w:rFonts w:ascii="Arial" w:cs="Arial" w:eastAsia="Arial" w:hAnsi="Arial"/>
          <w:sz w:val="18"/>
          <w:szCs w:val="18"/>
          <w:color w:val="auto"/>
        </w:rPr>
      </w:pPr>
    </w:p>
    <w:p>
      <w:pPr>
        <w:ind w:right="40" w:firstLine="464"/>
        <w:spacing w:after="0" w:line="289" w:lineRule="auto"/>
        <w:tabs>
          <w:tab w:leader="none" w:pos="711"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two or more counterparts, each one of which shall be an original, with the same effect as if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signatures thereto and hereto were upon the same instrument. Delivery of an executed counterpart of a signature page to this Agreement by telecopier, facsimile or other electronic transmission (i.e., a “pdf” or “tif”) shall be effective as delivery of a manually executed counterpart thereof.</w:t>
      </w:r>
    </w:p>
    <w:p>
      <w:pPr>
        <w:spacing w:after="0" w:line="158" w:lineRule="exact"/>
        <w:rPr>
          <w:rFonts w:ascii="Arial" w:cs="Arial" w:eastAsia="Arial" w:hAnsi="Arial"/>
          <w:sz w:val="17"/>
          <w:szCs w:val="17"/>
          <w:color w:val="auto"/>
        </w:rPr>
      </w:pPr>
    </w:p>
    <w:p>
      <w:pPr>
        <w:ind w:firstLine="464"/>
        <w:spacing w:after="0" w:line="282"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Amendments and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61" w:lineRule="exact"/>
        <w:rPr>
          <w:rFonts w:ascii="Arial" w:cs="Arial" w:eastAsia="Arial" w:hAnsi="Arial"/>
          <w:sz w:val="18"/>
          <w:szCs w:val="18"/>
          <w:color w:val="auto"/>
        </w:rPr>
      </w:pPr>
    </w:p>
    <w:p>
      <w:pPr>
        <w:ind w:right="520" w:firstLine="464"/>
        <w:spacing w:after="0" w:line="282" w:lineRule="auto"/>
        <w:tabs>
          <w:tab w:leader="none" w:pos="71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herein are included for convenience of reference only and are not intended to be part of, or to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274" w:right="31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009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Richard D. Holder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7"/>
          <w:szCs w:val="17"/>
          <w:color w:val="auto"/>
        </w:rPr>
        <w:t>Title:</w:t>
        <w:tab/>
        <w:t>Chief Executive Officer and President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009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WHIRLAWAY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009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PNC ACQUISITION COMPANY,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009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the Purchase Agreement]</w:t>
      </w:r>
    </w:p>
    <w:p>
      <w:pPr>
        <w:sectPr>
          <w:pgSz w:w="11900" w:h="16838" w:orient="portrait"/>
          <w:cols w:equalWidth="0" w:num="1">
            <w:col w:w="10740"/>
          </w:cols>
          <w:pgMar w:left="700" w:top="274" w:right="459" w:bottom="1440" w:gutter="0" w:footer="0" w:header="0"/>
        </w:sectPr>
      </w:pPr>
    </w:p>
    <w:bookmarkStart w:id="161" w:name="page162"/>
    <w:bookmarkEnd w:id="161"/>
    <w:p>
      <w:pPr>
        <w:ind w:left="6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PMC ACQUISITION COMPANY, INC.,</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PMC USA ACQUISITION COMPANY, INC.,</w:t>
      </w:r>
    </w:p>
    <w:p>
      <w:pPr>
        <w:spacing w:after="0" w:line="3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THE DELTA RUBBER COMPANY,</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CAPROCK MANUFACTURING, INC.,</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CAPROCK ENCLOSURES, LLC,</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the Purchase Agreement]</w:t>
      </w:r>
    </w:p>
    <w:p>
      <w:pPr>
        <w:sectPr>
          <w:pgSz w:w="11900" w:h="16838" w:orient="portrait"/>
          <w:cols w:equalWidth="0" w:num="1">
            <w:col w:w="9660"/>
          </w:cols>
          <w:pgMar w:left="1440" w:top="270" w:right="799" w:bottom="1440" w:gutter="0" w:footer="0" w:header="0"/>
        </w:sectPr>
      </w:pPr>
    </w:p>
    <w:bookmarkStart w:id="162" w:name="page163"/>
    <w:bookmarkEnd w:id="162"/>
    <w:p>
      <w:pPr>
        <w:ind w:left="61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PRECISION PLASTICS, INC.,</w:t>
      </w:r>
    </w:p>
    <w:p>
      <w:pPr>
        <w:spacing w:after="0" w:line="3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AUTOCAM CORPORATION,</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AUTOCAM-PAX, INC.,</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the Guarantor</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14605</wp:posOffset>
            </wp:positionV>
            <wp:extent cx="24009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Purchase Agreement]</w:t>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Purchase Agreement is hereby confirmed and accepted by the Initial Purchasers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UN</w:t>
      </w:r>
      <w:r>
        <w:rPr>
          <w:rFonts w:ascii="Arial" w:cs="Arial" w:eastAsia="Arial" w:hAnsi="Arial"/>
          <w:sz w:val="18"/>
          <w:szCs w:val="18"/>
          <w:color w:val="auto"/>
        </w:rPr>
        <w:t>T</w:t>
      </w:r>
      <w:r>
        <w:rPr>
          <w:rFonts w:ascii="Arial" w:cs="Arial" w:eastAsia="Arial" w:hAnsi="Arial"/>
          <w:sz w:val="15"/>
          <w:szCs w:val="15"/>
          <w:color w:val="auto"/>
        </w:rPr>
        <w:t>RUST</w:t>
      </w:r>
      <w:r>
        <w:rPr>
          <w:rFonts w:ascii="Arial" w:cs="Arial" w:eastAsia="Arial" w:hAnsi="Arial"/>
          <w:sz w:val="18"/>
          <w:szCs w:val="18"/>
          <w:color w:val="auto"/>
        </w:rPr>
        <w:t xml:space="preserve"> R</w:t>
      </w:r>
      <w:r>
        <w:rPr>
          <w:rFonts w:ascii="Arial" w:cs="Arial" w:eastAsia="Arial" w:hAnsi="Arial"/>
          <w:sz w:val="15"/>
          <w:szCs w:val="15"/>
          <w:color w:val="auto"/>
        </w:rPr>
        <w:t>OBINSON</w:t>
      </w:r>
      <w:r>
        <w:rPr>
          <w:rFonts w:ascii="Arial" w:cs="Arial" w:eastAsia="Arial" w:hAnsi="Arial"/>
          <w:sz w:val="18"/>
          <w:szCs w:val="18"/>
          <w:color w:val="auto"/>
        </w:rPr>
        <w:t xml:space="preserve"> H</w:t>
      </w:r>
      <w:r>
        <w:rPr>
          <w:rFonts w:ascii="Arial" w:cs="Arial" w:eastAsia="Arial" w:hAnsi="Arial"/>
          <w:sz w:val="15"/>
          <w:szCs w:val="15"/>
          <w:color w:val="auto"/>
        </w:rPr>
        <w:t>UMPHREY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Acting on behalf of itself and as the Representative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Initial Purchasers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SunTrust Robinson Humphrey,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to the Purchase Agreement]</w:t>
      </w:r>
    </w:p>
    <w:p>
      <w:pPr>
        <w:sectPr>
          <w:pgSz w:w="11900" w:h="16838" w:orient="portrait"/>
          <w:cols w:equalWidth="0" w:num="1">
            <w:col w:w="10219"/>
          </w:cols>
          <w:pgMar w:left="240" w:top="274"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10.25% Senior Notes due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Joinder to the 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UNTRUST</w:t>
      </w:r>
      <w:r>
        <w:rPr>
          <w:rFonts w:ascii="Arial" w:cs="Arial" w:eastAsia="Arial" w:hAnsi="Arial"/>
          <w:sz w:val="18"/>
          <w:szCs w:val="18"/>
          <w:color w:val="auto"/>
        </w:rPr>
        <w:t xml:space="preserve"> R</w:t>
      </w:r>
      <w:r>
        <w:rPr>
          <w:rFonts w:ascii="Arial" w:cs="Arial" w:eastAsia="Arial" w:hAnsi="Arial"/>
          <w:sz w:val="15"/>
          <w:szCs w:val="15"/>
          <w:color w:val="auto"/>
        </w:rPr>
        <w:t>OBINSON</w:t>
      </w:r>
      <w:r>
        <w:rPr>
          <w:rFonts w:ascii="Arial" w:cs="Arial" w:eastAsia="Arial" w:hAnsi="Arial"/>
          <w:sz w:val="18"/>
          <w:szCs w:val="18"/>
          <w:color w:val="auto"/>
        </w:rPr>
        <w:t xml:space="preserve"> H</w:t>
      </w:r>
      <w:r>
        <w:rPr>
          <w:rFonts w:ascii="Arial" w:cs="Arial" w:eastAsia="Arial" w:hAnsi="Arial"/>
          <w:sz w:val="15"/>
          <w:szCs w:val="15"/>
          <w:color w:val="auto"/>
        </w:rPr>
        <w:t>UMPHREY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Reference is made to the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October 19, 2015, initially among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NN Guarantors (as defined in the Purchase Agreement) and you, as representative for the Initial Purchasers, concerning the purchase of Securities (as defined in the Purchase Agreement) from the Company by the Initial Purchasers. Capitalized terms used herein but not defined herein shall have the meanings assigned to such terms in the Purchase Agreement. This is the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referred to in Section 2(m) of the Purchase Agreement.</w:t>
      </w:r>
    </w:p>
    <w:p>
      <w:pPr>
        <w:spacing w:after="0" w:line="188" w:lineRule="exact"/>
        <w:rPr>
          <w:sz w:val="20"/>
          <w:szCs w:val="20"/>
          <w:color w:val="auto"/>
        </w:rPr>
      </w:pPr>
    </w:p>
    <w:p>
      <w:pPr>
        <w:jc w:val="both"/>
        <w:ind w:right="620" w:firstLine="913"/>
        <w:spacing w:after="0" w:line="264" w:lineRule="auto"/>
        <w:rPr>
          <w:sz w:val="20"/>
          <w:szCs w:val="20"/>
          <w:color w:val="auto"/>
        </w:rPr>
      </w:pPr>
      <w:r>
        <w:rPr>
          <w:rFonts w:ascii="Arial" w:cs="Arial" w:eastAsia="Arial" w:hAnsi="Arial"/>
          <w:sz w:val="18"/>
          <w:szCs w:val="18"/>
          <w:color w:val="auto"/>
        </w:rPr>
        <w:t>Each of the Guarantors listed on Schedule I hereto (the “</w:t>
      </w:r>
      <w:r>
        <w:rPr>
          <w:rFonts w:ascii="Arial" w:cs="Arial" w:eastAsia="Arial" w:hAnsi="Arial"/>
          <w:sz w:val="18"/>
          <w:szCs w:val="18"/>
          <w:u w:val="single" w:color="auto"/>
          <w:color w:val="auto"/>
        </w:rPr>
        <w:t>PEP Guarantors</w:t>
      </w:r>
      <w:r>
        <w:rPr>
          <w:rFonts w:ascii="Arial" w:cs="Arial" w:eastAsia="Arial" w:hAnsi="Arial"/>
          <w:sz w:val="18"/>
          <w:szCs w:val="18"/>
          <w:color w:val="auto"/>
        </w:rPr>
        <w:t>”) agrees that this Agreement is being executed and delivered in connection with the issue and sale of the Securities pursuant to the Purchase Agreement and to induce the Initial Purchasers to purchase the Securities thereunder. This Agreement is being executed on the Closing Date.</w:t>
      </w:r>
    </w:p>
    <w:p>
      <w:pPr>
        <w:spacing w:after="0" w:line="181" w:lineRule="exact"/>
        <w:rPr>
          <w:sz w:val="20"/>
          <w:szCs w:val="20"/>
          <w:color w:val="auto"/>
        </w:rPr>
      </w:pPr>
    </w:p>
    <w:p>
      <w:pPr>
        <w:ind w:right="60" w:firstLine="921"/>
        <w:spacing w:after="0" w:line="264" w:lineRule="auto"/>
        <w:tabs>
          <w:tab w:leader="none" w:pos="1093"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Each of the parties hereto hereby agrees to become bound by the terms, conditions and other provisions of the Purchase Agreement with all attendant rights, duties and obligations stated therein, with the same force and effect as if originally named therein as a Guarantor and as if such party executed the Purchase Agreement on the date thereof.</w:t>
      </w:r>
    </w:p>
    <w:p>
      <w:pPr>
        <w:spacing w:after="0" w:line="181" w:lineRule="exact"/>
        <w:rPr>
          <w:rFonts w:ascii="Arial" w:cs="Arial" w:eastAsia="Arial" w:hAnsi="Arial"/>
          <w:sz w:val="18"/>
          <w:szCs w:val="18"/>
          <w:color w:val="auto"/>
        </w:rPr>
      </w:pPr>
    </w:p>
    <w:p>
      <w:pPr>
        <w:ind w:right="480" w:firstLine="921"/>
        <w:spacing w:after="0" w:line="277" w:lineRule="auto"/>
        <w:tabs>
          <w:tab w:leader="none" w:pos="1093"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 of the Guarantors</w:t>
      </w:r>
      <w:r>
        <w:rPr>
          <w:rFonts w:ascii="Arial" w:cs="Arial" w:eastAsia="Arial" w:hAnsi="Arial"/>
          <w:sz w:val="18"/>
          <w:szCs w:val="18"/>
          <w:color w:val="auto"/>
        </w:rPr>
        <w:t>. Each of the PEP Guarantors party hereto represents and warrants to, and agrees with, the Initial Purchasers on and as of the date hereof that:</w:t>
      </w:r>
    </w:p>
    <w:p>
      <w:pPr>
        <w:spacing w:after="0" w:line="62" w:lineRule="exact"/>
        <w:rPr>
          <w:sz w:val="20"/>
          <w:szCs w:val="20"/>
          <w:color w:val="auto"/>
        </w:rPr>
      </w:pPr>
    </w:p>
    <w:p>
      <w:pPr>
        <w:ind w:left="460" w:right="340" w:firstLine="443"/>
        <w:spacing w:after="0" w:line="277" w:lineRule="auto"/>
        <w:tabs>
          <w:tab w:leader="none" w:pos="11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of the PEP Guarantors has the corporate or limited liability power to execute and deliver this Agreement and all corporate or limited liability action required to be taken by each of them for the due and proper authorization, execution, delivery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65" w:name="page166"/>
    <w:bookmarkEnd w:id="16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of this Agreement and the consummation of the transactions contemplated hereby has been duly and validly taken; this Agreement has been duly authorized, executed and delivered by each of the PEP Guarantors party hereto and constitutes a valid and legally binding agreement of each of the PEP Guarantors party hereto, enforceable against each of the PEP Guarantors party hereto in accordance with its terms, except to the extent that such enforceability may be limited by applicable bankruptcy, insolvency, fraudulent conveyance, reorganization, moratorium and other similar laws affecting creditors’ rights generally and by general equitable principles (whether considered in a proceeding in equity or at law).</w:t>
      </w:r>
    </w:p>
    <w:p>
      <w:pPr>
        <w:spacing w:after="0" w:line="50" w:lineRule="exact"/>
        <w:rPr>
          <w:sz w:val="20"/>
          <w:szCs w:val="20"/>
          <w:color w:val="auto"/>
        </w:rPr>
      </w:pPr>
    </w:p>
    <w:p>
      <w:pPr>
        <w:ind w:right="40" w:firstLine="443"/>
        <w:spacing w:after="0" w:line="277" w:lineRule="auto"/>
        <w:tabs>
          <w:tab w:leader="none" w:pos="69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representations, warranties and agreements of the PEP Guarantors set forth in Section 2 of the Purchase Agreement were true and correct on and as of the date of the Purchase Agreement and are true and correct on and as of the date hereof.</w:t>
      </w:r>
    </w:p>
    <w:p>
      <w:pPr>
        <w:spacing w:after="0" w:line="170" w:lineRule="exact"/>
        <w:rPr>
          <w:sz w:val="20"/>
          <w:szCs w:val="20"/>
          <w:color w:val="auto"/>
        </w:rPr>
      </w:pPr>
    </w:p>
    <w:p>
      <w:pPr>
        <w:ind w:left="-460" w:right="200" w:firstLine="921"/>
        <w:spacing w:after="0" w:line="277" w:lineRule="auto"/>
        <w:tabs>
          <w:tab w:leader="none" w:pos="63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70" w:lineRule="exact"/>
        <w:rPr>
          <w:rFonts w:ascii="Arial" w:cs="Arial" w:eastAsia="Arial" w:hAnsi="Arial"/>
          <w:sz w:val="18"/>
          <w:szCs w:val="18"/>
          <w:color w:val="auto"/>
        </w:rPr>
      </w:pPr>
    </w:p>
    <w:p>
      <w:pPr>
        <w:ind w:left="-460" w:right="60" w:firstLine="921"/>
        <w:spacing w:after="0" w:line="264" w:lineRule="auto"/>
        <w:tabs>
          <w:tab w:leader="none" w:pos="63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(which may include counterparts delivered by any standard form of telecommunication) and, if executed in more than one counterpart, the executed counterparts shall each be deemed to be an original, but all such counterparts shall together constitute one and the same instrument.</w:t>
      </w:r>
    </w:p>
    <w:p>
      <w:pPr>
        <w:spacing w:after="0" w:line="181" w:lineRule="exact"/>
        <w:rPr>
          <w:rFonts w:ascii="Arial" w:cs="Arial" w:eastAsia="Arial" w:hAnsi="Arial"/>
          <w:sz w:val="18"/>
          <w:szCs w:val="18"/>
          <w:color w:val="auto"/>
        </w:rPr>
      </w:pPr>
    </w:p>
    <w:p>
      <w:pPr>
        <w:ind w:left="-460" w:right="100" w:firstLine="921"/>
        <w:spacing w:after="0" w:line="277" w:lineRule="auto"/>
        <w:tabs>
          <w:tab w:leader="none" w:pos="63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amendment or waiver of any provision of this Agreement, nor any consent or approval to any departure 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460" w:right="220" w:firstLine="921"/>
        <w:spacing w:after="0" w:line="277" w:lineRule="auto"/>
        <w:tabs>
          <w:tab w:leader="none" w:pos="63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inserted for convenience of reference only and are not intended to be part of, or to affect the meaning or interpretation of, this Agreement.</w:t>
      </w:r>
    </w:p>
    <w:p>
      <w:pPr>
        <w:sectPr>
          <w:pgSz w:w="11900" w:h="16838" w:orient="portrait"/>
          <w:cols w:equalWidth="0" w:num="1">
            <w:col w:w="10880"/>
          </w:cols>
          <w:pgMar w:left="700" w:top="274" w:right="319" w:bottom="1440" w:gutter="0" w:footer="0" w:header="0"/>
        </w:sectPr>
      </w:pPr>
    </w:p>
    <w:bookmarkStart w:id="166" w:name="page167"/>
    <w:bookmarkEnd w:id="16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please indicate your acceptance of this Agreement by signing in the space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PRECISION ENGINEERED PRODUCTS HOLDINGS,</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PRECISION ENGINEERED PRODUCTS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BRAININ-ADVANCE INDUSTRIES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POLYMETALLURGICAL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BOSTON ENDO-SURGICAL TECHNOLOGIES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to Joinder to the Purchase Agreement]</w:t>
      </w:r>
    </w:p>
    <w:p>
      <w:pPr>
        <w:sectPr>
          <w:pgSz w:w="11900" w:h="16838" w:orient="portrait"/>
          <w:cols w:equalWidth="0" w:num="1">
            <w:col w:w="11200"/>
          </w:cols>
          <w:pgMar w:left="240" w:top="274" w:right="459" w:bottom="1440" w:gutter="0" w:footer="0" w:header="0"/>
        </w:sectPr>
      </w:pPr>
    </w:p>
    <w:bookmarkStart w:id="167" w:name="page168"/>
    <w:bookmarkEnd w:id="16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LACEY MANUFACTURING COMPANY,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CONNECTICUT PLASTICS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WAUCONDA TOOL &amp; ENGINEERING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ADVANCED PRECISION PRODUCTS,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HOWESTEMCO,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PREMCO,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Joinder to the Purchase Agreement]</w:t>
      </w:r>
    </w:p>
    <w:p>
      <w:pPr>
        <w:sectPr>
          <w:pgSz w:w="11900" w:h="16838" w:orient="portrait"/>
          <w:cols w:equalWidth="0" w:num="1">
            <w:col w:w="9380"/>
          </w:cols>
          <w:pgMar w:left="1440" w:top="270" w:right="1079" w:bottom="1440" w:gutter="0" w:footer="0" w:header="0"/>
        </w:sectPr>
      </w:pPr>
    </w:p>
    <w:bookmarkStart w:id="168" w:name="page169"/>
    <w:bookmarkEnd w:id="16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PROFILES INCORPORATED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HOLMED,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METAL FINISHING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MATRIX I,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TRIGON INTERNATIONAL LLC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Joinder to the Purchase Agreement]</w:t>
      </w:r>
    </w:p>
    <w:p>
      <w:pPr>
        <w:sectPr>
          <w:pgSz w:w="11900" w:h="16838" w:orient="portrait"/>
          <w:cols w:equalWidth="0" w:num="1">
            <w:col w:w="9019"/>
          </w:cols>
          <w:pgMar w:left="1440" w:top="270"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Guarantors</w:t>
      </w:r>
    </w:p>
    <w:p>
      <w:pPr>
        <w:spacing w:after="0" w:line="252" w:lineRule="exact"/>
        <w:rPr>
          <w:sz w:val="20"/>
          <w:szCs w:val="20"/>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Precision Engineered Products Holdings, Inc.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Precision Engineered Products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Brainin-Advance Industries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Polymetallurgical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Boston Endo-Surgical Technologies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Lacey Manufacturing Company,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Connecticut Plastics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Wauconda Tool &amp; Engineering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Advanced Precision Products, Inc.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HowesTemco,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Premco, Inc.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Profiles Incorporated</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Holmed,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General Metal Finishing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Matrix I LLC</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Trigon International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1</w:t>
      </w:r>
    </w:p>
    <w:p>
      <w:pPr>
        <w:sectPr>
          <w:pgSz w:w="11900" w:h="16838" w:orient="portrait"/>
          <w:cols w:equalWidth="0" w:num="1">
            <w:col w:w="11420"/>
          </w:cols>
          <w:pgMar w:left="240" w:top="27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u w:val="single" w:color="auto"/>
          <w:color w:val="auto"/>
        </w:rPr>
        <w:t>ORIGINAL ISSUE DISCOUNT LEGEND</w:t>
      </w:r>
      <w:r>
        <w:rPr>
          <w:rFonts w:ascii="Arial" w:cs="Arial" w:eastAsia="Arial" w:hAnsi="Arial"/>
          <w:sz w:val="18"/>
          <w:szCs w:val="18"/>
          <w:b w:val="1"/>
          <w:bCs w:val="1"/>
          <w:color w:val="auto"/>
        </w:rPr>
        <w:t>. THE LOANS HAVE BEEN ISSUED WITH ORIGINAL ISSUE DISCOUNT FOR UNITED STATES FEDERAL INCOME TAX PURPOSES. THE ISSUE PRICE, AMOUNT OF ORIGINAL ISSUE DISCOUNT, ISSUE DATE AND YIELD TO MATURITY OF THE LOANS MAY BE OBTAINED BY WRITING TO THE ADMINISTRATIVE AGENT AT THE ADDRESS FOR NOTICES SPECIFIED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62933RAE2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Loan Facility CUSIP Number: 62933RAF9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Term Loan Facility CUSIP Number: 62933RAG7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19,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REGIONS BANK,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REGIONS CAPITAL MARKETS (a division of Regions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1" w:name="page172"/>
    <w:bookmarkEnd w:id="17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80" w:type="dxa"/>
            <w:vAlign w:val="bottom"/>
          </w:tcPr>
          <w:p>
            <w:pPr>
              <w:spacing w:after="0"/>
              <w:rPr>
                <w:sz w:val="20"/>
                <w:szCs w:val="20"/>
                <w:color w:val="auto"/>
              </w:rPr>
            </w:pPr>
            <w:r>
              <w:rPr>
                <w:rFonts w:ascii="Arial" w:cs="Arial" w:eastAsia="Arial" w:hAnsi="Arial"/>
                <w:sz w:val="18"/>
                <w:szCs w:val="18"/>
                <w:color w:val="auto"/>
              </w:rPr>
              <w:t>Article I</w:t>
            </w:r>
          </w:p>
        </w:tc>
        <w:tc>
          <w:tcPr>
            <w:tcW w:w="8000" w:type="dxa"/>
            <w:vAlign w:val="bottom"/>
          </w:tcPr>
          <w:p>
            <w:pPr>
              <w:ind w:left="620"/>
              <w:spacing w:after="0"/>
              <w:rPr>
                <w:sz w:val="20"/>
                <w:szCs w:val="20"/>
                <w:color w:val="auto"/>
              </w:rPr>
            </w:pPr>
            <w:r>
              <w:rPr>
                <w:rFonts w:ascii="Arial" w:cs="Arial" w:eastAsia="Arial" w:hAnsi="Arial"/>
                <w:sz w:val="18"/>
                <w:szCs w:val="18"/>
                <w:color w:val="auto"/>
              </w:rPr>
              <w:t>DEFINITIONS AND ACCOUNTING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8000" w:type="dxa"/>
            <w:vAlign w:val="bottom"/>
          </w:tcPr>
          <w:p>
            <w:pPr>
              <w:ind w:left="260"/>
              <w:spacing w:after="0"/>
              <w:rPr>
                <w:sz w:val="20"/>
                <w:szCs w:val="20"/>
                <w:color w:val="auto"/>
              </w:rPr>
            </w:pPr>
            <w:r>
              <w:rPr>
                <w:rFonts w:ascii="Arial" w:cs="Arial" w:eastAsia="Arial" w:hAnsi="Arial"/>
                <w:sz w:val="18"/>
                <w:szCs w:val="18"/>
                <w:color w:val="auto"/>
              </w:rPr>
              <w:t>Defined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8000" w:type="dxa"/>
            <w:vAlign w:val="bottom"/>
          </w:tcPr>
          <w:p>
            <w:pPr>
              <w:ind w:left="260"/>
              <w:spacing w:after="0"/>
              <w:rPr>
                <w:sz w:val="20"/>
                <w:szCs w:val="20"/>
                <w:color w:val="auto"/>
              </w:rPr>
            </w:pPr>
            <w:r>
              <w:rPr>
                <w:rFonts w:ascii="Arial" w:cs="Arial" w:eastAsia="Arial" w:hAnsi="Arial"/>
                <w:sz w:val="18"/>
                <w:szCs w:val="18"/>
                <w:color w:val="auto"/>
              </w:rPr>
              <w:t>Other Interpretive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8000" w:type="dxa"/>
            <w:vAlign w:val="bottom"/>
          </w:tcPr>
          <w:p>
            <w:pPr>
              <w:ind w:left="260"/>
              <w:spacing w:after="0"/>
              <w:rPr>
                <w:sz w:val="20"/>
                <w:szCs w:val="20"/>
                <w:color w:val="auto"/>
              </w:rPr>
            </w:pPr>
            <w:r>
              <w:rPr>
                <w:rFonts w:ascii="Arial" w:cs="Arial" w:eastAsia="Arial" w:hAnsi="Arial"/>
                <w:sz w:val="18"/>
                <w:szCs w:val="18"/>
                <w:color w:val="auto"/>
              </w:rPr>
              <w:t>Accounting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8000" w:type="dxa"/>
            <w:vAlign w:val="bottom"/>
          </w:tcPr>
          <w:p>
            <w:pPr>
              <w:ind w:left="260"/>
              <w:spacing w:after="0"/>
              <w:rPr>
                <w:sz w:val="20"/>
                <w:szCs w:val="20"/>
                <w:color w:val="auto"/>
              </w:rPr>
            </w:pPr>
            <w:r>
              <w:rPr>
                <w:rFonts w:ascii="Arial" w:cs="Arial" w:eastAsia="Arial" w:hAnsi="Arial"/>
                <w:sz w:val="18"/>
                <w:szCs w:val="18"/>
                <w:color w:val="auto"/>
              </w:rPr>
              <w:t>Rounding</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8000" w:type="dxa"/>
            <w:vAlign w:val="bottom"/>
          </w:tcPr>
          <w:p>
            <w:pPr>
              <w:ind w:left="260"/>
              <w:spacing w:after="0"/>
              <w:rPr>
                <w:sz w:val="20"/>
                <w:szCs w:val="20"/>
                <w:color w:val="auto"/>
              </w:rPr>
            </w:pPr>
            <w:r>
              <w:rPr>
                <w:rFonts w:ascii="Arial" w:cs="Arial" w:eastAsia="Arial" w:hAnsi="Arial"/>
                <w:sz w:val="18"/>
                <w:szCs w:val="18"/>
                <w:color w:val="auto"/>
              </w:rPr>
              <w:t>Times of Day; Rates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8000" w:type="dxa"/>
            <w:vAlign w:val="bottom"/>
          </w:tcPr>
          <w:p>
            <w:pPr>
              <w:ind w:left="260"/>
              <w:spacing w:after="0"/>
              <w:rPr>
                <w:sz w:val="20"/>
                <w:szCs w:val="20"/>
                <w:color w:val="auto"/>
              </w:rPr>
            </w:pPr>
            <w:r>
              <w:rPr>
                <w:rFonts w:ascii="Arial" w:cs="Arial" w:eastAsia="Arial" w:hAnsi="Arial"/>
                <w:sz w:val="18"/>
                <w:szCs w:val="18"/>
                <w:color w:val="auto"/>
              </w:rPr>
              <w:t>Currency Equivalents Generally</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8000" w:type="dxa"/>
            <w:vAlign w:val="bottom"/>
          </w:tcPr>
          <w:p>
            <w:pPr>
              <w:ind w:left="260"/>
              <w:spacing w:after="0"/>
              <w:rPr>
                <w:sz w:val="20"/>
                <w:szCs w:val="20"/>
                <w:color w:val="auto"/>
              </w:rPr>
            </w:pPr>
            <w:r>
              <w:rPr>
                <w:rFonts w:ascii="Arial" w:cs="Arial" w:eastAsia="Arial" w:hAnsi="Arial"/>
                <w:sz w:val="18"/>
                <w:szCs w:val="18"/>
                <w:color w:val="auto"/>
              </w:rPr>
              <w:t>Letter of Credit Amounts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II</w:t>
            </w:r>
          </w:p>
        </w:tc>
        <w:tc>
          <w:tcPr>
            <w:tcW w:w="8000" w:type="dxa"/>
            <w:vAlign w:val="bottom"/>
          </w:tcPr>
          <w:p>
            <w:pPr>
              <w:ind w:left="620"/>
              <w:spacing w:after="0"/>
              <w:rPr>
                <w:sz w:val="20"/>
                <w:szCs w:val="20"/>
                <w:color w:val="auto"/>
              </w:rPr>
            </w:pPr>
            <w:r>
              <w:rPr>
                <w:rFonts w:ascii="Arial" w:cs="Arial" w:eastAsia="Arial" w:hAnsi="Arial"/>
                <w:sz w:val="18"/>
                <w:szCs w:val="18"/>
                <w:color w:val="auto"/>
              </w:rPr>
              <w:t>THE COMMITMENTS AND BORROWINGS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2.01</w:t>
            </w:r>
          </w:p>
        </w:tc>
        <w:tc>
          <w:tcPr>
            <w:tcW w:w="8000" w:type="dxa"/>
            <w:vAlign w:val="bottom"/>
          </w:tcPr>
          <w:p>
            <w:pPr>
              <w:ind w:left="260"/>
              <w:spacing w:after="0"/>
              <w:rPr>
                <w:sz w:val="20"/>
                <w:szCs w:val="20"/>
                <w:color w:val="auto"/>
              </w:rPr>
            </w:pPr>
            <w:r>
              <w:rPr>
                <w:rFonts w:ascii="Arial" w:cs="Arial" w:eastAsia="Arial" w:hAnsi="Arial"/>
                <w:sz w:val="18"/>
                <w:szCs w:val="18"/>
                <w:color w:val="auto"/>
              </w:rPr>
              <w:t>The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2.02</w:t>
            </w:r>
          </w:p>
        </w:tc>
        <w:tc>
          <w:tcPr>
            <w:tcW w:w="8000" w:type="dxa"/>
            <w:vAlign w:val="bottom"/>
          </w:tcPr>
          <w:p>
            <w:pPr>
              <w:ind w:left="260"/>
              <w:spacing w:after="0"/>
              <w:rPr>
                <w:sz w:val="20"/>
                <w:szCs w:val="20"/>
                <w:color w:val="auto"/>
              </w:rPr>
            </w:pPr>
            <w:r>
              <w:rPr>
                <w:rFonts w:ascii="Arial" w:cs="Arial" w:eastAsia="Arial" w:hAnsi="Arial"/>
                <w:sz w:val="18"/>
                <w:szCs w:val="18"/>
                <w:color w:val="auto"/>
              </w:rPr>
              <w:t>Borrowings, Conversions and Continuations of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2.03</w:t>
            </w:r>
          </w:p>
        </w:tc>
        <w:tc>
          <w:tcPr>
            <w:tcW w:w="8000" w:type="dxa"/>
            <w:vAlign w:val="bottom"/>
          </w:tcPr>
          <w:p>
            <w:pPr>
              <w:ind w:left="260"/>
              <w:spacing w:after="0"/>
              <w:rPr>
                <w:sz w:val="20"/>
                <w:szCs w:val="20"/>
                <w:color w:val="auto"/>
              </w:rPr>
            </w:pPr>
            <w:r>
              <w:rPr>
                <w:rFonts w:ascii="Arial" w:cs="Arial" w:eastAsia="Arial" w:hAnsi="Arial"/>
                <w:sz w:val="18"/>
                <w:szCs w:val="18"/>
                <w:color w:val="auto"/>
              </w:rPr>
              <w:t>Letters of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2.04</w:t>
            </w:r>
          </w:p>
        </w:tc>
        <w:tc>
          <w:tcPr>
            <w:tcW w:w="8000" w:type="dxa"/>
            <w:vAlign w:val="bottom"/>
          </w:tcPr>
          <w:p>
            <w:pPr>
              <w:ind w:left="260"/>
              <w:spacing w:after="0"/>
              <w:rPr>
                <w:sz w:val="20"/>
                <w:szCs w:val="20"/>
                <w:color w:val="auto"/>
              </w:rPr>
            </w:pPr>
            <w:r>
              <w:rPr>
                <w:rFonts w:ascii="Arial" w:cs="Arial" w:eastAsia="Arial" w:hAnsi="Arial"/>
                <w:sz w:val="18"/>
                <w:szCs w:val="18"/>
                <w:color w:val="auto"/>
              </w:rPr>
              <w:t>Swing Line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2.05</w:t>
            </w:r>
          </w:p>
        </w:tc>
        <w:tc>
          <w:tcPr>
            <w:tcW w:w="8000" w:type="dxa"/>
            <w:vAlign w:val="bottom"/>
          </w:tcPr>
          <w:p>
            <w:pPr>
              <w:ind w:left="260"/>
              <w:spacing w:after="0"/>
              <w:rPr>
                <w:sz w:val="20"/>
                <w:szCs w:val="20"/>
                <w:color w:val="auto"/>
              </w:rPr>
            </w:pPr>
            <w:r>
              <w:rPr>
                <w:rFonts w:ascii="Arial" w:cs="Arial" w:eastAsia="Arial" w:hAnsi="Arial"/>
                <w:sz w:val="18"/>
                <w:szCs w:val="18"/>
                <w:color w:val="auto"/>
              </w:rPr>
              <w:t>Prepayments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2.06</w:t>
            </w:r>
          </w:p>
        </w:tc>
        <w:tc>
          <w:tcPr>
            <w:tcW w:w="8000" w:type="dxa"/>
            <w:vAlign w:val="bottom"/>
          </w:tcPr>
          <w:p>
            <w:pPr>
              <w:ind w:left="260"/>
              <w:spacing w:after="0"/>
              <w:rPr>
                <w:sz w:val="20"/>
                <w:szCs w:val="20"/>
                <w:color w:val="auto"/>
              </w:rPr>
            </w:pPr>
            <w:r>
              <w:rPr>
                <w:rFonts w:ascii="Arial" w:cs="Arial" w:eastAsia="Arial" w:hAnsi="Arial"/>
                <w:sz w:val="18"/>
                <w:szCs w:val="18"/>
                <w:color w:val="auto"/>
              </w:rPr>
              <w:t>Termination or Reduction of Commitments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2.07</w:t>
            </w:r>
          </w:p>
        </w:tc>
        <w:tc>
          <w:tcPr>
            <w:tcW w:w="8000" w:type="dxa"/>
            <w:vAlign w:val="bottom"/>
          </w:tcPr>
          <w:p>
            <w:pPr>
              <w:ind w:left="260"/>
              <w:spacing w:after="0"/>
              <w:rPr>
                <w:sz w:val="20"/>
                <w:szCs w:val="20"/>
                <w:color w:val="auto"/>
              </w:rPr>
            </w:pPr>
            <w:r>
              <w:rPr>
                <w:rFonts w:ascii="Arial" w:cs="Arial" w:eastAsia="Arial" w:hAnsi="Arial"/>
                <w:sz w:val="18"/>
                <w:szCs w:val="18"/>
                <w:color w:val="auto"/>
              </w:rPr>
              <w:t>Repayment of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2.08</w:t>
            </w:r>
          </w:p>
        </w:tc>
        <w:tc>
          <w:tcPr>
            <w:tcW w:w="8000" w:type="dxa"/>
            <w:vAlign w:val="bottom"/>
          </w:tcPr>
          <w:p>
            <w:pPr>
              <w:ind w:left="260"/>
              <w:spacing w:after="0"/>
              <w:rPr>
                <w:sz w:val="20"/>
                <w:szCs w:val="20"/>
                <w:color w:val="auto"/>
              </w:rPr>
            </w:pPr>
            <w:r>
              <w:rPr>
                <w:rFonts w:ascii="Arial" w:cs="Arial" w:eastAsia="Arial" w:hAnsi="Arial"/>
                <w:sz w:val="18"/>
                <w:szCs w:val="18"/>
                <w:color w:val="auto"/>
              </w:rPr>
              <w:t>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2.09</w:t>
            </w:r>
          </w:p>
        </w:tc>
        <w:tc>
          <w:tcPr>
            <w:tcW w:w="8000" w:type="dxa"/>
            <w:vAlign w:val="bottom"/>
          </w:tcPr>
          <w:p>
            <w:pPr>
              <w:ind w:left="260"/>
              <w:spacing w:after="0"/>
              <w:rPr>
                <w:sz w:val="20"/>
                <w:szCs w:val="20"/>
                <w:color w:val="auto"/>
              </w:rPr>
            </w:pPr>
            <w:r>
              <w:rPr>
                <w:rFonts w:ascii="Arial" w:cs="Arial" w:eastAsia="Arial" w:hAnsi="Arial"/>
                <w:sz w:val="18"/>
                <w:szCs w:val="18"/>
                <w:color w:val="auto"/>
              </w:rPr>
              <w:t>Fees</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2.10</w:t>
            </w:r>
          </w:p>
        </w:tc>
        <w:tc>
          <w:tcPr>
            <w:tcW w:w="8000" w:type="dxa"/>
            <w:vAlign w:val="bottom"/>
          </w:tcPr>
          <w:p>
            <w:pPr>
              <w:ind w:left="26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2.11</w:t>
            </w:r>
          </w:p>
        </w:tc>
        <w:tc>
          <w:tcPr>
            <w:tcW w:w="8000" w:type="dxa"/>
            <w:vAlign w:val="bottom"/>
          </w:tcPr>
          <w:p>
            <w:pPr>
              <w:ind w:left="260"/>
              <w:spacing w:after="0"/>
              <w:rPr>
                <w:sz w:val="20"/>
                <w:szCs w:val="20"/>
                <w:color w:val="auto"/>
              </w:rPr>
            </w:pPr>
            <w:r>
              <w:rPr>
                <w:rFonts w:ascii="Arial" w:cs="Arial" w:eastAsia="Arial" w:hAnsi="Arial"/>
                <w:sz w:val="18"/>
                <w:szCs w:val="18"/>
                <w:color w:val="auto"/>
              </w:rPr>
              <w:t>Evidence of Debt</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8000" w:type="dxa"/>
            <w:vAlign w:val="bottom"/>
          </w:tcPr>
          <w:p>
            <w:pPr>
              <w:ind w:left="260"/>
              <w:spacing w:after="0"/>
              <w:rPr>
                <w:sz w:val="20"/>
                <w:szCs w:val="20"/>
                <w:color w:val="auto"/>
              </w:rPr>
            </w:pPr>
            <w:r>
              <w:rPr>
                <w:rFonts w:ascii="Arial" w:cs="Arial" w:eastAsia="Arial" w:hAnsi="Arial"/>
                <w:sz w:val="18"/>
                <w:szCs w:val="18"/>
                <w:color w:val="auto"/>
              </w:rPr>
              <w:t>Payments Generally; Administrative Agent’s Clawback</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2.13</w:t>
            </w:r>
          </w:p>
        </w:tc>
        <w:tc>
          <w:tcPr>
            <w:tcW w:w="8000" w:type="dxa"/>
            <w:vAlign w:val="bottom"/>
          </w:tcPr>
          <w:p>
            <w:pPr>
              <w:ind w:left="260"/>
              <w:spacing w:after="0"/>
              <w:rPr>
                <w:sz w:val="20"/>
                <w:szCs w:val="20"/>
                <w:color w:val="auto"/>
              </w:rPr>
            </w:pPr>
            <w:r>
              <w:rPr>
                <w:rFonts w:ascii="Arial" w:cs="Arial" w:eastAsia="Arial" w:hAnsi="Arial"/>
                <w:sz w:val="18"/>
                <w:szCs w:val="18"/>
                <w:color w:val="auto"/>
              </w:rPr>
              <w:t>Sharing of Payments by Lenders</w:t>
            </w:r>
          </w:p>
        </w:tc>
        <w:tc>
          <w:tcPr>
            <w:tcW w:w="2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2.14</w:t>
            </w:r>
          </w:p>
        </w:tc>
        <w:tc>
          <w:tcPr>
            <w:tcW w:w="8000" w:type="dxa"/>
            <w:vAlign w:val="bottom"/>
          </w:tcPr>
          <w:p>
            <w:pPr>
              <w:ind w:left="260"/>
              <w:spacing w:after="0"/>
              <w:rPr>
                <w:sz w:val="20"/>
                <w:szCs w:val="20"/>
                <w:color w:val="auto"/>
              </w:rPr>
            </w:pPr>
            <w:r>
              <w:rPr>
                <w:rFonts w:ascii="Arial" w:cs="Arial" w:eastAsia="Arial" w:hAnsi="Arial"/>
                <w:sz w:val="18"/>
                <w:szCs w:val="18"/>
                <w:color w:val="auto"/>
              </w:rPr>
              <w:t>Increase in Commitments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2.15</w:t>
            </w:r>
          </w:p>
        </w:tc>
        <w:tc>
          <w:tcPr>
            <w:tcW w:w="8000" w:type="dxa"/>
            <w:vAlign w:val="bottom"/>
          </w:tcPr>
          <w:p>
            <w:pPr>
              <w:ind w:left="260"/>
              <w:spacing w:after="0"/>
              <w:rPr>
                <w:sz w:val="20"/>
                <w:szCs w:val="20"/>
                <w:color w:val="auto"/>
              </w:rPr>
            </w:pPr>
            <w:r>
              <w:rPr>
                <w:rFonts w:ascii="Arial" w:cs="Arial" w:eastAsia="Arial" w:hAnsi="Arial"/>
                <w:sz w:val="18"/>
                <w:szCs w:val="18"/>
                <w:color w:val="auto"/>
              </w:rPr>
              <w:t>Defaulting Lenders</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2.16</w:t>
            </w:r>
          </w:p>
        </w:tc>
        <w:tc>
          <w:tcPr>
            <w:tcW w:w="8000" w:type="dxa"/>
            <w:vAlign w:val="bottom"/>
          </w:tcPr>
          <w:p>
            <w:pPr>
              <w:ind w:left="260"/>
              <w:spacing w:after="0"/>
              <w:rPr>
                <w:sz w:val="20"/>
                <w:szCs w:val="20"/>
                <w:color w:val="auto"/>
              </w:rPr>
            </w:pPr>
            <w:r>
              <w:rPr>
                <w:rFonts w:ascii="Arial" w:cs="Arial" w:eastAsia="Arial" w:hAnsi="Arial"/>
                <w:sz w:val="18"/>
                <w:szCs w:val="18"/>
                <w:color w:val="auto"/>
              </w:rPr>
              <w:t>Cash Collateral</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III</w:t>
            </w:r>
          </w:p>
        </w:tc>
        <w:tc>
          <w:tcPr>
            <w:tcW w:w="8000" w:type="dxa"/>
            <w:vAlign w:val="bottom"/>
          </w:tcPr>
          <w:p>
            <w:pPr>
              <w:ind w:left="620"/>
              <w:spacing w:after="0"/>
              <w:rPr>
                <w:sz w:val="20"/>
                <w:szCs w:val="20"/>
                <w:color w:val="auto"/>
              </w:rPr>
            </w:pPr>
            <w:r>
              <w:rPr>
                <w:rFonts w:ascii="Arial" w:cs="Arial" w:eastAsia="Arial" w:hAnsi="Arial"/>
                <w:sz w:val="18"/>
                <w:szCs w:val="18"/>
                <w:color w:val="auto"/>
              </w:rPr>
              <w:t>TAXES, YIELD PROTECTION AND ILLEGALITY</w:t>
            </w:r>
          </w:p>
        </w:tc>
        <w:tc>
          <w:tcPr>
            <w:tcW w:w="2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3.01</w:t>
            </w:r>
          </w:p>
        </w:tc>
        <w:tc>
          <w:tcPr>
            <w:tcW w:w="8000" w:type="dxa"/>
            <w:vAlign w:val="bottom"/>
          </w:tcPr>
          <w:p>
            <w:pPr>
              <w:ind w:left="260"/>
              <w:spacing w:after="0"/>
              <w:rPr>
                <w:sz w:val="20"/>
                <w:szCs w:val="20"/>
                <w:color w:val="auto"/>
              </w:rPr>
            </w:pPr>
            <w:r>
              <w:rPr>
                <w:rFonts w:ascii="Arial" w:cs="Arial" w:eastAsia="Arial" w:hAnsi="Arial"/>
                <w:sz w:val="18"/>
                <w:szCs w:val="18"/>
                <w:color w:val="auto"/>
              </w:rPr>
              <w:t>Taxes</w:t>
            </w:r>
          </w:p>
        </w:tc>
        <w:tc>
          <w:tcPr>
            <w:tcW w:w="2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3.02</w:t>
            </w:r>
          </w:p>
        </w:tc>
        <w:tc>
          <w:tcPr>
            <w:tcW w:w="8000" w:type="dxa"/>
            <w:vAlign w:val="bottom"/>
          </w:tcPr>
          <w:p>
            <w:pPr>
              <w:ind w:left="260"/>
              <w:spacing w:after="0"/>
              <w:rPr>
                <w:sz w:val="20"/>
                <w:szCs w:val="20"/>
                <w:color w:val="auto"/>
              </w:rPr>
            </w:pPr>
            <w:r>
              <w:rPr>
                <w:rFonts w:ascii="Arial" w:cs="Arial" w:eastAsia="Arial" w:hAnsi="Arial"/>
                <w:sz w:val="18"/>
                <w:szCs w:val="18"/>
                <w:color w:val="auto"/>
              </w:rPr>
              <w:t>Illegality</w:t>
            </w:r>
          </w:p>
        </w:tc>
        <w:tc>
          <w:tcPr>
            <w:tcW w:w="2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3.03</w:t>
            </w:r>
          </w:p>
        </w:tc>
        <w:tc>
          <w:tcPr>
            <w:tcW w:w="8000" w:type="dxa"/>
            <w:vAlign w:val="bottom"/>
          </w:tcPr>
          <w:p>
            <w:pPr>
              <w:ind w:left="260"/>
              <w:spacing w:after="0"/>
              <w:rPr>
                <w:sz w:val="20"/>
                <w:szCs w:val="20"/>
                <w:color w:val="auto"/>
              </w:rPr>
            </w:pPr>
            <w:r>
              <w:rPr>
                <w:rFonts w:ascii="Arial" w:cs="Arial" w:eastAsia="Arial" w:hAnsi="Arial"/>
                <w:sz w:val="18"/>
                <w:szCs w:val="18"/>
                <w:color w:val="auto"/>
              </w:rPr>
              <w:t>Inability to Determine Rates</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65"/>
        </w:trPr>
        <w:tc>
          <w:tcPr>
            <w:tcW w:w="980" w:type="dxa"/>
            <w:vAlign w:val="bottom"/>
          </w:tcPr>
          <w:p>
            <w:pPr>
              <w:spacing w:after="0"/>
              <w:rPr>
                <w:sz w:val="24"/>
                <w:szCs w:val="24"/>
                <w:color w:val="auto"/>
              </w:rPr>
            </w:pPr>
          </w:p>
        </w:tc>
        <w:tc>
          <w:tcPr>
            <w:tcW w:w="8000" w:type="dxa"/>
            <w:vAlign w:val="bottom"/>
          </w:tcPr>
          <w:p>
            <w:pPr>
              <w:ind w:left="4640"/>
              <w:spacing w:after="0"/>
              <w:rPr>
                <w:sz w:val="20"/>
                <w:szCs w:val="20"/>
                <w:color w:val="auto"/>
              </w:rPr>
            </w:pPr>
            <w:r>
              <w:rPr>
                <w:rFonts w:ascii="Arial" w:cs="Arial" w:eastAsia="Arial" w:hAnsi="Arial"/>
                <w:sz w:val="18"/>
                <w:szCs w:val="18"/>
                <w:color w:val="auto"/>
              </w:rPr>
              <w:t>-i-</w:t>
            </w:r>
          </w:p>
        </w:tc>
        <w:tc>
          <w:tcPr>
            <w:tcW w:w="234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72" w:name="page173"/>
    <w:bookmarkEnd w:id="17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3.04</w:t>
            </w:r>
          </w:p>
        </w:tc>
        <w:tc>
          <w:tcPr>
            <w:tcW w:w="7760" w:type="dxa"/>
            <w:vAlign w:val="bottom"/>
          </w:tcPr>
          <w:p>
            <w:pPr>
              <w:ind w:left="180"/>
              <w:spacing w:after="0"/>
              <w:rPr>
                <w:sz w:val="20"/>
                <w:szCs w:val="20"/>
                <w:color w:val="auto"/>
              </w:rPr>
            </w:pPr>
            <w:r>
              <w:rPr>
                <w:rFonts w:ascii="Arial" w:cs="Arial" w:eastAsia="Arial" w:hAnsi="Arial"/>
                <w:sz w:val="18"/>
                <w:szCs w:val="18"/>
                <w:color w:val="auto"/>
              </w:rPr>
              <w:t>Increased Costs; Reserves on Eurodollar Rate Loans</w:t>
            </w:r>
          </w:p>
        </w:tc>
        <w:tc>
          <w:tcPr>
            <w:tcW w:w="26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3.05</w:t>
            </w:r>
          </w:p>
        </w:tc>
        <w:tc>
          <w:tcPr>
            <w:tcW w:w="7760" w:type="dxa"/>
            <w:vAlign w:val="bottom"/>
          </w:tcPr>
          <w:p>
            <w:pPr>
              <w:ind w:left="180"/>
              <w:spacing w:after="0"/>
              <w:rPr>
                <w:sz w:val="20"/>
                <w:szCs w:val="20"/>
                <w:color w:val="auto"/>
              </w:rPr>
            </w:pPr>
            <w:r>
              <w:rPr>
                <w:rFonts w:ascii="Arial" w:cs="Arial" w:eastAsia="Arial" w:hAnsi="Arial"/>
                <w:sz w:val="18"/>
                <w:szCs w:val="18"/>
                <w:color w:val="auto"/>
              </w:rPr>
              <w:t>Compensation for Losses</w:t>
            </w:r>
          </w:p>
        </w:tc>
        <w:tc>
          <w:tcPr>
            <w:tcW w:w="26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3.06</w:t>
            </w:r>
          </w:p>
        </w:tc>
        <w:tc>
          <w:tcPr>
            <w:tcW w:w="7760" w:type="dxa"/>
            <w:vAlign w:val="bottom"/>
          </w:tcPr>
          <w:p>
            <w:pPr>
              <w:ind w:left="180"/>
              <w:spacing w:after="0"/>
              <w:rPr>
                <w:sz w:val="20"/>
                <w:szCs w:val="20"/>
                <w:color w:val="auto"/>
              </w:rPr>
            </w:pPr>
            <w:r>
              <w:rPr>
                <w:rFonts w:ascii="Arial" w:cs="Arial" w:eastAsia="Arial" w:hAnsi="Arial"/>
                <w:sz w:val="18"/>
                <w:szCs w:val="18"/>
                <w:color w:val="auto"/>
              </w:rPr>
              <w:t>Mitigation Obligations; Replacement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3.07</w:t>
            </w:r>
          </w:p>
        </w:tc>
        <w:tc>
          <w:tcPr>
            <w:tcW w:w="7760" w:type="dxa"/>
            <w:vAlign w:val="bottom"/>
          </w:tcPr>
          <w:p>
            <w:pPr>
              <w:ind w:left="180"/>
              <w:spacing w:after="0"/>
              <w:rPr>
                <w:sz w:val="20"/>
                <w:szCs w:val="20"/>
                <w:color w:val="auto"/>
              </w:rPr>
            </w:pPr>
            <w:r>
              <w:rPr>
                <w:rFonts w:ascii="Arial" w:cs="Arial" w:eastAsia="Arial" w:hAnsi="Arial"/>
                <w:sz w:val="18"/>
                <w:szCs w:val="18"/>
                <w:color w:val="auto"/>
              </w:rPr>
              <w:t>Survival</w:t>
            </w:r>
          </w:p>
        </w:tc>
        <w:tc>
          <w:tcPr>
            <w:tcW w:w="2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940" w:type="dxa"/>
            <w:vAlign w:val="bottom"/>
          </w:tcPr>
          <w:p>
            <w:pPr>
              <w:jc w:val="right"/>
              <w:ind w:right="110"/>
              <w:spacing w:after="0"/>
              <w:rPr>
                <w:sz w:val="20"/>
                <w:szCs w:val="20"/>
                <w:color w:val="auto"/>
              </w:rPr>
            </w:pPr>
            <w:r>
              <w:rPr>
                <w:rFonts w:ascii="Arial" w:cs="Arial" w:eastAsia="Arial" w:hAnsi="Arial"/>
                <w:sz w:val="18"/>
                <w:szCs w:val="18"/>
                <w:color w:val="auto"/>
                <w:w w:val="99"/>
              </w:rPr>
              <w:t>Article IV</w:t>
            </w:r>
          </w:p>
        </w:tc>
        <w:tc>
          <w:tcPr>
            <w:tcW w:w="7760" w:type="dxa"/>
            <w:vAlign w:val="bottom"/>
          </w:tcPr>
          <w:p>
            <w:pPr>
              <w:ind w:left="540"/>
              <w:spacing w:after="0"/>
              <w:rPr>
                <w:sz w:val="20"/>
                <w:szCs w:val="20"/>
                <w:color w:val="auto"/>
              </w:rPr>
            </w:pPr>
            <w:r>
              <w:rPr>
                <w:rFonts w:ascii="Arial" w:cs="Arial" w:eastAsia="Arial" w:hAnsi="Arial"/>
                <w:sz w:val="18"/>
                <w:szCs w:val="18"/>
                <w:color w:val="auto"/>
              </w:rPr>
              <w:t>CONDITIONS PRECEDENT TO CLOSING AND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4.01</w:t>
            </w:r>
          </w:p>
        </w:tc>
        <w:tc>
          <w:tcPr>
            <w:tcW w:w="7760" w:type="dxa"/>
            <w:vAlign w:val="bottom"/>
          </w:tcPr>
          <w:p>
            <w:pPr>
              <w:ind w:left="180"/>
              <w:spacing w:after="0"/>
              <w:rPr>
                <w:sz w:val="20"/>
                <w:szCs w:val="20"/>
                <w:color w:val="auto"/>
              </w:rPr>
            </w:pPr>
            <w:r>
              <w:rPr>
                <w:rFonts w:ascii="Arial" w:cs="Arial" w:eastAsia="Arial" w:hAnsi="Arial"/>
                <w:sz w:val="18"/>
                <w:szCs w:val="18"/>
                <w:color w:val="auto"/>
              </w:rPr>
              <w:t>Conditions of Closing and Initial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4.02</w:t>
            </w:r>
          </w:p>
        </w:tc>
        <w:tc>
          <w:tcPr>
            <w:tcW w:w="7760" w:type="dxa"/>
            <w:vAlign w:val="bottom"/>
          </w:tcPr>
          <w:p>
            <w:pPr>
              <w:ind w:left="180"/>
              <w:spacing w:after="0"/>
              <w:rPr>
                <w:sz w:val="20"/>
                <w:szCs w:val="20"/>
                <w:color w:val="auto"/>
              </w:rPr>
            </w:pPr>
            <w:r>
              <w:rPr>
                <w:rFonts w:ascii="Arial" w:cs="Arial" w:eastAsia="Arial" w:hAnsi="Arial"/>
                <w:sz w:val="18"/>
                <w:szCs w:val="18"/>
                <w:color w:val="auto"/>
              </w:rPr>
              <w:t>Conditions to All Credit Extensions</w:t>
            </w:r>
          </w:p>
        </w:tc>
        <w:tc>
          <w:tcPr>
            <w:tcW w:w="2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w w:val="98"/>
              </w:rPr>
              <w:t>Article V</w:t>
            </w:r>
          </w:p>
        </w:tc>
        <w:tc>
          <w:tcPr>
            <w:tcW w:w="7760" w:type="dxa"/>
            <w:vAlign w:val="bottom"/>
          </w:tcPr>
          <w:p>
            <w:pPr>
              <w:ind w:left="54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5.01</w:t>
            </w:r>
          </w:p>
        </w:tc>
        <w:tc>
          <w:tcPr>
            <w:tcW w:w="7760" w:type="dxa"/>
            <w:vAlign w:val="bottom"/>
          </w:tcPr>
          <w:p>
            <w:pPr>
              <w:ind w:left="180"/>
              <w:spacing w:after="0"/>
              <w:rPr>
                <w:sz w:val="20"/>
                <w:szCs w:val="20"/>
                <w:color w:val="auto"/>
              </w:rPr>
            </w:pPr>
            <w:r>
              <w:rPr>
                <w:rFonts w:ascii="Arial" w:cs="Arial" w:eastAsia="Arial" w:hAnsi="Arial"/>
                <w:sz w:val="18"/>
                <w:szCs w:val="18"/>
                <w:color w:val="auto"/>
              </w:rPr>
              <w:t>Corporate Existence; Subsidiaries; Foreign Qualification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7760" w:type="dxa"/>
            <w:vAlign w:val="bottom"/>
          </w:tcPr>
          <w:p>
            <w:pPr>
              <w:ind w:left="180"/>
              <w:spacing w:after="0"/>
              <w:rPr>
                <w:sz w:val="20"/>
                <w:szCs w:val="20"/>
                <w:color w:val="auto"/>
              </w:rPr>
            </w:pPr>
            <w:r>
              <w:rPr>
                <w:rFonts w:ascii="Arial" w:cs="Arial" w:eastAsia="Arial" w:hAnsi="Arial"/>
                <w:sz w:val="18"/>
                <w:szCs w:val="18"/>
                <w:color w:val="auto"/>
              </w:rPr>
              <w:t>Corporate Authority</w:t>
            </w:r>
          </w:p>
        </w:tc>
        <w:tc>
          <w:tcPr>
            <w:tcW w:w="26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5.03</w:t>
            </w:r>
          </w:p>
        </w:tc>
        <w:tc>
          <w:tcPr>
            <w:tcW w:w="7760" w:type="dxa"/>
            <w:vAlign w:val="bottom"/>
          </w:tcPr>
          <w:p>
            <w:pPr>
              <w:ind w:left="180"/>
              <w:spacing w:after="0"/>
              <w:rPr>
                <w:sz w:val="20"/>
                <w:szCs w:val="20"/>
                <w:color w:val="auto"/>
              </w:rPr>
            </w:pPr>
            <w:r>
              <w:rPr>
                <w:rFonts w:ascii="Arial" w:cs="Arial" w:eastAsia="Arial" w:hAnsi="Arial"/>
                <w:sz w:val="18"/>
                <w:szCs w:val="18"/>
                <w:color w:val="auto"/>
              </w:rPr>
              <w:t>Governmental Authorization; Other Consents</w:t>
            </w:r>
          </w:p>
        </w:tc>
        <w:tc>
          <w:tcPr>
            <w:tcW w:w="26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5.04</w:t>
            </w:r>
          </w:p>
        </w:tc>
        <w:tc>
          <w:tcPr>
            <w:tcW w:w="7760" w:type="dxa"/>
            <w:vAlign w:val="bottom"/>
          </w:tcPr>
          <w:p>
            <w:pPr>
              <w:ind w:left="180"/>
              <w:spacing w:after="0"/>
              <w:rPr>
                <w:sz w:val="20"/>
                <w:szCs w:val="20"/>
                <w:color w:val="auto"/>
              </w:rPr>
            </w:pPr>
            <w:r>
              <w:rPr>
                <w:rFonts w:ascii="Arial" w:cs="Arial" w:eastAsia="Arial" w:hAnsi="Arial"/>
                <w:sz w:val="18"/>
                <w:szCs w:val="18"/>
                <w:color w:val="auto"/>
              </w:rPr>
              <w:t>Litigation and Administrative Proceedings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5.05</w:t>
            </w:r>
          </w:p>
        </w:tc>
        <w:tc>
          <w:tcPr>
            <w:tcW w:w="7760" w:type="dxa"/>
            <w:vAlign w:val="bottom"/>
          </w:tcPr>
          <w:p>
            <w:pPr>
              <w:ind w:left="180"/>
              <w:spacing w:after="0"/>
              <w:rPr>
                <w:sz w:val="20"/>
                <w:szCs w:val="20"/>
                <w:color w:val="auto"/>
              </w:rPr>
            </w:pPr>
            <w:r>
              <w:rPr>
                <w:rFonts w:ascii="Arial" w:cs="Arial" w:eastAsia="Arial" w:hAnsi="Arial"/>
                <w:sz w:val="18"/>
                <w:szCs w:val="18"/>
                <w:color w:val="auto"/>
              </w:rPr>
              <w:t>Title to Assets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5.06</w:t>
            </w:r>
          </w:p>
        </w:tc>
        <w:tc>
          <w:tcPr>
            <w:tcW w:w="7760" w:type="dxa"/>
            <w:vAlign w:val="bottom"/>
          </w:tcPr>
          <w:p>
            <w:pPr>
              <w:ind w:left="180"/>
              <w:spacing w:after="0"/>
              <w:rPr>
                <w:sz w:val="20"/>
                <w:szCs w:val="20"/>
                <w:color w:val="auto"/>
              </w:rPr>
            </w:pPr>
            <w:r>
              <w:rPr>
                <w:rFonts w:ascii="Arial" w:cs="Arial" w:eastAsia="Arial" w:hAnsi="Arial"/>
                <w:sz w:val="18"/>
                <w:szCs w:val="18"/>
                <w:color w:val="auto"/>
              </w:rPr>
              <w:t>Liens and Security Interests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5.07</w:t>
            </w:r>
          </w:p>
        </w:tc>
        <w:tc>
          <w:tcPr>
            <w:tcW w:w="7760" w:type="dxa"/>
            <w:vAlign w:val="bottom"/>
          </w:tcPr>
          <w:p>
            <w:pPr>
              <w:ind w:left="180"/>
              <w:spacing w:after="0"/>
              <w:rPr>
                <w:sz w:val="20"/>
                <w:szCs w:val="20"/>
                <w:color w:val="auto"/>
              </w:rPr>
            </w:pPr>
            <w:r>
              <w:rPr>
                <w:rFonts w:ascii="Arial" w:cs="Arial" w:eastAsia="Arial" w:hAnsi="Arial"/>
                <w:sz w:val="18"/>
                <w:szCs w:val="18"/>
                <w:color w:val="auto"/>
              </w:rPr>
              <w:t>Tax Returns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5.08</w:t>
            </w:r>
          </w:p>
        </w:tc>
        <w:tc>
          <w:tcPr>
            <w:tcW w:w="7760" w:type="dxa"/>
            <w:vAlign w:val="bottom"/>
          </w:tcPr>
          <w:p>
            <w:pPr>
              <w:ind w:left="180"/>
              <w:spacing w:after="0"/>
              <w:rPr>
                <w:sz w:val="20"/>
                <w:szCs w:val="20"/>
                <w:color w:val="auto"/>
              </w:rPr>
            </w:pPr>
            <w:r>
              <w:rPr>
                <w:rFonts w:ascii="Arial" w:cs="Arial" w:eastAsia="Arial" w:hAnsi="Arial"/>
                <w:sz w:val="18"/>
                <w:szCs w:val="18"/>
                <w:color w:val="auto"/>
              </w:rPr>
              <w:t>Environmental Laws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5.09</w:t>
            </w:r>
          </w:p>
        </w:tc>
        <w:tc>
          <w:tcPr>
            <w:tcW w:w="7760" w:type="dxa"/>
            <w:vAlign w:val="bottom"/>
          </w:tcPr>
          <w:p>
            <w:pPr>
              <w:ind w:left="180"/>
              <w:spacing w:after="0"/>
              <w:rPr>
                <w:sz w:val="20"/>
                <w:szCs w:val="20"/>
                <w:color w:val="auto"/>
              </w:rPr>
            </w:pPr>
            <w:r>
              <w:rPr>
                <w:rFonts w:ascii="Arial" w:cs="Arial" w:eastAsia="Arial" w:hAnsi="Arial"/>
                <w:sz w:val="18"/>
                <w:szCs w:val="18"/>
                <w:color w:val="auto"/>
              </w:rPr>
              <w:t>Locations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5.10</w:t>
            </w:r>
          </w:p>
        </w:tc>
        <w:tc>
          <w:tcPr>
            <w:tcW w:w="7760" w:type="dxa"/>
            <w:vAlign w:val="bottom"/>
          </w:tcPr>
          <w:p>
            <w:pPr>
              <w:ind w:left="180"/>
              <w:spacing w:after="0"/>
              <w:rPr>
                <w:sz w:val="20"/>
                <w:szCs w:val="20"/>
                <w:color w:val="auto"/>
              </w:rPr>
            </w:pPr>
            <w:r>
              <w:rPr>
                <w:rFonts w:ascii="Arial" w:cs="Arial" w:eastAsia="Arial" w:hAnsi="Arial"/>
                <w:sz w:val="18"/>
                <w:szCs w:val="18"/>
                <w:color w:val="auto"/>
              </w:rPr>
              <w:t>Continued Business</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5.11</w:t>
            </w:r>
          </w:p>
        </w:tc>
        <w:tc>
          <w:tcPr>
            <w:tcW w:w="7760" w:type="dxa"/>
            <w:vAlign w:val="bottom"/>
          </w:tcPr>
          <w:p>
            <w:pPr>
              <w:ind w:left="180"/>
              <w:spacing w:after="0"/>
              <w:rPr>
                <w:sz w:val="20"/>
                <w:szCs w:val="20"/>
                <w:color w:val="auto"/>
              </w:rPr>
            </w:pPr>
            <w:r>
              <w:rPr>
                <w:rFonts w:ascii="Arial" w:cs="Arial" w:eastAsia="Arial" w:hAnsi="Arial"/>
                <w:sz w:val="18"/>
                <w:szCs w:val="18"/>
                <w:color w:val="auto"/>
              </w:rPr>
              <w:t>Employee Benefits Plans</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5.12</w:t>
            </w:r>
          </w:p>
        </w:tc>
        <w:tc>
          <w:tcPr>
            <w:tcW w:w="7760" w:type="dxa"/>
            <w:vAlign w:val="bottom"/>
          </w:tcPr>
          <w:p>
            <w:pPr>
              <w:ind w:left="180"/>
              <w:spacing w:after="0"/>
              <w:rPr>
                <w:sz w:val="20"/>
                <w:szCs w:val="20"/>
                <w:color w:val="auto"/>
              </w:rPr>
            </w:pPr>
            <w:r>
              <w:rPr>
                <w:rFonts w:ascii="Arial" w:cs="Arial" w:eastAsia="Arial" w:hAnsi="Arial"/>
                <w:sz w:val="18"/>
                <w:szCs w:val="18"/>
                <w:color w:val="auto"/>
              </w:rPr>
              <w:t>Consents or Approvals</w:t>
            </w:r>
          </w:p>
        </w:tc>
        <w:tc>
          <w:tcPr>
            <w:tcW w:w="2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5.13</w:t>
            </w:r>
          </w:p>
        </w:tc>
        <w:tc>
          <w:tcPr>
            <w:tcW w:w="7760" w:type="dxa"/>
            <w:vAlign w:val="bottom"/>
          </w:tcPr>
          <w:p>
            <w:pPr>
              <w:ind w:left="180"/>
              <w:spacing w:after="0"/>
              <w:rPr>
                <w:sz w:val="20"/>
                <w:szCs w:val="20"/>
                <w:color w:val="auto"/>
              </w:rPr>
            </w:pPr>
            <w:r>
              <w:rPr>
                <w:rFonts w:ascii="Arial" w:cs="Arial" w:eastAsia="Arial" w:hAnsi="Arial"/>
                <w:sz w:val="18"/>
                <w:szCs w:val="18"/>
                <w:color w:val="auto"/>
              </w:rPr>
              <w:t>Solvency</w:t>
            </w:r>
          </w:p>
        </w:tc>
        <w:tc>
          <w:tcPr>
            <w:tcW w:w="2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5.14</w:t>
            </w:r>
          </w:p>
        </w:tc>
        <w:tc>
          <w:tcPr>
            <w:tcW w:w="7760" w:type="dxa"/>
            <w:vAlign w:val="bottom"/>
          </w:tcPr>
          <w:p>
            <w:pPr>
              <w:ind w:left="180"/>
              <w:spacing w:after="0"/>
              <w:rPr>
                <w:sz w:val="20"/>
                <w:szCs w:val="20"/>
                <w:color w:val="auto"/>
              </w:rPr>
            </w:pPr>
            <w:r>
              <w:rPr>
                <w:rFonts w:ascii="Arial" w:cs="Arial" w:eastAsia="Arial" w:hAnsi="Arial"/>
                <w:sz w:val="18"/>
                <w:szCs w:val="18"/>
                <w:color w:val="auto"/>
              </w:rPr>
              <w:t>Financial Statements; No Material Adverse Effect</w:t>
            </w:r>
          </w:p>
        </w:tc>
        <w:tc>
          <w:tcPr>
            <w:tcW w:w="2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5.15</w:t>
            </w:r>
          </w:p>
        </w:tc>
        <w:tc>
          <w:tcPr>
            <w:tcW w:w="7760" w:type="dxa"/>
            <w:vAlign w:val="bottom"/>
          </w:tcPr>
          <w:p>
            <w:pPr>
              <w:ind w:left="180"/>
              <w:spacing w:after="0"/>
              <w:rPr>
                <w:sz w:val="20"/>
                <w:szCs w:val="20"/>
                <w:color w:val="auto"/>
              </w:rPr>
            </w:pPr>
            <w:r>
              <w:rPr>
                <w:rFonts w:ascii="Arial" w:cs="Arial" w:eastAsia="Arial" w:hAnsi="Arial"/>
                <w:sz w:val="18"/>
                <w:szCs w:val="18"/>
                <w:color w:val="auto"/>
              </w:rPr>
              <w:t>Regulations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5.16</w:t>
            </w:r>
          </w:p>
        </w:tc>
        <w:tc>
          <w:tcPr>
            <w:tcW w:w="7760" w:type="dxa"/>
            <w:vAlign w:val="bottom"/>
          </w:tcPr>
          <w:p>
            <w:pPr>
              <w:ind w:left="180"/>
              <w:spacing w:after="0"/>
              <w:rPr>
                <w:sz w:val="20"/>
                <w:szCs w:val="20"/>
                <w:color w:val="auto"/>
              </w:rPr>
            </w:pPr>
            <w:r>
              <w:rPr>
                <w:rFonts w:ascii="Arial" w:cs="Arial" w:eastAsia="Arial" w:hAnsi="Arial"/>
                <w:sz w:val="18"/>
                <w:szCs w:val="18"/>
                <w:color w:val="auto"/>
              </w:rPr>
              <w:t>Material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5.17</w:t>
            </w:r>
          </w:p>
        </w:tc>
        <w:tc>
          <w:tcPr>
            <w:tcW w:w="776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5.18</w:t>
            </w:r>
          </w:p>
        </w:tc>
        <w:tc>
          <w:tcPr>
            <w:tcW w:w="77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5.19</w:t>
            </w:r>
          </w:p>
        </w:tc>
        <w:tc>
          <w:tcPr>
            <w:tcW w:w="7760" w:type="dxa"/>
            <w:vAlign w:val="bottom"/>
          </w:tcPr>
          <w:p>
            <w:pPr>
              <w:ind w:left="180"/>
              <w:spacing w:after="0"/>
              <w:rPr>
                <w:sz w:val="20"/>
                <w:szCs w:val="20"/>
                <w:color w:val="auto"/>
              </w:rPr>
            </w:pPr>
            <w:r>
              <w:rPr>
                <w:rFonts w:ascii="Arial" w:cs="Arial" w:eastAsia="Arial" w:hAnsi="Arial"/>
                <w:sz w:val="18"/>
                <w:szCs w:val="18"/>
                <w:color w:val="auto"/>
              </w:rPr>
              <w:t>Casualty, Etc.</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5.20</w:t>
            </w:r>
          </w:p>
        </w:tc>
        <w:tc>
          <w:tcPr>
            <w:tcW w:w="7760" w:type="dxa"/>
            <w:vAlign w:val="bottom"/>
          </w:tcPr>
          <w:p>
            <w:pPr>
              <w:ind w:left="180"/>
              <w:spacing w:after="0"/>
              <w:rPr>
                <w:sz w:val="20"/>
                <w:szCs w:val="20"/>
                <w:color w:val="auto"/>
              </w:rPr>
            </w:pPr>
            <w:r>
              <w:rPr>
                <w:rFonts w:ascii="Arial" w:cs="Arial" w:eastAsia="Arial" w:hAnsi="Arial"/>
                <w:sz w:val="18"/>
                <w:szCs w:val="18"/>
                <w:color w:val="auto"/>
              </w:rPr>
              <w:t>Labor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5.21</w:t>
            </w:r>
          </w:p>
        </w:tc>
        <w:tc>
          <w:tcPr>
            <w:tcW w:w="7760" w:type="dxa"/>
            <w:vAlign w:val="bottom"/>
          </w:tcPr>
          <w:p>
            <w:pPr>
              <w:ind w:left="180"/>
              <w:spacing w:after="0"/>
              <w:rPr>
                <w:sz w:val="20"/>
                <w:szCs w:val="20"/>
                <w:color w:val="auto"/>
              </w:rPr>
            </w:pPr>
            <w:r>
              <w:rPr>
                <w:rFonts w:ascii="Arial" w:cs="Arial" w:eastAsia="Arial" w:hAnsi="Arial"/>
                <w:sz w:val="18"/>
                <w:szCs w:val="18"/>
                <w:color w:val="auto"/>
              </w:rPr>
              <w:t>OFAC; Anti-Money Laundering; FCPA</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5.22</w:t>
            </w:r>
          </w:p>
        </w:tc>
        <w:tc>
          <w:tcPr>
            <w:tcW w:w="7760" w:type="dxa"/>
            <w:vAlign w:val="bottom"/>
          </w:tcPr>
          <w:p>
            <w:pPr>
              <w:ind w:left="180"/>
              <w:spacing w:after="0"/>
              <w:rPr>
                <w:sz w:val="20"/>
                <w:szCs w:val="20"/>
                <w:color w:val="auto"/>
              </w:rPr>
            </w:pPr>
            <w:r>
              <w:rPr>
                <w:rFonts w:ascii="Arial" w:cs="Arial" w:eastAsia="Arial" w:hAnsi="Arial"/>
                <w:sz w:val="18"/>
                <w:szCs w:val="18"/>
                <w:color w:val="auto"/>
              </w:rPr>
              <w:t>Certain Treasury Regulation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65"/>
        </w:trPr>
        <w:tc>
          <w:tcPr>
            <w:tcW w:w="940" w:type="dxa"/>
            <w:vAlign w:val="bottom"/>
          </w:tcPr>
          <w:p>
            <w:pPr>
              <w:spacing w:after="0"/>
              <w:rPr>
                <w:sz w:val="24"/>
                <w:szCs w:val="24"/>
                <w:color w:val="auto"/>
              </w:rPr>
            </w:pPr>
          </w:p>
        </w:tc>
        <w:tc>
          <w:tcPr>
            <w:tcW w:w="7760" w:type="dxa"/>
            <w:vAlign w:val="bottom"/>
          </w:tcPr>
          <w:p>
            <w:pPr>
              <w:ind w:left="4660"/>
              <w:spacing w:after="0"/>
              <w:rPr>
                <w:sz w:val="20"/>
                <w:szCs w:val="20"/>
                <w:color w:val="auto"/>
              </w:rPr>
            </w:pPr>
            <w:r>
              <w:rPr>
                <w:rFonts w:ascii="Arial" w:cs="Arial" w:eastAsia="Arial" w:hAnsi="Arial"/>
                <w:sz w:val="18"/>
                <w:szCs w:val="18"/>
                <w:color w:val="auto"/>
              </w:rPr>
              <w:t>-ii-</w:t>
            </w:r>
          </w:p>
        </w:tc>
        <w:tc>
          <w:tcPr>
            <w:tcW w:w="262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7880" w:type="dxa"/>
            <w:vAlign w:val="bottom"/>
          </w:tcPr>
          <w:p>
            <w:pPr>
              <w:jc w:val="center"/>
              <w:ind w:left="155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7880" w:type="dxa"/>
            <w:vAlign w:val="bottom"/>
          </w:tcPr>
          <w:p>
            <w:pPr>
              <w:jc w:val="center"/>
              <w:ind w:left="1530"/>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20"/>
                <w:szCs w:val="20"/>
                <w:color w:val="auto"/>
              </w:rPr>
            </w:pPr>
          </w:p>
        </w:tc>
      </w:tr>
      <w:tr>
        <w:trPr>
          <w:trHeight w:val="312"/>
        </w:trPr>
        <w:tc>
          <w:tcPr>
            <w:tcW w:w="9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5.23</w:t>
            </w:r>
          </w:p>
        </w:tc>
        <w:tc>
          <w:tcPr>
            <w:tcW w:w="7880" w:type="dxa"/>
            <w:vAlign w:val="bottom"/>
          </w:tcPr>
          <w:p>
            <w:pPr>
              <w:ind w:left="160"/>
              <w:spacing w:after="0"/>
              <w:rPr>
                <w:sz w:val="20"/>
                <w:szCs w:val="20"/>
                <w:color w:val="auto"/>
              </w:rPr>
            </w:pPr>
            <w:r>
              <w:rPr>
                <w:rFonts w:ascii="Arial" w:cs="Arial" w:eastAsia="Arial" w:hAnsi="Arial"/>
                <w:sz w:val="18"/>
                <w:szCs w:val="18"/>
                <w:color w:val="auto"/>
              </w:rPr>
              <w:t>Deposit Accounts; Securities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5.24</w:t>
            </w:r>
          </w:p>
        </w:tc>
        <w:tc>
          <w:tcPr>
            <w:tcW w:w="7880" w:type="dxa"/>
            <w:vAlign w:val="bottom"/>
          </w:tcPr>
          <w:p>
            <w:pPr>
              <w:ind w:left="160"/>
              <w:spacing w:after="0"/>
              <w:rPr>
                <w:sz w:val="20"/>
                <w:szCs w:val="20"/>
                <w:color w:val="auto"/>
              </w:rPr>
            </w:pPr>
            <w:r>
              <w:rPr>
                <w:rFonts w:ascii="Arial" w:cs="Arial" w:eastAsia="Arial" w:hAnsi="Arial"/>
                <w:sz w:val="18"/>
                <w:szCs w:val="18"/>
                <w:color w:val="auto"/>
              </w:rPr>
              <w:t>Accurate and Complete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5.25</w:t>
            </w:r>
          </w:p>
        </w:tc>
        <w:tc>
          <w:tcPr>
            <w:tcW w:w="78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5.26</w:t>
            </w:r>
          </w:p>
        </w:tc>
        <w:tc>
          <w:tcPr>
            <w:tcW w:w="7880" w:type="dxa"/>
            <w:vAlign w:val="bottom"/>
          </w:tcPr>
          <w:p>
            <w:pPr>
              <w:ind w:left="160"/>
              <w:spacing w:after="0"/>
              <w:rPr>
                <w:sz w:val="20"/>
                <w:szCs w:val="20"/>
                <w:color w:val="auto"/>
              </w:rPr>
            </w:pPr>
            <w:r>
              <w:rPr>
                <w:rFonts w:ascii="Arial" w:cs="Arial" w:eastAsia="Arial" w:hAnsi="Arial"/>
                <w:sz w:val="18"/>
                <w:szCs w:val="18"/>
                <w:color w:val="auto"/>
              </w:rPr>
              <w:t>Investment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5.27</w:t>
            </w:r>
          </w:p>
        </w:tc>
        <w:tc>
          <w:tcPr>
            <w:tcW w:w="7880" w:type="dxa"/>
            <w:vAlign w:val="bottom"/>
          </w:tcPr>
          <w:p>
            <w:pPr>
              <w:ind w:left="160"/>
              <w:spacing w:after="0"/>
              <w:rPr>
                <w:sz w:val="20"/>
                <w:szCs w:val="20"/>
                <w:color w:val="auto"/>
              </w:rPr>
            </w:pPr>
            <w:r>
              <w:rPr>
                <w:rFonts w:ascii="Arial" w:cs="Arial" w:eastAsia="Arial" w:hAnsi="Arial"/>
                <w:sz w:val="18"/>
                <w:szCs w:val="18"/>
                <w:color w:val="auto"/>
              </w:rPr>
              <w:t>Defaults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5.28</w:t>
            </w:r>
          </w:p>
        </w:tc>
        <w:tc>
          <w:tcPr>
            <w:tcW w:w="7880" w:type="dxa"/>
            <w:vAlign w:val="bottom"/>
          </w:tcPr>
          <w:p>
            <w:pPr>
              <w:ind w:left="160"/>
              <w:spacing w:after="0"/>
              <w:rPr>
                <w:sz w:val="20"/>
                <w:szCs w:val="20"/>
                <w:color w:val="auto"/>
              </w:rPr>
            </w:pPr>
            <w:r>
              <w:rPr>
                <w:rFonts w:ascii="Arial" w:cs="Arial" w:eastAsia="Arial" w:hAnsi="Arial"/>
                <w:sz w:val="18"/>
                <w:szCs w:val="18"/>
                <w:color w:val="auto"/>
              </w:rPr>
              <w:t>Senior Debt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VI</w:t>
            </w:r>
          </w:p>
        </w:tc>
        <w:tc>
          <w:tcPr>
            <w:tcW w:w="7880" w:type="dxa"/>
            <w:vAlign w:val="bottom"/>
          </w:tcPr>
          <w:p>
            <w:pPr>
              <w:ind w:left="520"/>
              <w:spacing w:after="0"/>
              <w:rPr>
                <w:sz w:val="20"/>
                <w:szCs w:val="20"/>
                <w:color w:val="auto"/>
              </w:rPr>
            </w:pPr>
            <w:r>
              <w:rPr>
                <w:rFonts w:ascii="Arial" w:cs="Arial" w:eastAsia="Arial" w:hAnsi="Arial"/>
                <w:sz w:val="18"/>
                <w:szCs w:val="18"/>
                <w:color w:val="auto"/>
              </w:rPr>
              <w:t>AFFIRMATIVE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6.01</w:t>
            </w:r>
          </w:p>
        </w:tc>
        <w:tc>
          <w:tcPr>
            <w:tcW w:w="78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6.02</w:t>
            </w:r>
          </w:p>
        </w:tc>
        <w:tc>
          <w:tcPr>
            <w:tcW w:w="7880" w:type="dxa"/>
            <w:vAlign w:val="bottom"/>
          </w:tcPr>
          <w:p>
            <w:pPr>
              <w:ind w:left="160"/>
              <w:spacing w:after="0"/>
              <w:rPr>
                <w:sz w:val="20"/>
                <w:szCs w:val="20"/>
                <w:color w:val="auto"/>
              </w:rPr>
            </w:pPr>
            <w:r>
              <w:rPr>
                <w:rFonts w:ascii="Arial" w:cs="Arial" w:eastAsia="Arial" w:hAnsi="Arial"/>
                <w:sz w:val="18"/>
                <w:szCs w:val="18"/>
                <w:color w:val="auto"/>
              </w:rPr>
              <w:t>Certificates; Other 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6.03</w:t>
            </w:r>
          </w:p>
        </w:tc>
        <w:tc>
          <w:tcPr>
            <w:tcW w:w="7880" w:type="dxa"/>
            <w:vAlign w:val="bottom"/>
          </w:tcPr>
          <w:p>
            <w:pPr>
              <w:ind w:left="16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6.04</w:t>
            </w:r>
          </w:p>
        </w:tc>
        <w:tc>
          <w:tcPr>
            <w:tcW w:w="7880" w:type="dxa"/>
            <w:vAlign w:val="bottom"/>
          </w:tcPr>
          <w:p>
            <w:pPr>
              <w:ind w:left="160"/>
              <w:spacing w:after="0"/>
              <w:rPr>
                <w:sz w:val="20"/>
                <w:szCs w:val="20"/>
                <w:color w:val="auto"/>
              </w:rPr>
            </w:pPr>
            <w:r>
              <w:rPr>
                <w:rFonts w:ascii="Arial" w:cs="Arial" w:eastAsia="Arial" w:hAnsi="Arial"/>
                <w:sz w:val="18"/>
                <w:szCs w:val="18"/>
                <w:color w:val="auto"/>
              </w:rPr>
              <w:t>Payment of Taxes and Other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6.05</w:t>
            </w:r>
          </w:p>
        </w:tc>
        <w:tc>
          <w:tcPr>
            <w:tcW w:w="7880" w:type="dxa"/>
            <w:vAlign w:val="bottom"/>
          </w:tcPr>
          <w:p>
            <w:pPr>
              <w:ind w:left="160"/>
              <w:spacing w:after="0"/>
              <w:rPr>
                <w:sz w:val="20"/>
                <w:szCs w:val="20"/>
                <w:color w:val="auto"/>
              </w:rPr>
            </w:pPr>
            <w:r>
              <w:rPr>
                <w:rFonts w:ascii="Arial" w:cs="Arial" w:eastAsia="Arial" w:hAnsi="Arial"/>
                <w:sz w:val="18"/>
                <w:szCs w:val="18"/>
                <w:color w:val="auto"/>
              </w:rPr>
              <w:t>Preservation of Existence, Etc.</w:t>
            </w:r>
          </w:p>
        </w:tc>
        <w:tc>
          <w:tcPr>
            <w:tcW w:w="24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6.06</w:t>
            </w:r>
          </w:p>
        </w:tc>
        <w:tc>
          <w:tcPr>
            <w:tcW w:w="7880" w:type="dxa"/>
            <w:vAlign w:val="bottom"/>
          </w:tcPr>
          <w:p>
            <w:pPr>
              <w:ind w:left="160"/>
              <w:spacing w:after="0"/>
              <w:rPr>
                <w:sz w:val="20"/>
                <w:szCs w:val="20"/>
                <w:color w:val="auto"/>
              </w:rPr>
            </w:pPr>
            <w:r>
              <w:rPr>
                <w:rFonts w:ascii="Arial" w:cs="Arial" w:eastAsia="Arial" w:hAnsi="Arial"/>
                <w:sz w:val="18"/>
                <w:szCs w:val="18"/>
                <w:color w:val="auto"/>
              </w:rPr>
              <w:t>Maintenance of 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6.07</w:t>
            </w:r>
          </w:p>
        </w:tc>
        <w:tc>
          <w:tcPr>
            <w:tcW w:w="788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6.08</w:t>
            </w:r>
          </w:p>
        </w:tc>
        <w:tc>
          <w:tcPr>
            <w:tcW w:w="788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6.09</w:t>
            </w:r>
          </w:p>
        </w:tc>
        <w:tc>
          <w:tcPr>
            <w:tcW w:w="788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6.10</w:t>
            </w:r>
          </w:p>
        </w:tc>
        <w:tc>
          <w:tcPr>
            <w:tcW w:w="7880" w:type="dxa"/>
            <w:vAlign w:val="bottom"/>
          </w:tcPr>
          <w:p>
            <w:pPr>
              <w:ind w:left="160"/>
              <w:spacing w:after="0"/>
              <w:rPr>
                <w:sz w:val="20"/>
                <w:szCs w:val="20"/>
                <w:color w:val="auto"/>
              </w:rPr>
            </w:pPr>
            <w:r>
              <w:rPr>
                <w:rFonts w:ascii="Arial" w:cs="Arial" w:eastAsia="Arial" w:hAnsi="Arial"/>
                <w:sz w:val="18"/>
                <w:szCs w:val="18"/>
                <w:color w:val="auto"/>
              </w:rPr>
              <w:t>Inspection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6.11</w:t>
            </w:r>
          </w:p>
        </w:tc>
        <w:tc>
          <w:tcPr>
            <w:tcW w:w="788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6.12</w:t>
            </w:r>
          </w:p>
        </w:tc>
        <w:tc>
          <w:tcPr>
            <w:tcW w:w="7880" w:type="dxa"/>
            <w:vAlign w:val="bottom"/>
          </w:tcPr>
          <w:p>
            <w:pPr>
              <w:ind w:left="160"/>
              <w:spacing w:after="0"/>
              <w:rPr>
                <w:sz w:val="20"/>
                <w:szCs w:val="20"/>
                <w:color w:val="auto"/>
              </w:rPr>
            </w:pPr>
            <w:r>
              <w:rPr>
                <w:rFonts w:ascii="Arial" w:cs="Arial" w:eastAsia="Arial" w:hAnsi="Arial"/>
                <w:sz w:val="18"/>
                <w:szCs w:val="18"/>
                <w:color w:val="auto"/>
              </w:rPr>
              <w:t>Covenant to Guarantee Obligations and Give Security</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6.13</w:t>
            </w:r>
          </w:p>
        </w:tc>
        <w:tc>
          <w:tcPr>
            <w:tcW w:w="7880" w:type="dxa"/>
            <w:vAlign w:val="bottom"/>
          </w:tcPr>
          <w:p>
            <w:pPr>
              <w:ind w:left="160"/>
              <w:spacing w:after="0"/>
              <w:rPr>
                <w:sz w:val="20"/>
                <w:szCs w:val="20"/>
                <w:color w:val="auto"/>
              </w:rPr>
            </w:pPr>
            <w:r>
              <w:rPr>
                <w:rFonts w:ascii="Arial" w:cs="Arial" w:eastAsia="Arial" w:hAnsi="Arial"/>
                <w:sz w:val="18"/>
                <w:szCs w:val="18"/>
                <w:color w:val="auto"/>
              </w:rPr>
              <w:t>Compliance with Environmental Laws</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6.14</w:t>
            </w:r>
          </w:p>
        </w:tc>
        <w:tc>
          <w:tcPr>
            <w:tcW w:w="7880" w:type="dxa"/>
            <w:vAlign w:val="bottom"/>
          </w:tcPr>
          <w:p>
            <w:pPr>
              <w:ind w:left="160"/>
              <w:spacing w:after="0"/>
              <w:rPr>
                <w:sz w:val="20"/>
                <w:szCs w:val="20"/>
                <w:color w:val="auto"/>
              </w:rPr>
            </w:pPr>
            <w:r>
              <w:rPr>
                <w:rFonts w:ascii="Arial" w:cs="Arial" w:eastAsia="Arial" w:hAnsi="Arial"/>
                <w:sz w:val="18"/>
                <w:szCs w:val="18"/>
                <w:color w:val="auto"/>
              </w:rPr>
              <w:t>Information Regarding Collateral</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6.15</w:t>
            </w:r>
          </w:p>
        </w:tc>
        <w:tc>
          <w:tcPr>
            <w:tcW w:w="7880" w:type="dxa"/>
            <w:vAlign w:val="bottom"/>
          </w:tcPr>
          <w:p>
            <w:pPr>
              <w:ind w:left="160"/>
              <w:spacing w:after="0"/>
              <w:rPr>
                <w:sz w:val="20"/>
                <w:szCs w:val="20"/>
                <w:color w:val="auto"/>
              </w:rPr>
            </w:pPr>
            <w:r>
              <w:rPr>
                <w:rFonts w:ascii="Arial" w:cs="Arial" w:eastAsia="Arial" w:hAnsi="Arial"/>
                <w:sz w:val="18"/>
                <w:szCs w:val="18"/>
                <w:color w:val="auto"/>
              </w:rPr>
              <w:t>Maintenance of Debt Ratings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6.16</w:t>
            </w:r>
          </w:p>
        </w:tc>
        <w:tc>
          <w:tcPr>
            <w:tcW w:w="788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6.17</w:t>
            </w:r>
          </w:p>
        </w:tc>
        <w:tc>
          <w:tcPr>
            <w:tcW w:w="7880" w:type="dxa"/>
            <w:vAlign w:val="bottom"/>
          </w:tcPr>
          <w:p>
            <w:pPr>
              <w:ind w:left="160"/>
              <w:spacing w:after="0"/>
              <w:rPr>
                <w:sz w:val="20"/>
                <w:szCs w:val="20"/>
                <w:color w:val="auto"/>
              </w:rPr>
            </w:pPr>
            <w:r>
              <w:rPr>
                <w:rFonts w:ascii="Arial" w:cs="Arial" w:eastAsia="Arial" w:hAnsi="Arial"/>
                <w:sz w:val="18"/>
                <w:szCs w:val="18"/>
                <w:color w:val="auto"/>
              </w:rPr>
              <w:t>Post-Closing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6.18</w:t>
            </w:r>
          </w:p>
        </w:tc>
        <w:tc>
          <w:tcPr>
            <w:tcW w:w="7880" w:type="dxa"/>
            <w:vAlign w:val="bottom"/>
          </w:tcPr>
          <w:p>
            <w:pPr>
              <w:ind w:left="160"/>
              <w:spacing w:after="0"/>
              <w:rPr>
                <w:sz w:val="20"/>
                <w:szCs w:val="20"/>
                <w:color w:val="auto"/>
              </w:rPr>
            </w:pPr>
            <w:r>
              <w:rPr>
                <w:rFonts w:ascii="Arial" w:cs="Arial" w:eastAsia="Arial" w:hAnsi="Arial"/>
                <w:sz w:val="18"/>
                <w:szCs w:val="18"/>
                <w:color w:val="auto"/>
              </w:rPr>
              <w:t>Lender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VII</w:t>
            </w:r>
          </w:p>
        </w:tc>
        <w:tc>
          <w:tcPr>
            <w:tcW w:w="7880" w:type="dxa"/>
            <w:vAlign w:val="bottom"/>
          </w:tcPr>
          <w:p>
            <w:pPr>
              <w:ind w:left="520"/>
              <w:spacing w:after="0"/>
              <w:rPr>
                <w:sz w:val="20"/>
                <w:szCs w:val="20"/>
                <w:color w:val="auto"/>
              </w:rPr>
            </w:pPr>
            <w:r>
              <w:rPr>
                <w:rFonts w:ascii="Arial" w:cs="Arial" w:eastAsia="Arial" w:hAnsi="Arial"/>
                <w:sz w:val="18"/>
                <w:szCs w:val="18"/>
                <w:color w:val="auto"/>
              </w:rPr>
              <w:t>NEGATIVE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7.01</w:t>
            </w:r>
          </w:p>
        </w:tc>
        <w:tc>
          <w:tcPr>
            <w:tcW w:w="7880" w:type="dxa"/>
            <w:vAlign w:val="bottom"/>
          </w:tcPr>
          <w:p>
            <w:pPr>
              <w:ind w:left="160"/>
              <w:spacing w:after="0"/>
              <w:rPr>
                <w:sz w:val="20"/>
                <w:szCs w:val="20"/>
                <w:color w:val="auto"/>
              </w:rPr>
            </w:pPr>
            <w:r>
              <w:rPr>
                <w:rFonts w:ascii="Arial" w:cs="Arial" w:eastAsia="Arial" w:hAnsi="Arial"/>
                <w:sz w:val="18"/>
                <w:szCs w:val="18"/>
                <w:color w:val="auto"/>
              </w:rPr>
              <w:t>Liens</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7.02</w:t>
            </w:r>
          </w:p>
        </w:tc>
        <w:tc>
          <w:tcPr>
            <w:tcW w:w="788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7.03</w:t>
            </w:r>
          </w:p>
        </w:tc>
        <w:tc>
          <w:tcPr>
            <w:tcW w:w="7880" w:type="dxa"/>
            <w:vAlign w:val="bottom"/>
          </w:tcPr>
          <w:p>
            <w:pPr>
              <w:ind w:left="160"/>
              <w:spacing w:after="0"/>
              <w:rPr>
                <w:sz w:val="20"/>
                <w:szCs w:val="20"/>
                <w:color w:val="auto"/>
              </w:rPr>
            </w:pPr>
            <w:r>
              <w:rPr>
                <w:rFonts w:ascii="Arial" w:cs="Arial" w:eastAsia="Arial" w:hAnsi="Arial"/>
                <w:sz w:val="18"/>
                <w:szCs w:val="18"/>
                <w:color w:val="auto"/>
              </w:rPr>
              <w:t>Investments and Acquisitions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7.04</w:t>
            </w:r>
          </w:p>
        </w:tc>
        <w:tc>
          <w:tcPr>
            <w:tcW w:w="788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65"/>
        </w:trPr>
        <w:tc>
          <w:tcPr>
            <w:tcW w:w="960" w:type="dxa"/>
            <w:vAlign w:val="bottom"/>
          </w:tcPr>
          <w:p>
            <w:pPr>
              <w:spacing w:after="0"/>
              <w:rPr>
                <w:sz w:val="24"/>
                <w:szCs w:val="24"/>
                <w:color w:val="auto"/>
              </w:rPr>
            </w:pPr>
          </w:p>
        </w:tc>
        <w:tc>
          <w:tcPr>
            <w:tcW w:w="7880" w:type="dxa"/>
            <w:vAlign w:val="bottom"/>
          </w:tcPr>
          <w:p>
            <w:pPr>
              <w:jc w:val="center"/>
              <w:ind w:left="1530"/>
              <w:spacing w:after="0"/>
              <w:rPr>
                <w:sz w:val="20"/>
                <w:szCs w:val="20"/>
                <w:color w:val="auto"/>
              </w:rPr>
            </w:pPr>
            <w:r>
              <w:rPr>
                <w:rFonts w:ascii="Arial" w:cs="Arial" w:eastAsia="Arial" w:hAnsi="Arial"/>
                <w:sz w:val="18"/>
                <w:szCs w:val="18"/>
                <w:color w:val="auto"/>
              </w:rPr>
              <w:t>-iii-</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000" w:type="dxa"/>
            <w:vAlign w:val="bottom"/>
          </w:tcPr>
          <w:p>
            <w:pPr>
              <w:spacing w:after="0"/>
              <w:rPr>
                <w:sz w:val="19"/>
                <w:szCs w:val="19"/>
                <w:color w:val="auto"/>
              </w:rPr>
            </w:pPr>
          </w:p>
        </w:tc>
        <w:tc>
          <w:tcPr>
            <w:tcW w:w="784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7840" w:type="dxa"/>
            <w:vAlign w:val="bottom"/>
          </w:tcPr>
          <w:p>
            <w:pPr>
              <w:jc w:val="center"/>
              <w:ind w:left="1490"/>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20"/>
                <w:szCs w:val="20"/>
                <w:color w:val="auto"/>
              </w:rPr>
            </w:pPr>
          </w:p>
        </w:tc>
      </w:tr>
      <w:tr>
        <w:trPr>
          <w:trHeight w:val="312"/>
        </w:trPr>
        <w:tc>
          <w:tcPr>
            <w:tcW w:w="10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000" w:type="dxa"/>
            <w:vAlign w:val="bottom"/>
          </w:tcPr>
          <w:p>
            <w:pPr>
              <w:ind w:left="360"/>
              <w:spacing w:after="0"/>
              <w:rPr>
                <w:sz w:val="20"/>
                <w:szCs w:val="20"/>
                <w:color w:val="auto"/>
              </w:rPr>
            </w:pPr>
            <w:r>
              <w:rPr>
                <w:rFonts w:ascii="Arial" w:cs="Arial" w:eastAsia="Arial" w:hAnsi="Arial"/>
                <w:sz w:val="18"/>
                <w:szCs w:val="18"/>
                <w:color w:val="auto"/>
              </w:rPr>
              <w:t>7.05</w:t>
            </w:r>
          </w:p>
        </w:tc>
        <w:tc>
          <w:tcPr>
            <w:tcW w:w="7840" w:type="dxa"/>
            <w:vAlign w:val="bottom"/>
          </w:tcPr>
          <w:p>
            <w:pPr>
              <w:ind w:left="120"/>
              <w:spacing w:after="0"/>
              <w:rPr>
                <w:sz w:val="20"/>
                <w:szCs w:val="20"/>
                <w:color w:val="auto"/>
              </w:rPr>
            </w:pPr>
            <w:r>
              <w:rPr>
                <w:rFonts w:ascii="Arial" w:cs="Arial" w:eastAsia="Arial" w:hAnsi="Arial"/>
                <w:sz w:val="18"/>
                <w:szCs w:val="18"/>
                <w:color w:val="auto"/>
              </w:rPr>
              <w:t>Dispositions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7.06</w:t>
            </w:r>
          </w:p>
        </w:tc>
        <w:tc>
          <w:tcPr>
            <w:tcW w:w="784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7.07</w:t>
            </w:r>
          </w:p>
        </w:tc>
        <w:tc>
          <w:tcPr>
            <w:tcW w:w="7840" w:type="dxa"/>
            <w:vAlign w:val="bottom"/>
          </w:tcPr>
          <w:p>
            <w:pPr>
              <w:ind w:left="120"/>
              <w:spacing w:after="0"/>
              <w:rPr>
                <w:sz w:val="20"/>
                <w:szCs w:val="20"/>
                <w:color w:val="auto"/>
              </w:rPr>
            </w:pPr>
            <w:r>
              <w:rPr>
                <w:rFonts w:ascii="Arial" w:cs="Arial" w:eastAsia="Arial" w:hAnsi="Arial"/>
                <w:sz w:val="18"/>
                <w:szCs w:val="18"/>
                <w:color w:val="auto"/>
              </w:rPr>
              <w:t>Change in Nature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7.08</w:t>
            </w:r>
          </w:p>
        </w:tc>
        <w:tc>
          <w:tcPr>
            <w:tcW w:w="784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24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7.09</w:t>
            </w:r>
          </w:p>
        </w:tc>
        <w:tc>
          <w:tcPr>
            <w:tcW w:w="7840" w:type="dxa"/>
            <w:vAlign w:val="bottom"/>
          </w:tcPr>
          <w:p>
            <w:pPr>
              <w:ind w:left="120"/>
              <w:spacing w:after="0"/>
              <w:rPr>
                <w:sz w:val="20"/>
                <w:szCs w:val="20"/>
                <w:color w:val="auto"/>
              </w:rPr>
            </w:pPr>
            <w:r>
              <w:rPr>
                <w:rFonts w:ascii="Arial" w:cs="Arial" w:eastAsia="Arial" w:hAnsi="Arial"/>
                <w:sz w:val="18"/>
                <w:szCs w:val="18"/>
                <w:color w:val="auto"/>
              </w:rPr>
              <w:t>Burdensome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7.10</w:t>
            </w:r>
          </w:p>
        </w:tc>
        <w:tc>
          <w:tcPr>
            <w:tcW w:w="78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7.11</w:t>
            </w:r>
          </w:p>
        </w:tc>
        <w:tc>
          <w:tcPr>
            <w:tcW w:w="7840" w:type="dxa"/>
            <w:vAlign w:val="bottom"/>
          </w:tcPr>
          <w:p>
            <w:pPr>
              <w:ind w:left="120"/>
              <w:spacing w:after="0"/>
              <w:rPr>
                <w:sz w:val="20"/>
                <w:szCs w:val="20"/>
                <w:color w:val="auto"/>
              </w:rPr>
            </w:pPr>
            <w:r>
              <w:rPr>
                <w:rFonts w:ascii="Arial" w:cs="Arial" w:eastAsia="Arial" w:hAnsi="Arial"/>
                <w:sz w:val="18"/>
                <w:szCs w:val="18"/>
                <w:color w:val="auto"/>
              </w:rPr>
              <w:t>Amendments of Organization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7.12</w:t>
            </w:r>
          </w:p>
        </w:tc>
        <w:tc>
          <w:tcPr>
            <w:tcW w:w="7840" w:type="dxa"/>
            <w:vAlign w:val="bottom"/>
          </w:tcPr>
          <w:p>
            <w:pPr>
              <w:ind w:left="120"/>
              <w:spacing w:after="0"/>
              <w:rPr>
                <w:sz w:val="20"/>
                <w:szCs w:val="20"/>
                <w:color w:val="auto"/>
              </w:rPr>
            </w:pPr>
            <w:r>
              <w:rPr>
                <w:rFonts w:ascii="Arial" w:cs="Arial" w:eastAsia="Arial" w:hAnsi="Arial"/>
                <w:sz w:val="18"/>
                <w:szCs w:val="18"/>
                <w:color w:val="auto"/>
              </w:rPr>
              <w:t>Accounting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7.13</w:t>
            </w:r>
          </w:p>
        </w:tc>
        <w:tc>
          <w:tcPr>
            <w:tcW w:w="7840" w:type="dxa"/>
            <w:vAlign w:val="bottom"/>
          </w:tcPr>
          <w:p>
            <w:pPr>
              <w:ind w:left="120"/>
              <w:spacing w:after="0"/>
              <w:rPr>
                <w:sz w:val="20"/>
                <w:szCs w:val="20"/>
                <w:color w:val="auto"/>
              </w:rPr>
            </w:pPr>
            <w:r>
              <w:rPr>
                <w:rFonts w:ascii="Arial" w:cs="Arial" w:eastAsia="Arial" w:hAnsi="Arial"/>
                <w:sz w:val="18"/>
                <w:szCs w:val="18"/>
                <w:color w:val="auto"/>
              </w:rPr>
              <w:t>Sanctions; FCPA</w:t>
            </w:r>
          </w:p>
        </w:tc>
        <w:tc>
          <w:tcPr>
            <w:tcW w:w="24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7.14</w:t>
            </w:r>
          </w:p>
        </w:tc>
        <w:tc>
          <w:tcPr>
            <w:tcW w:w="7840" w:type="dxa"/>
            <w:vAlign w:val="bottom"/>
          </w:tcPr>
          <w:p>
            <w:pPr>
              <w:ind w:left="120"/>
              <w:spacing w:after="0"/>
              <w:rPr>
                <w:sz w:val="20"/>
                <w:szCs w:val="20"/>
                <w:color w:val="auto"/>
              </w:rPr>
            </w:pPr>
            <w:r>
              <w:rPr>
                <w:rFonts w:ascii="Arial" w:cs="Arial" w:eastAsia="Arial" w:hAnsi="Arial"/>
                <w:sz w:val="18"/>
                <w:szCs w:val="18"/>
                <w:color w:val="auto"/>
              </w:rPr>
              <w:t>Financial Covenant</w:t>
            </w:r>
          </w:p>
        </w:tc>
        <w:tc>
          <w:tcPr>
            <w:tcW w:w="24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7.15</w:t>
            </w:r>
          </w:p>
        </w:tc>
        <w:tc>
          <w:tcPr>
            <w:tcW w:w="7840" w:type="dxa"/>
            <w:vAlign w:val="bottom"/>
          </w:tcPr>
          <w:p>
            <w:pPr>
              <w:ind w:left="120"/>
              <w:spacing w:after="0"/>
              <w:rPr>
                <w:sz w:val="20"/>
                <w:szCs w:val="20"/>
                <w:color w:val="auto"/>
              </w:rPr>
            </w:pPr>
            <w:r>
              <w:rPr>
                <w:rFonts w:ascii="Arial" w:cs="Arial" w:eastAsia="Arial" w:hAnsi="Arial"/>
                <w:sz w:val="18"/>
                <w:szCs w:val="18"/>
                <w:color w:val="auto"/>
              </w:rPr>
              <w:t>Restrictions Pertaining to Certain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7.16</w:t>
            </w:r>
          </w:p>
        </w:tc>
        <w:tc>
          <w:tcPr>
            <w:tcW w:w="7840" w:type="dxa"/>
            <w:vAlign w:val="bottom"/>
          </w:tcPr>
          <w:p>
            <w:pPr>
              <w:ind w:left="120"/>
              <w:spacing w:after="0"/>
              <w:rPr>
                <w:sz w:val="20"/>
                <w:szCs w:val="20"/>
                <w:color w:val="auto"/>
              </w:rPr>
            </w:pPr>
            <w:r>
              <w:rPr>
                <w:rFonts w:ascii="Arial" w:cs="Arial" w:eastAsia="Arial" w:hAnsi="Arial"/>
                <w:sz w:val="18"/>
                <w:szCs w:val="18"/>
                <w:color w:val="auto"/>
              </w:rPr>
              <w:t>New Notes</w:t>
            </w:r>
          </w:p>
        </w:tc>
        <w:tc>
          <w:tcPr>
            <w:tcW w:w="2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VIII</w:t>
            </w:r>
          </w:p>
        </w:tc>
        <w:tc>
          <w:tcPr>
            <w:tcW w:w="7840" w:type="dxa"/>
            <w:vAlign w:val="bottom"/>
          </w:tcPr>
          <w:p>
            <w:pPr>
              <w:ind w:left="480"/>
              <w:spacing w:after="0"/>
              <w:rPr>
                <w:sz w:val="20"/>
                <w:szCs w:val="20"/>
                <w:color w:val="auto"/>
              </w:rPr>
            </w:pPr>
            <w:r>
              <w:rPr>
                <w:rFonts w:ascii="Arial" w:cs="Arial" w:eastAsia="Arial" w:hAnsi="Arial"/>
                <w:sz w:val="18"/>
                <w:szCs w:val="18"/>
                <w:color w:val="auto"/>
              </w:rPr>
              <w:t>EVENTS OF DEFAULT AND 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8.01</w:t>
            </w:r>
          </w:p>
        </w:tc>
        <w:tc>
          <w:tcPr>
            <w:tcW w:w="784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8.02</w:t>
            </w:r>
          </w:p>
        </w:tc>
        <w:tc>
          <w:tcPr>
            <w:tcW w:w="784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8.03</w:t>
            </w:r>
          </w:p>
        </w:tc>
        <w:tc>
          <w:tcPr>
            <w:tcW w:w="7840" w:type="dxa"/>
            <w:vAlign w:val="bottom"/>
          </w:tcPr>
          <w:p>
            <w:pPr>
              <w:ind w:left="120"/>
              <w:spacing w:after="0"/>
              <w:rPr>
                <w:sz w:val="20"/>
                <w:szCs w:val="20"/>
                <w:color w:val="auto"/>
              </w:rPr>
            </w:pPr>
            <w:r>
              <w:rPr>
                <w:rFonts w:ascii="Arial" w:cs="Arial" w:eastAsia="Arial" w:hAnsi="Arial"/>
                <w:sz w:val="18"/>
                <w:szCs w:val="18"/>
                <w:color w:val="auto"/>
              </w:rPr>
              <w:t>Application of Funds</w:t>
            </w:r>
          </w:p>
        </w:tc>
        <w:tc>
          <w:tcPr>
            <w:tcW w:w="24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IX</w:t>
            </w:r>
          </w:p>
        </w:tc>
        <w:tc>
          <w:tcPr>
            <w:tcW w:w="7840" w:type="dxa"/>
            <w:vAlign w:val="bottom"/>
          </w:tcPr>
          <w:p>
            <w:pPr>
              <w:ind w:left="480"/>
              <w:spacing w:after="0"/>
              <w:rPr>
                <w:sz w:val="20"/>
                <w:szCs w:val="20"/>
                <w:color w:val="auto"/>
              </w:rPr>
            </w:pPr>
            <w:r>
              <w:rPr>
                <w:rFonts w:ascii="Arial" w:cs="Arial" w:eastAsia="Arial" w:hAnsi="Arial"/>
                <w:sz w:val="18"/>
                <w:szCs w:val="18"/>
                <w:color w:val="auto"/>
              </w:rPr>
              <w:t>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9.01</w:t>
            </w:r>
          </w:p>
        </w:tc>
        <w:tc>
          <w:tcPr>
            <w:tcW w:w="7840" w:type="dxa"/>
            <w:vAlign w:val="bottom"/>
          </w:tcPr>
          <w:p>
            <w:pPr>
              <w:ind w:left="120"/>
              <w:spacing w:after="0"/>
              <w:rPr>
                <w:sz w:val="20"/>
                <w:szCs w:val="20"/>
                <w:color w:val="auto"/>
              </w:rPr>
            </w:pPr>
            <w:r>
              <w:rPr>
                <w:rFonts w:ascii="Arial" w:cs="Arial" w:eastAsia="Arial" w:hAnsi="Arial"/>
                <w:sz w:val="18"/>
                <w:szCs w:val="18"/>
                <w:color w:val="auto"/>
              </w:rPr>
              <w:t>Appointment and Authority</w:t>
            </w:r>
          </w:p>
        </w:tc>
        <w:tc>
          <w:tcPr>
            <w:tcW w:w="24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9.02</w:t>
            </w:r>
          </w:p>
        </w:tc>
        <w:tc>
          <w:tcPr>
            <w:tcW w:w="7840" w:type="dxa"/>
            <w:vAlign w:val="bottom"/>
          </w:tcPr>
          <w:p>
            <w:pPr>
              <w:ind w:left="120"/>
              <w:spacing w:after="0"/>
              <w:rPr>
                <w:sz w:val="20"/>
                <w:szCs w:val="20"/>
                <w:color w:val="auto"/>
              </w:rPr>
            </w:pPr>
            <w:r>
              <w:rPr>
                <w:rFonts w:ascii="Arial" w:cs="Arial" w:eastAsia="Arial" w:hAnsi="Arial"/>
                <w:sz w:val="18"/>
                <w:szCs w:val="18"/>
                <w:color w:val="auto"/>
              </w:rPr>
              <w:t>Rights as a Lender</w:t>
            </w:r>
          </w:p>
        </w:tc>
        <w:tc>
          <w:tcPr>
            <w:tcW w:w="24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9.03</w:t>
            </w:r>
          </w:p>
        </w:tc>
        <w:tc>
          <w:tcPr>
            <w:tcW w:w="784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9.04</w:t>
            </w:r>
          </w:p>
        </w:tc>
        <w:tc>
          <w:tcPr>
            <w:tcW w:w="7840" w:type="dxa"/>
            <w:vAlign w:val="bottom"/>
          </w:tcPr>
          <w:p>
            <w:pPr>
              <w:ind w:left="120"/>
              <w:spacing w:after="0"/>
              <w:rPr>
                <w:sz w:val="20"/>
                <w:szCs w:val="20"/>
                <w:color w:val="auto"/>
              </w:rPr>
            </w:pPr>
            <w:r>
              <w:rPr>
                <w:rFonts w:ascii="Arial" w:cs="Arial" w:eastAsia="Arial" w:hAnsi="Arial"/>
                <w:sz w:val="18"/>
                <w:szCs w:val="18"/>
                <w:color w:val="auto"/>
              </w:rPr>
              <w:t>Reliance by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9.05</w:t>
            </w:r>
          </w:p>
        </w:tc>
        <w:tc>
          <w:tcPr>
            <w:tcW w:w="784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4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9.06</w:t>
            </w:r>
          </w:p>
        </w:tc>
        <w:tc>
          <w:tcPr>
            <w:tcW w:w="7840" w:type="dxa"/>
            <w:vAlign w:val="bottom"/>
          </w:tcPr>
          <w:p>
            <w:pPr>
              <w:ind w:left="120"/>
              <w:spacing w:after="0"/>
              <w:rPr>
                <w:sz w:val="20"/>
                <w:szCs w:val="20"/>
                <w:color w:val="auto"/>
              </w:rPr>
            </w:pPr>
            <w:r>
              <w:rPr>
                <w:rFonts w:ascii="Arial" w:cs="Arial" w:eastAsia="Arial" w:hAnsi="Arial"/>
                <w:sz w:val="18"/>
                <w:szCs w:val="18"/>
                <w:color w:val="auto"/>
              </w:rPr>
              <w:t>Resignation of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9.07</w:t>
            </w:r>
          </w:p>
        </w:tc>
        <w:tc>
          <w:tcPr>
            <w:tcW w:w="7840" w:type="dxa"/>
            <w:vAlign w:val="bottom"/>
          </w:tcPr>
          <w:p>
            <w:pPr>
              <w:ind w:left="120"/>
              <w:spacing w:after="0"/>
              <w:rPr>
                <w:sz w:val="20"/>
                <w:szCs w:val="20"/>
                <w:color w:val="auto"/>
              </w:rPr>
            </w:pPr>
            <w:r>
              <w:rPr>
                <w:rFonts w:ascii="Arial" w:cs="Arial" w:eastAsia="Arial" w:hAnsi="Arial"/>
                <w:sz w:val="18"/>
                <w:szCs w:val="18"/>
                <w:color w:val="auto"/>
              </w:rPr>
              <w:t>Non-Reliance on Administrative Agent and Other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9.08</w:t>
            </w:r>
          </w:p>
        </w:tc>
        <w:tc>
          <w:tcPr>
            <w:tcW w:w="784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24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9.09</w:t>
            </w:r>
          </w:p>
        </w:tc>
        <w:tc>
          <w:tcPr>
            <w:tcW w:w="7840" w:type="dxa"/>
            <w:vAlign w:val="bottom"/>
          </w:tcPr>
          <w:p>
            <w:pPr>
              <w:ind w:left="120"/>
              <w:spacing w:after="0"/>
              <w:rPr>
                <w:sz w:val="20"/>
                <w:szCs w:val="20"/>
                <w:color w:val="auto"/>
              </w:rPr>
            </w:pPr>
            <w:r>
              <w:rPr>
                <w:rFonts w:ascii="Arial" w:cs="Arial" w:eastAsia="Arial" w:hAnsi="Arial"/>
                <w:sz w:val="18"/>
                <w:szCs w:val="18"/>
                <w:color w:val="auto"/>
              </w:rPr>
              <w:t>Administrative Agent May File Proofs of Claim; Credit Bidding</w:t>
            </w:r>
          </w:p>
        </w:tc>
        <w:tc>
          <w:tcPr>
            <w:tcW w:w="24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9.10</w:t>
            </w:r>
          </w:p>
        </w:tc>
        <w:tc>
          <w:tcPr>
            <w:tcW w:w="7840" w:type="dxa"/>
            <w:vAlign w:val="bottom"/>
          </w:tcPr>
          <w:p>
            <w:pPr>
              <w:ind w:left="120"/>
              <w:spacing w:after="0"/>
              <w:rPr>
                <w:sz w:val="20"/>
                <w:szCs w:val="20"/>
                <w:color w:val="auto"/>
              </w:rPr>
            </w:pPr>
            <w:r>
              <w:rPr>
                <w:rFonts w:ascii="Arial" w:cs="Arial" w:eastAsia="Arial" w:hAnsi="Arial"/>
                <w:sz w:val="18"/>
                <w:szCs w:val="18"/>
                <w:color w:val="auto"/>
              </w:rPr>
              <w:t>Collateral and Guaranty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9.11</w:t>
            </w:r>
          </w:p>
        </w:tc>
        <w:tc>
          <w:tcPr>
            <w:tcW w:w="7840" w:type="dxa"/>
            <w:vAlign w:val="bottom"/>
          </w:tcPr>
          <w:p>
            <w:pPr>
              <w:ind w:left="120"/>
              <w:spacing w:after="0"/>
              <w:rPr>
                <w:sz w:val="20"/>
                <w:szCs w:val="20"/>
                <w:color w:val="auto"/>
              </w:rPr>
            </w:pPr>
            <w:r>
              <w:rPr>
                <w:rFonts w:ascii="Arial" w:cs="Arial" w:eastAsia="Arial" w:hAnsi="Arial"/>
                <w:sz w:val="18"/>
                <w:szCs w:val="18"/>
                <w:color w:val="auto"/>
              </w:rPr>
              <w:t>Secured Cash Management Agreements and Secured Hedge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X</w:t>
            </w:r>
          </w:p>
        </w:tc>
        <w:tc>
          <w:tcPr>
            <w:tcW w:w="7840" w:type="dxa"/>
            <w:vAlign w:val="bottom"/>
          </w:tcPr>
          <w:p>
            <w:pPr>
              <w:ind w:left="480"/>
              <w:spacing w:after="0"/>
              <w:rPr>
                <w:sz w:val="20"/>
                <w:szCs w:val="20"/>
                <w:color w:val="auto"/>
              </w:rPr>
            </w:pPr>
            <w:r>
              <w:rPr>
                <w:rFonts w:ascii="Arial" w:cs="Arial" w:eastAsia="Arial" w:hAnsi="Arial"/>
                <w:sz w:val="18"/>
                <w:szCs w:val="18"/>
                <w:color w:val="auto"/>
              </w:rPr>
              <w:t>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10.01</w:t>
            </w:r>
          </w:p>
        </w:tc>
        <w:tc>
          <w:tcPr>
            <w:tcW w:w="7840" w:type="dxa"/>
            <w:vAlign w:val="bottom"/>
          </w:tcPr>
          <w:p>
            <w:pPr>
              <w:ind w:left="120"/>
              <w:spacing w:after="0"/>
              <w:rPr>
                <w:sz w:val="20"/>
                <w:szCs w:val="20"/>
                <w:color w:val="auto"/>
              </w:rPr>
            </w:pPr>
            <w:r>
              <w:rPr>
                <w:rFonts w:ascii="Arial" w:cs="Arial" w:eastAsia="Arial" w:hAnsi="Arial"/>
                <w:sz w:val="18"/>
                <w:szCs w:val="18"/>
                <w:color w:val="auto"/>
              </w:rPr>
              <w:t>Amendments, Etc.</w:t>
            </w:r>
          </w:p>
        </w:tc>
        <w:tc>
          <w:tcPr>
            <w:tcW w:w="24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65"/>
        </w:trPr>
        <w:tc>
          <w:tcPr>
            <w:tcW w:w="1000" w:type="dxa"/>
            <w:vAlign w:val="bottom"/>
          </w:tcPr>
          <w:p>
            <w:pPr>
              <w:spacing w:after="0"/>
              <w:rPr>
                <w:sz w:val="24"/>
                <w:szCs w:val="24"/>
                <w:color w:val="auto"/>
              </w:rPr>
            </w:pPr>
          </w:p>
        </w:tc>
        <w:tc>
          <w:tcPr>
            <w:tcW w:w="7840" w:type="dxa"/>
            <w:vAlign w:val="bottom"/>
          </w:tcPr>
          <w:p>
            <w:pPr>
              <w:jc w:val="center"/>
              <w:ind w:left="1490"/>
              <w:spacing w:after="0"/>
              <w:rPr>
                <w:sz w:val="20"/>
                <w:szCs w:val="20"/>
                <w:color w:val="auto"/>
              </w:rPr>
            </w:pPr>
            <w:r>
              <w:rPr>
                <w:rFonts w:ascii="Arial" w:cs="Arial" w:eastAsia="Arial" w:hAnsi="Arial"/>
                <w:sz w:val="18"/>
                <w:szCs w:val="18"/>
                <w:color w:val="auto"/>
              </w:rPr>
              <w:t>-iv-</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75" w:name="page176"/>
    <w:bookmarkEnd w:id="175"/>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10.02</w:t>
            </w:r>
          </w:p>
        </w:tc>
        <w:tc>
          <w:tcPr>
            <w:tcW w:w="7560" w:type="dxa"/>
            <w:vAlign w:val="bottom"/>
          </w:tcPr>
          <w:p>
            <w:pPr>
              <w:ind w:left="160"/>
              <w:spacing w:after="0"/>
              <w:rPr>
                <w:sz w:val="20"/>
                <w:szCs w:val="20"/>
                <w:color w:val="auto"/>
              </w:rPr>
            </w:pPr>
            <w:r>
              <w:rPr>
                <w:rFonts w:ascii="Arial" w:cs="Arial" w:eastAsia="Arial" w:hAnsi="Arial"/>
                <w:sz w:val="18"/>
                <w:szCs w:val="18"/>
                <w:color w:val="auto"/>
              </w:rPr>
              <w:t>Notices; Effectiveness; Electronic Communications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10.03</w:t>
            </w:r>
          </w:p>
        </w:tc>
        <w:tc>
          <w:tcPr>
            <w:tcW w:w="7560" w:type="dxa"/>
            <w:vAlign w:val="bottom"/>
          </w:tcPr>
          <w:p>
            <w:pPr>
              <w:ind w:left="160"/>
              <w:spacing w:after="0"/>
              <w:rPr>
                <w:sz w:val="20"/>
                <w:szCs w:val="20"/>
                <w:color w:val="auto"/>
              </w:rPr>
            </w:pPr>
            <w:r>
              <w:rPr>
                <w:rFonts w:ascii="Arial" w:cs="Arial" w:eastAsia="Arial" w:hAnsi="Arial"/>
                <w:sz w:val="18"/>
                <w:szCs w:val="18"/>
                <w:color w:val="auto"/>
              </w:rPr>
              <w:t>No Waiver; Cumulative Remedies; Enforcement</w:t>
            </w:r>
          </w:p>
        </w:tc>
        <w:tc>
          <w:tcPr>
            <w:tcW w:w="28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10.04</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 Indemnity; Damage Waiver</w:t>
            </w:r>
          </w:p>
        </w:tc>
        <w:tc>
          <w:tcPr>
            <w:tcW w:w="28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10.05</w:t>
            </w:r>
          </w:p>
        </w:tc>
        <w:tc>
          <w:tcPr>
            <w:tcW w:w="7560" w:type="dxa"/>
            <w:vAlign w:val="bottom"/>
          </w:tcPr>
          <w:p>
            <w:pPr>
              <w:ind w:left="160"/>
              <w:spacing w:after="0"/>
              <w:rPr>
                <w:sz w:val="20"/>
                <w:szCs w:val="20"/>
                <w:color w:val="auto"/>
              </w:rPr>
            </w:pPr>
            <w:r>
              <w:rPr>
                <w:rFonts w:ascii="Arial" w:cs="Arial" w:eastAsia="Arial" w:hAnsi="Arial"/>
                <w:sz w:val="18"/>
                <w:szCs w:val="18"/>
                <w:color w:val="auto"/>
              </w:rPr>
              <w:t>Payments Set Aside</w:t>
            </w:r>
          </w:p>
        </w:tc>
        <w:tc>
          <w:tcPr>
            <w:tcW w:w="28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10.06</w:t>
            </w:r>
          </w:p>
        </w:tc>
        <w:tc>
          <w:tcPr>
            <w:tcW w:w="75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8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10.07</w:t>
            </w:r>
          </w:p>
        </w:tc>
        <w:tc>
          <w:tcPr>
            <w:tcW w:w="7560" w:type="dxa"/>
            <w:vAlign w:val="bottom"/>
          </w:tcPr>
          <w:p>
            <w:pPr>
              <w:ind w:left="160"/>
              <w:spacing w:after="0"/>
              <w:rPr>
                <w:sz w:val="20"/>
                <w:szCs w:val="20"/>
                <w:color w:val="auto"/>
              </w:rPr>
            </w:pPr>
            <w:r>
              <w:rPr>
                <w:rFonts w:ascii="Arial" w:cs="Arial" w:eastAsia="Arial" w:hAnsi="Arial"/>
                <w:sz w:val="18"/>
                <w:szCs w:val="18"/>
                <w:color w:val="auto"/>
              </w:rPr>
              <w:t>Treatment of Certain Information; Confidentiality</w:t>
            </w:r>
          </w:p>
        </w:tc>
        <w:tc>
          <w:tcPr>
            <w:tcW w:w="28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10.08</w:t>
            </w:r>
          </w:p>
        </w:tc>
        <w:tc>
          <w:tcPr>
            <w:tcW w:w="756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28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10.09</w:t>
            </w:r>
          </w:p>
        </w:tc>
        <w:tc>
          <w:tcPr>
            <w:tcW w:w="7560" w:type="dxa"/>
            <w:vAlign w:val="bottom"/>
          </w:tcPr>
          <w:p>
            <w:pPr>
              <w:ind w:left="160"/>
              <w:spacing w:after="0"/>
              <w:rPr>
                <w:sz w:val="20"/>
                <w:szCs w:val="20"/>
                <w:color w:val="auto"/>
              </w:rPr>
            </w:pPr>
            <w:r>
              <w:rPr>
                <w:rFonts w:ascii="Arial" w:cs="Arial" w:eastAsia="Arial" w:hAnsi="Arial"/>
                <w:sz w:val="18"/>
                <w:szCs w:val="18"/>
                <w:color w:val="auto"/>
              </w:rPr>
              <w:t>Interest Rate Limitation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10.10</w:t>
            </w:r>
          </w:p>
        </w:tc>
        <w:tc>
          <w:tcPr>
            <w:tcW w:w="7560" w:type="dxa"/>
            <w:vAlign w:val="bottom"/>
          </w:tcPr>
          <w:p>
            <w:pPr>
              <w:ind w:left="160"/>
              <w:spacing w:after="0"/>
              <w:rPr>
                <w:sz w:val="20"/>
                <w:szCs w:val="20"/>
                <w:color w:val="auto"/>
              </w:rPr>
            </w:pPr>
            <w:r>
              <w:rPr>
                <w:rFonts w:ascii="Arial" w:cs="Arial" w:eastAsia="Arial" w:hAnsi="Arial"/>
                <w:sz w:val="18"/>
                <w:szCs w:val="18"/>
                <w:color w:val="auto"/>
              </w:rPr>
              <w:t>Counterparts; Integration; Effectiveness</w:t>
            </w:r>
          </w:p>
        </w:tc>
        <w:tc>
          <w:tcPr>
            <w:tcW w:w="28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2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10.11</w:t>
            </w:r>
          </w:p>
        </w:tc>
        <w:tc>
          <w:tcPr>
            <w:tcW w:w="7560" w:type="dxa"/>
            <w:vAlign w:val="bottom"/>
          </w:tcPr>
          <w:p>
            <w:pPr>
              <w:ind w:left="160"/>
              <w:spacing w:after="0"/>
              <w:rPr>
                <w:sz w:val="20"/>
                <w:szCs w:val="20"/>
                <w:color w:val="auto"/>
              </w:rPr>
            </w:pPr>
            <w:r>
              <w:rPr>
                <w:rFonts w:ascii="Arial" w:cs="Arial" w:eastAsia="Arial" w:hAnsi="Arial"/>
                <w:sz w:val="18"/>
                <w:szCs w:val="18"/>
                <w:color w:val="auto"/>
              </w:rPr>
              <w:t>Survival of Representations and Warranties</w:t>
            </w:r>
          </w:p>
        </w:tc>
        <w:tc>
          <w:tcPr>
            <w:tcW w:w="28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10.12</w:t>
            </w:r>
          </w:p>
        </w:tc>
        <w:tc>
          <w:tcPr>
            <w:tcW w:w="75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10.13</w:t>
            </w:r>
          </w:p>
        </w:tc>
        <w:tc>
          <w:tcPr>
            <w:tcW w:w="7560" w:type="dxa"/>
            <w:vAlign w:val="bottom"/>
          </w:tcPr>
          <w:p>
            <w:pPr>
              <w:ind w:left="160"/>
              <w:spacing w:after="0"/>
              <w:rPr>
                <w:sz w:val="20"/>
                <w:szCs w:val="20"/>
                <w:color w:val="auto"/>
              </w:rPr>
            </w:pPr>
            <w:r>
              <w:rPr>
                <w:rFonts w:ascii="Arial" w:cs="Arial" w:eastAsia="Arial" w:hAnsi="Arial"/>
                <w:sz w:val="18"/>
                <w:szCs w:val="18"/>
                <w:color w:val="auto"/>
              </w:rPr>
              <w:t>Replacement of Lenders</w:t>
            </w:r>
          </w:p>
        </w:tc>
        <w:tc>
          <w:tcPr>
            <w:tcW w:w="28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10.14</w:t>
            </w:r>
          </w:p>
        </w:tc>
        <w:tc>
          <w:tcPr>
            <w:tcW w:w="7560" w:type="dxa"/>
            <w:vAlign w:val="bottom"/>
          </w:tcPr>
          <w:p>
            <w:pPr>
              <w:ind w:left="160"/>
              <w:spacing w:after="0"/>
              <w:rPr>
                <w:sz w:val="20"/>
                <w:szCs w:val="20"/>
                <w:color w:val="auto"/>
              </w:rPr>
            </w:pPr>
            <w:r>
              <w:rPr>
                <w:rFonts w:ascii="Arial" w:cs="Arial" w:eastAsia="Arial" w:hAnsi="Arial"/>
                <w:sz w:val="18"/>
                <w:szCs w:val="18"/>
                <w:color w:val="auto"/>
              </w:rPr>
              <w:t>Governing Law; Jurisdiction; Etc.</w:t>
            </w:r>
          </w:p>
        </w:tc>
        <w:tc>
          <w:tcPr>
            <w:tcW w:w="28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10.15</w:t>
            </w:r>
          </w:p>
        </w:tc>
        <w:tc>
          <w:tcPr>
            <w:tcW w:w="756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28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10.16</w:t>
            </w:r>
          </w:p>
        </w:tc>
        <w:tc>
          <w:tcPr>
            <w:tcW w:w="7560" w:type="dxa"/>
            <w:vAlign w:val="bottom"/>
          </w:tcPr>
          <w:p>
            <w:pPr>
              <w:ind w:left="160"/>
              <w:spacing w:after="0"/>
              <w:rPr>
                <w:sz w:val="20"/>
                <w:szCs w:val="20"/>
                <w:color w:val="auto"/>
              </w:rPr>
            </w:pPr>
            <w:r>
              <w:rPr>
                <w:rFonts w:ascii="Arial" w:cs="Arial" w:eastAsia="Arial" w:hAnsi="Arial"/>
                <w:sz w:val="18"/>
                <w:szCs w:val="18"/>
                <w:color w:val="auto"/>
              </w:rPr>
              <w:t>No Advisory or Fiduciary Responsibility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10.17</w:t>
            </w:r>
          </w:p>
        </w:tc>
        <w:tc>
          <w:tcPr>
            <w:tcW w:w="7560" w:type="dxa"/>
            <w:vAlign w:val="bottom"/>
          </w:tcPr>
          <w:p>
            <w:pPr>
              <w:ind w:left="160"/>
              <w:spacing w:after="0"/>
              <w:rPr>
                <w:sz w:val="20"/>
                <w:szCs w:val="20"/>
                <w:color w:val="auto"/>
              </w:rPr>
            </w:pPr>
            <w:r>
              <w:rPr>
                <w:rFonts w:ascii="Arial" w:cs="Arial" w:eastAsia="Arial" w:hAnsi="Arial"/>
                <w:sz w:val="18"/>
                <w:szCs w:val="18"/>
                <w:color w:val="auto"/>
              </w:rPr>
              <w:t>Electronic Execution of Assignments and Certain Other Documents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10.18</w:t>
            </w:r>
          </w:p>
        </w:tc>
        <w:tc>
          <w:tcPr>
            <w:tcW w:w="756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2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10.19</w:t>
            </w:r>
          </w:p>
        </w:tc>
        <w:tc>
          <w:tcPr>
            <w:tcW w:w="7560" w:type="dxa"/>
            <w:vAlign w:val="bottom"/>
          </w:tcPr>
          <w:p>
            <w:pPr>
              <w:ind w:left="160"/>
              <w:spacing w:after="0"/>
              <w:rPr>
                <w:sz w:val="20"/>
                <w:szCs w:val="20"/>
                <w:color w:val="auto"/>
              </w:rPr>
            </w:pPr>
            <w:r>
              <w:rPr>
                <w:rFonts w:ascii="Arial" w:cs="Arial" w:eastAsia="Arial" w:hAnsi="Arial"/>
                <w:sz w:val="18"/>
                <w:szCs w:val="18"/>
                <w:color w:val="auto"/>
              </w:rPr>
              <w:t>Inconsistencies with Other Documents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65"/>
        </w:trPr>
        <w:tc>
          <w:tcPr>
            <w:tcW w:w="600" w:type="dxa"/>
            <w:vAlign w:val="bottom"/>
          </w:tcPr>
          <w:p>
            <w:pPr>
              <w:spacing w:after="0"/>
              <w:rPr>
                <w:sz w:val="24"/>
                <w:szCs w:val="24"/>
                <w:color w:val="auto"/>
              </w:rPr>
            </w:pPr>
          </w:p>
        </w:tc>
        <w:tc>
          <w:tcPr>
            <w:tcW w:w="7560" w:type="dxa"/>
            <w:vAlign w:val="bottom"/>
          </w:tcPr>
          <w:p>
            <w:pPr>
              <w:ind w:left="4640"/>
              <w:spacing w:after="0"/>
              <w:rPr>
                <w:sz w:val="20"/>
                <w:szCs w:val="20"/>
                <w:color w:val="auto"/>
              </w:rPr>
            </w:pPr>
            <w:r>
              <w:rPr>
                <w:rFonts w:ascii="Arial" w:cs="Arial" w:eastAsia="Arial" w:hAnsi="Arial"/>
                <w:sz w:val="18"/>
                <w:szCs w:val="18"/>
                <w:color w:val="auto"/>
              </w:rPr>
              <w:t>-v-</w:t>
            </w:r>
          </w:p>
        </w:tc>
        <w:tc>
          <w:tcPr>
            <w:tcW w:w="2800" w:type="dxa"/>
            <w:vAlign w:val="bottom"/>
          </w:tcPr>
          <w:p>
            <w:pPr>
              <w:spacing w:after="0"/>
              <w:rPr>
                <w:sz w:val="24"/>
                <w:szCs w:val="24"/>
                <w:color w:val="auto"/>
              </w:rPr>
            </w:pPr>
          </w:p>
        </w:tc>
      </w:tr>
    </w:tbl>
    <w:p>
      <w:pPr>
        <w:sectPr>
          <w:pgSz w:w="11900" w:h="16838" w:orient="portrait"/>
          <w:cols w:equalWidth="0" w:num="1">
            <w:col w:w="10960"/>
          </w:cols>
          <w:pgMar w:left="600" w:top="270" w:right="33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SCHEDULES</w:t>
            </w:r>
          </w:p>
        </w:tc>
        <w:tc>
          <w:tcPr>
            <w:tcW w:w="4680" w:type="dxa"/>
            <w:vAlign w:val="bottom"/>
          </w:tcPr>
          <w:p>
            <w:pPr>
              <w:spacing w:after="0"/>
              <w:rPr>
                <w:sz w:val="20"/>
                <w:szCs w:val="20"/>
                <w:color w:val="auto"/>
              </w:rPr>
            </w:pPr>
          </w:p>
        </w:tc>
      </w:tr>
      <w:tr>
        <w:trPr>
          <w:trHeight w:val="445"/>
        </w:trPr>
        <w:tc>
          <w:tcPr>
            <w:tcW w:w="1120" w:type="dxa"/>
            <w:vAlign w:val="bottom"/>
          </w:tcPr>
          <w:p>
            <w:pPr>
              <w:ind w:left="460"/>
              <w:spacing w:after="0"/>
              <w:rPr>
                <w:sz w:val="20"/>
                <w:szCs w:val="20"/>
                <w:color w:val="auto"/>
              </w:rPr>
            </w:pPr>
            <w:r>
              <w:rPr>
                <w:rFonts w:ascii="Arial" w:cs="Arial" w:eastAsia="Arial" w:hAnsi="Arial"/>
                <w:sz w:val="18"/>
                <w:szCs w:val="18"/>
                <w:color w:val="auto"/>
              </w:rPr>
              <w:t>2.01</w:t>
            </w:r>
          </w:p>
        </w:tc>
        <w:tc>
          <w:tcPr>
            <w:tcW w:w="4680" w:type="dxa"/>
            <w:vAlign w:val="bottom"/>
          </w:tcPr>
          <w:p>
            <w:pPr>
              <w:ind w:left="10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5.01</w:t>
            </w:r>
          </w:p>
        </w:tc>
        <w:tc>
          <w:tcPr>
            <w:tcW w:w="4680" w:type="dxa"/>
            <w:vAlign w:val="bottom"/>
          </w:tcPr>
          <w:p>
            <w:pPr>
              <w:ind w:left="100"/>
              <w:spacing w:after="0"/>
              <w:rPr>
                <w:sz w:val="20"/>
                <w:szCs w:val="20"/>
                <w:color w:val="auto"/>
              </w:rPr>
            </w:pPr>
            <w:r>
              <w:rPr>
                <w:rFonts w:ascii="Arial" w:cs="Arial" w:eastAsia="Arial" w:hAnsi="Arial"/>
                <w:sz w:val="18"/>
                <w:szCs w:val="18"/>
                <w:color w:val="auto"/>
              </w:rPr>
              <w:t>Corporate Existence; Subsidiaries; Foreign Qualifications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5.04</w:t>
            </w:r>
          </w:p>
        </w:tc>
        <w:tc>
          <w:tcPr>
            <w:tcW w:w="4680" w:type="dxa"/>
            <w:vAlign w:val="bottom"/>
          </w:tcPr>
          <w:p>
            <w:pPr>
              <w:ind w:left="100"/>
              <w:spacing w:after="0"/>
              <w:rPr>
                <w:sz w:val="20"/>
                <w:szCs w:val="20"/>
                <w:color w:val="auto"/>
              </w:rPr>
            </w:pPr>
            <w:r>
              <w:rPr>
                <w:rFonts w:ascii="Arial" w:cs="Arial" w:eastAsia="Arial" w:hAnsi="Arial"/>
                <w:sz w:val="18"/>
                <w:szCs w:val="18"/>
                <w:color w:val="auto"/>
              </w:rPr>
              <w:t>Litigation and Administrative Procedures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5.05</w:t>
            </w:r>
          </w:p>
        </w:tc>
        <w:tc>
          <w:tcPr>
            <w:tcW w:w="4680" w:type="dxa"/>
            <w:vAlign w:val="bottom"/>
          </w:tcPr>
          <w:p>
            <w:pPr>
              <w:ind w:left="100"/>
              <w:spacing w:after="0"/>
              <w:rPr>
                <w:sz w:val="20"/>
                <w:szCs w:val="20"/>
                <w:color w:val="auto"/>
              </w:rPr>
            </w:pPr>
            <w:r>
              <w:rPr>
                <w:rFonts w:ascii="Arial" w:cs="Arial" w:eastAsia="Arial" w:hAnsi="Arial"/>
                <w:sz w:val="18"/>
                <w:szCs w:val="18"/>
                <w:color w:val="auto"/>
              </w:rPr>
              <w:t>Real Property</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5.09</w:t>
            </w:r>
          </w:p>
        </w:tc>
        <w:tc>
          <w:tcPr>
            <w:tcW w:w="4680" w:type="dxa"/>
            <w:vAlign w:val="bottom"/>
          </w:tcPr>
          <w:p>
            <w:pPr>
              <w:ind w:left="100"/>
              <w:spacing w:after="0"/>
              <w:rPr>
                <w:sz w:val="20"/>
                <w:szCs w:val="20"/>
                <w:color w:val="auto"/>
              </w:rPr>
            </w:pPr>
            <w:r>
              <w:rPr>
                <w:rFonts w:ascii="Arial" w:cs="Arial" w:eastAsia="Arial" w:hAnsi="Arial"/>
                <w:sz w:val="18"/>
                <w:szCs w:val="18"/>
                <w:color w:val="auto"/>
              </w:rPr>
              <w:t>Locations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5.11</w:t>
            </w:r>
          </w:p>
        </w:tc>
        <w:tc>
          <w:tcPr>
            <w:tcW w:w="4680" w:type="dxa"/>
            <w:vAlign w:val="bottom"/>
          </w:tcPr>
          <w:p>
            <w:pPr>
              <w:ind w:left="100"/>
              <w:spacing w:after="0"/>
              <w:rPr>
                <w:sz w:val="20"/>
                <w:szCs w:val="20"/>
                <w:color w:val="auto"/>
              </w:rPr>
            </w:pPr>
            <w:r>
              <w:rPr>
                <w:rFonts w:ascii="Arial" w:cs="Arial" w:eastAsia="Arial" w:hAnsi="Arial"/>
                <w:sz w:val="18"/>
                <w:szCs w:val="18"/>
                <w:color w:val="auto"/>
                <w:w w:val="89"/>
              </w:rPr>
              <w:t>US Employee Benefit Plans; Foreign Pension and Benefit Plans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5.16</w:t>
            </w:r>
          </w:p>
        </w:tc>
        <w:tc>
          <w:tcPr>
            <w:tcW w:w="4680" w:type="dxa"/>
            <w:vAlign w:val="bottom"/>
          </w:tcPr>
          <w:p>
            <w:pPr>
              <w:ind w:left="100"/>
              <w:spacing w:after="0"/>
              <w:rPr>
                <w:sz w:val="20"/>
                <w:szCs w:val="20"/>
                <w:color w:val="auto"/>
              </w:rPr>
            </w:pPr>
            <w:r>
              <w:rPr>
                <w:rFonts w:ascii="Arial" w:cs="Arial" w:eastAsia="Arial" w:hAnsi="Arial"/>
                <w:sz w:val="18"/>
                <w:szCs w:val="18"/>
                <w:color w:val="auto"/>
              </w:rPr>
              <w:t>Material Agreements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5.17</w:t>
            </w:r>
          </w:p>
        </w:tc>
        <w:tc>
          <w:tcPr>
            <w:tcW w:w="4680" w:type="dxa"/>
            <w:vAlign w:val="bottom"/>
          </w:tcPr>
          <w:p>
            <w:pPr>
              <w:ind w:left="100"/>
              <w:spacing w:after="0"/>
              <w:rPr>
                <w:sz w:val="20"/>
                <w:szCs w:val="20"/>
                <w:color w:val="auto"/>
              </w:rPr>
            </w:pPr>
            <w:r>
              <w:rPr>
                <w:rFonts w:ascii="Arial" w:cs="Arial" w:eastAsia="Arial" w:hAnsi="Arial"/>
                <w:sz w:val="18"/>
                <w:szCs w:val="18"/>
                <w:color w:val="auto"/>
              </w:rPr>
              <w:t>Intellectual Property</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5.18</w:t>
            </w:r>
          </w:p>
        </w:tc>
        <w:tc>
          <w:tcPr>
            <w:tcW w:w="4680" w:type="dxa"/>
            <w:vAlign w:val="bottom"/>
          </w:tcPr>
          <w:p>
            <w:pPr>
              <w:ind w:left="100"/>
              <w:spacing w:after="0"/>
              <w:rPr>
                <w:sz w:val="20"/>
                <w:szCs w:val="20"/>
                <w:color w:val="auto"/>
              </w:rPr>
            </w:pPr>
            <w:r>
              <w:rPr>
                <w:rFonts w:ascii="Arial" w:cs="Arial" w:eastAsia="Arial" w:hAnsi="Arial"/>
                <w:sz w:val="18"/>
                <w:szCs w:val="18"/>
                <w:color w:val="auto"/>
              </w:rPr>
              <w:t>Insurance</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5.23</w:t>
            </w:r>
          </w:p>
        </w:tc>
        <w:tc>
          <w:tcPr>
            <w:tcW w:w="4680" w:type="dxa"/>
            <w:vAlign w:val="bottom"/>
          </w:tcPr>
          <w:p>
            <w:pPr>
              <w:ind w:left="100"/>
              <w:spacing w:after="0"/>
              <w:rPr>
                <w:sz w:val="20"/>
                <w:szCs w:val="20"/>
                <w:color w:val="auto"/>
              </w:rPr>
            </w:pPr>
            <w:r>
              <w:rPr>
                <w:rFonts w:ascii="Arial" w:cs="Arial" w:eastAsia="Arial" w:hAnsi="Arial"/>
                <w:sz w:val="18"/>
                <w:szCs w:val="18"/>
                <w:color w:val="auto"/>
              </w:rPr>
              <w:t>Deposit Accounts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6.17</w:t>
            </w:r>
          </w:p>
        </w:tc>
        <w:tc>
          <w:tcPr>
            <w:tcW w:w="4680" w:type="dxa"/>
            <w:vAlign w:val="bottom"/>
          </w:tcPr>
          <w:p>
            <w:pPr>
              <w:ind w:left="100"/>
              <w:spacing w:after="0"/>
              <w:rPr>
                <w:sz w:val="20"/>
                <w:szCs w:val="20"/>
                <w:color w:val="auto"/>
              </w:rPr>
            </w:pPr>
            <w:r>
              <w:rPr>
                <w:rFonts w:ascii="Arial" w:cs="Arial" w:eastAsia="Arial" w:hAnsi="Arial"/>
                <w:sz w:val="18"/>
                <w:szCs w:val="18"/>
                <w:color w:val="auto"/>
              </w:rPr>
              <w:t>Post-Closing Matters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7.01</w:t>
            </w:r>
          </w:p>
        </w:tc>
        <w:tc>
          <w:tcPr>
            <w:tcW w:w="4680" w:type="dxa"/>
            <w:vAlign w:val="bottom"/>
          </w:tcPr>
          <w:p>
            <w:pPr>
              <w:ind w:left="100"/>
              <w:spacing w:after="0"/>
              <w:rPr>
                <w:sz w:val="20"/>
                <w:szCs w:val="20"/>
                <w:color w:val="auto"/>
              </w:rPr>
            </w:pPr>
            <w:r>
              <w:rPr>
                <w:rFonts w:ascii="Arial" w:cs="Arial" w:eastAsia="Arial" w:hAnsi="Arial"/>
                <w:sz w:val="18"/>
                <w:szCs w:val="18"/>
                <w:color w:val="auto"/>
              </w:rPr>
              <w:t>Existing Liens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7.02</w:t>
            </w:r>
          </w:p>
        </w:tc>
        <w:tc>
          <w:tcPr>
            <w:tcW w:w="468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7.03</w:t>
            </w:r>
          </w:p>
        </w:tc>
        <w:tc>
          <w:tcPr>
            <w:tcW w:w="4680" w:type="dxa"/>
            <w:vAlign w:val="bottom"/>
          </w:tcPr>
          <w:p>
            <w:pPr>
              <w:ind w:left="100"/>
              <w:spacing w:after="0"/>
              <w:rPr>
                <w:sz w:val="20"/>
                <w:szCs w:val="20"/>
                <w:color w:val="auto"/>
              </w:rPr>
            </w:pPr>
            <w:r>
              <w:rPr>
                <w:rFonts w:ascii="Arial" w:cs="Arial" w:eastAsia="Arial" w:hAnsi="Arial"/>
                <w:sz w:val="18"/>
                <w:szCs w:val="18"/>
                <w:color w:val="auto"/>
              </w:rPr>
              <w:t>Existing Investments</w:t>
            </w:r>
          </w:p>
        </w:tc>
      </w:tr>
      <w:tr>
        <w:trPr>
          <w:trHeight w:val="230"/>
        </w:trPr>
        <w:tc>
          <w:tcPr>
            <w:tcW w:w="1120" w:type="dxa"/>
            <w:vAlign w:val="bottom"/>
          </w:tcPr>
          <w:p>
            <w:pPr>
              <w:ind w:left="460"/>
              <w:spacing w:after="0"/>
              <w:rPr>
                <w:sz w:val="20"/>
                <w:szCs w:val="20"/>
                <w:color w:val="auto"/>
              </w:rPr>
            </w:pPr>
            <w:r>
              <w:rPr>
                <w:rFonts w:ascii="Arial" w:cs="Arial" w:eastAsia="Arial" w:hAnsi="Arial"/>
                <w:sz w:val="18"/>
                <w:szCs w:val="18"/>
                <w:color w:val="auto"/>
              </w:rPr>
              <w:t>10.02</w:t>
            </w:r>
          </w:p>
        </w:tc>
        <w:tc>
          <w:tcPr>
            <w:tcW w:w="4680" w:type="dxa"/>
            <w:vAlign w:val="bottom"/>
          </w:tcPr>
          <w:p>
            <w:pPr>
              <w:ind w:left="100"/>
              <w:spacing w:after="0"/>
              <w:rPr>
                <w:sz w:val="20"/>
                <w:szCs w:val="20"/>
                <w:color w:val="auto"/>
              </w:rPr>
            </w:pPr>
            <w:r>
              <w:rPr>
                <w:rFonts w:ascii="Arial" w:cs="Arial" w:eastAsia="Arial" w:hAnsi="Arial"/>
                <w:sz w:val="18"/>
                <w:szCs w:val="18"/>
                <w:color w:val="auto"/>
                <w:w w:val="95"/>
              </w:rPr>
              <w:t>Administrative Agent’s Office, Certain Addresses for Notices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of</w:t>
      </w:r>
    </w:p>
    <w:p>
      <w:pPr>
        <w:spacing w:after="0" w:line="117" w:lineRule="exact"/>
        <w:rPr>
          <w:sz w:val="20"/>
          <w:szCs w:val="20"/>
          <w:color w:val="auto"/>
        </w:rPr>
      </w:pPr>
    </w:p>
    <w:p>
      <w:pPr>
        <w:ind w:left="1220" w:hanging="753"/>
        <w:spacing w:after="0"/>
        <w:tabs>
          <w:tab w:leader="none" w:pos="12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220" w:hanging="753"/>
        <w:spacing w:after="0"/>
        <w:tabs>
          <w:tab w:leader="none" w:pos="12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6"/>
          <w:szCs w:val="16"/>
          <w:color w:val="auto"/>
        </w:rPr>
        <w:t>Term Note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6"/>
          <w:szCs w:val="16"/>
          <w:color w:val="auto"/>
        </w:rPr>
        <w:t>Revolving Credit Note</w:t>
      </w:r>
    </w:p>
    <w:p>
      <w:pPr>
        <w:spacing w:after="0" w:line="9" w:lineRule="exact"/>
        <w:rPr>
          <w:sz w:val="20"/>
          <w:szCs w:val="20"/>
          <w:color w:val="auto"/>
        </w:rPr>
      </w:pPr>
    </w:p>
    <w:p>
      <w:pPr>
        <w:ind w:left="1220" w:hanging="753"/>
        <w:spacing w:after="0"/>
        <w:tabs>
          <w:tab w:leader="none" w:pos="12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220" w:hanging="753"/>
        <w:spacing w:after="0"/>
        <w:tabs>
          <w:tab w:leader="none" w:pos="12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E-1</w:t>
      </w:r>
      <w:r>
        <w:rPr>
          <w:sz w:val="20"/>
          <w:szCs w:val="20"/>
          <w:color w:val="auto"/>
        </w:rPr>
        <w:tab/>
      </w:r>
      <w:r>
        <w:rPr>
          <w:rFonts w:ascii="Arial" w:cs="Arial" w:eastAsia="Arial" w:hAnsi="Arial"/>
          <w:sz w:val="16"/>
          <w:szCs w:val="16"/>
          <w:color w:val="auto"/>
        </w:rPr>
        <w:t>U.S. Tax Compliance Certificate (Non-Partnership Foreign Lenders)</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E-2</w:t>
      </w:r>
      <w:r>
        <w:rPr>
          <w:sz w:val="20"/>
          <w:szCs w:val="20"/>
          <w:color w:val="auto"/>
        </w:rPr>
        <w:tab/>
      </w:r>
      <w:r>
        <w:rPr>
          <w:rFonts w:ascii="Arial" w:cs="Arial" w:eastAsia="Arial" w:hAnsi="Arial"/>
          <w:sz w:val="16"/>
          <w:szCs w:val="16"/>
          <w:color w:val="auto"/>
        </w:rPr>
        <w:t>U.S. Tax Compliance Certificate (Non-Partnership Foreign Participants)</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6"/>
          <w:szCs w:val="16"/>
          <w:color w:val="auto"/>
        </w:rPr>
        <w:t>U.S. Tax Compliance Certificate (Foreign Participant Partnerships)</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E-4</w:t>
      </w:r>
      <w:r>
        <w:rPr>
          <w:sz w:val="20"/>
          <w:szCs w:val="20"/>
          <w:color w:val="auto"/>
        </w:rPr>
        <w:tab/>
      </w:r>
      <w:r>
        <w:rPr>
          <w:rFonts w:ascii="Arial" w:cs="Arial" w:eastAsia="Arial" w:hAnsi="Arial"/>
          <w:sz w:val="16"/>
          <w:szCs w:val="16"/>
          <w:color w:val="auto"/>
        </w:rPr>
        <w:t>U.S. Tax Compliance Certificate (Foreign Lender Partnerships)</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74"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October 19, 2015,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KEYBANK NATIONAL ASSOCIATION, as Administrative Agent.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the Borrower desires to acquire (the “</w:t>
      </w: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100% of the equity interests of Precision Engineered Products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Borrower has requested that, in connection with the consummation of the Closing Date Acquisition, the Lenders lend to the Borrower a portion of the consideration necessary (i) to pay to PEP Industries, LLC, a Delaware limited liability company (the “</w:t>
      </w:r>
      <w:r>
        <w:rPr>
          <w:rFonts w:ascii="Arial" w:cs="Arial" w:eastAsia="Arial" w:hAnsi="Arial"/>
          <w:sz w:val="18"/>
          <w:szCs w:val="18"/>
          <w:u w:val="single" w:color="auto"/>
          <w:color w:val="auto"/>
        </w:rPr>
        <w:t>Seller</w:t>
      </w:r>
      <w:r>
        <w:rPr>
          <w:rFonts w:ascii="Arial" w:cs="Arial" w:eastAsia="Arial" w:hAnsi="Arial"/>
          <w:sz w:val="18"/>
          <w:szCs w:val="18"/>
          <w:color w:val="auto"/>
        </w:rPr>
        <w:t>”), the cash consideration for their Equity Interests in the Company, (ii) to pay transaction fees and expenses and (iii) to refinance certain Indebtedness of the Borrower, the Company and their respective Subsidiaries.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furtherance of the foregoing, the Borrower has requested that the Lenders provide an initial term loan and a revolving credit facility to the Borrower, and the Lenders have indicated their willingness to lend and the L/C Issuers have indicated their willingness to issue letters of credit, in each case, on the terms and subject to the conditions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KeyBank in its capacity as administrative agent under any of the Loan Documents, or any successor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ectPr>
          <w:pgSz w:w="11900" w:h="16838" w:orient="portrait"/>
          <w:cols w:equalWidth="0" w:num="1">
            <w:col w:w="11400"/>
          </w:cols>
          <w:pgMar w:left="240" w:top="274" w:right="259" w:bottom="1440" w:gutter="0" w:footer="0" w:header="0"/>
        </w:sectPr>
      </w:pPr>
    </w:p>
    <w:bookmarkStart w:id="178" w:name="page179"/>
    <w:bookmarkEnd w:id="1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from time to time by the Administrative Agent.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the UK Bribery Act 2010, or other similar legislation in other jurisdictions.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 the Applicable Rate with respect to the “Commitment Fee” as set forth in the definition of Applicable Rate.</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respect of the Term Facility, with respect to any Term Lender at any time, the percentage (carried out to the ninth decimal place) of the Term Facility represented by (i) such Term Lender’s Term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If the commitment of each Lender to make Loans and the obligation of the L/C Issuers to make L/C Credit Extensions have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Revolving Credit Commitments or the Term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at any time, in respect of (x) the Initial Term Facility, 3.75% per annum for Base Rate Loans and 4.75% per annum for Eurodollar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Rate with respect to any Incremental Term Loans shall be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(y) the Revolving Credit Facility, (a) from the Closing Date to the date on which the Administrative Agent receives a Compliance Certificate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for the fiscal quarter ending March 31, 2016, (i) 2.50% per annum for Base Rate Loans, (ii) 3.50% per annum for Eurodollar Rate Loans and Letter of Credit Fees and (iii) 0.50% per annum for the Commitment Fee and (b) thereafter,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Eurocurrency</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Consolidated</w:t>
            </w: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Rate Loans /</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Pricing Level</w:t>
            </w:r>
          </w:p>
        </w:tc>
        <w:tc>
          <w:tcPr>
            <w:tcW w:w="29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7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8"/>
              </w:rPr>
              <w:t>Base Rate Loans</w:t>
            </w:r>
          </w:p>
        </w:tc>
        <w:tc>
          <w:tcPr>
            <w:tcW w:w="16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Letter of Credit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Commitment Fee</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20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3"/>
              </w:rPr>
              <w:t>Leverage Ratio</w:t>
            </w:r>
          </w:p>
        </w:tc>
        <w:tc>
          <w:tcPr>
            <w:tcW w:w="1740" w:type="dxa"/>
            <w:vAlign w:val="bottom"/>
            <w:gridSpan w:val="2"/>
            <w:vMerge w:val="continue"/>
          </w:tcPr>
          <w:p>
            <w:pPr>
              <w:spacing w:after="0"/>
              <w:rPr>
                <w:sz w:val="15"/>
                <w:szCs w:val="15"/>
                <w:color w:val="auto"/>
              </w:rPr>
            </w:pPr>
          </w:p>
        </w:tc>
        <w:tc>
          <w:tcPr>
            <w:tcW w:w="168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87"/>
              </w:rPr>
              <w:t>Fees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29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&gt; 4.00x</w:t>
            </w: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7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w:t>
            </w:r>
          </w:p>
        </w:tc>
        <w:tc>
          <w:tcPr>
            <w:tcW w:w="7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18"/>
                <w:szCs w:val="18"/>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&gt; 3.50x and &lt; 4.00x</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225.0</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325.0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9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&gt; 3.00x and &lt; 3.50x</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200.0</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2980" w:type="dxa"/>
            <w:vAlign w:val="bottom"/>
          </w:tcPr>
          <w:p>
            <w:pPr>
              <w:spacing w:after="0"/>
              <w:rPr>
                <w:sz w:val="18"/>
                <w:szCs w:val="18"/>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&gt; 2.50x and &lt; 3.00x</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175.0</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275.0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9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3"/>
              </w:rPr>
              <w:t>&lt; 2.50x</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150.0</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5060" w:type="dxa"/>
            <w:vAlign w:val="bottom"/>
            <w:gridSpan w:val="3"/>
          </w:tcPr>
          <w:p>
            <w:pPr>
              <w:jc w:val="right"/>
              <w:ind w:right="54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79" w:name="page180"/>
    <w:bookmarkEnd w:id="179"/>
    <w:p>
      <w:pPr>
        <w:ind w:right="2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an Event of Default exists or a Compliance Certificate is not delivered when due in accordance with </w:t>
      </w:r>
      <w:r>
        <w:rPr>
          <w:rFonts w:ascii="Arial" w:cs="Arial" w:eastAsia="Arial" w:hAnsi="Arial"/>
          <w:sz w:val="16"/>
          <w:szCs w:val="16"/>
          <w:u w:val="single" w:color="auto"/>
          <w:color w:val="auto"/>
        </w:rPr>
        <w:t>Section 6.02(b)</w:t>
      </w:r>
      <w:r>
        <w:rPr>
          <w:rFonts w:ascii="Arial" w:cs="Arial" w:eastAsia="Arial" w:hAnsi="Arial"/>
          <w:sz w:val="16"/>
          <w:szCs w:val="16"/>
          <w:color w:val="auto"/>
        </w:rPr>
        <w:t>, then Pricing Level 1 shall apply in respect of the Revolving Credit Facility as of the first Business Day after either an Event of Default exists or the date on which such Compliance Certificate was required to have been delivered, as applicable, and shall remain in effect until the date on which no Event of Default exists and such Compliance Certificate is delivered.</w:t>
      </w:r>
    </w:p>
    <w:p>
      <w:pPr>
        <w:spacing w:after="0" w:line="15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Facility, a Lender that has a Commitment with respect to such Facility or holds a Loan under such Facility at such time, (b) with respect to the Letter of Credit Sublimit, (i) the L/C Issuers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the Revolving Credit Lenders and (c) with respect to the Swing Line Sublimit,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KeyBanc Capital Markets Inc., SunTrust Robinson Humphrey, Inc. and Regions Capital Markets, a division of Regions Bank, in their respective capacities as Joint Lead Arrangers and Joint Bookrunners.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80" w:name="page181"/>
    <w:bookmarkEnd w:id="180"/>
    <w:p>
      <w:pPr>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collectively, the Borrower Audited Financial Statements and the Company Audited Financial Statements.</w:t>
      </w:r>
    </w:p>
    <w:p>
      <w:pPr>
        <w:spacing w:after="0" w:line="23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(a) in respect of the Revolving Credit Facility, the period commencing on the day after the Closing Date to the earliest of (i) the Maturity Date for the Revolving Credit Facility, (ii) the date of termination of the Revolving Credit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and</w:t>
      </w:r>
    </w:p>
    <w:p>
      <w:pPr>
        <w:jc w:val="both"/>
        <w:ind w:right="140" w:firstLine="8"/>
        <w:spacing w:after="0" w:line="255" w:lineRule="auto"/>
        <w:tabs>
          <w:tab w:leader="none" w:pos="3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date of termination of the commitment of each Revolving Credit Lender to make Revolving Credit Loans and of the obligation of the L/C Issuers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(b) in respect of the Initial Term Facility, the Closing Date, and (c) in respect of any Incremental Term Facility, as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highest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(b) the rate of interest in effect for such day as publicly announced from time to time by KeyBank as its “prime rate”, and (c) the Eurodollar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The “prime rate” is a rate set by KeyBank based upon various factors including KeyBank’s costs and desired return, general economic conditions and other factors, and is used as a reference point for pricing some loans, which may be priced at, above, or below such announced rate. Any change in such rate announced by KeyBank shall take effect at the opening of business on the day specified in the public announcement of such change.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or a Term Loan that bears interest based 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Audited Financial Statements</w:t>
      </w:r>
      <w:r>
        <w:rPr>
          <w:rFonts w:ascii="Arial" w:cs="Arial" w:eastAsia="Arial" w:hAnsi="Arial"/>
          <w:sz w:val="16"/>
          <w:szCs w:val="16"/>
          <w:color w:val="auto"/>
        </w:rPr>
        <w:t>” means the audited consolidated balance sheet of the Borrower and its Subsidiaries (but not including the Company and its Subsidiaries) for the fiscal years ended December 31, 2012, December 31, 2013 and December 31, 2014, and the related consolidated statements of income or operations, shareholders’ equity and cash flows for such fiscal year of the Borrower and its Subsidiaries, including the notes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Pro Forma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4.01(a)(x)</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Borrowing, as the context may require.</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Premium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Distribution</w:t>
      </w:r>
      <w:r>
        <w:rPr>
          <w:rFonts w:ascii="Arial" w:cs="Arial" w:eastAsia="Arial" w:hAnsi="Arial"/>
          <w:sz w:val="18"/>
          <w:szCs w:val="18"/>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common Equity Interests) in respect of the Borrower’s or such Subsidiary’s (as the case may be) capital stock or other Equity Interest.</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one or more of the respective L/C Issuers or Swing Line Lender (as applicable) and the Lenders, as collateral for L/C Obligations, Obligations in respect of Swing Line Loans, or obligations of Lenders to fund participations in respect of either thereof (as the context may require), cash or deposit account balances or, if the Administrative Agent, the applicable L/C Issuer or Swing Line Lender shall agree in their sole discretion, other credit support, in each case pursuant to documentation in form and substance satisfactory to (a) the Administrative Agent and (b) the respective L/C Issuer or the Swing Line Lender (as applicable). “Cash Collateral” shall have a meaning correlative to the foregoing and shall include the proceeds of such cash collateral and other credit support.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any type of Investment permitted pursuant to </w:t>
      </w:r>
      <w:r>
        <w:rPr>
          <w:rFonts w:ascii="Arial" w:cs="Arial" w:eastAsia="Arial" w:hAnsi="Arial"/>
          <w:sz w:val="18"/>
          <w:szCs w:val="18"/>
          <w:u w:val="single" w:color="auto"/>
          <w:color w:val="auto"/>
        </w:rPr>
        <w:t>Section 7.03(a)(ii)</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and other cash management arrangements.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82" w:name="page183"/>
    <w:bookmarkEnd w:id="182"/>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 at the time it enters into a Cash Management Agreement with a Loan Party, is the Administrative Agent, an Affiliate of the Administrative Agent, a Lender or an Affiliate of a Lender or (b) at the time it (or its Affiliate) becomes the Administrative Agent or a Lender, as applicable (including on the Closing Date), is a party to a Cash Management Agreement with a Loan Party, in each case in its capacity as a party to such Cash Management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225" w:lineRule="exact"/>
        <w:rPr>
          <w:sz w:val="20"/>
          <w:szCs w:val="20"/>
          <w:color w:val="auto"/>
        </w:rPr>
      </w:pPr>
    </w:p>
    <w:p>
      <w:pPr>
        <w:ind w:right="180" w:firstLine="464"/>
        <w:spacing w:after="0" w:line="302" w:lineRule="auto"/>
        <w:tabs>
          <w:tab w:leader="none" w:pos="70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154" w:lineRule="exact"/>
        <w:rPr>
          <w:rFonts w:ascii="Arial" w:cs="Arial" w:eastAsia="Arial" w:hAnsi="Arial"/>
          <w:sz w:val="16"/>
          <w:szCs w:val="16"/>
          <w:color w:val="auto"/>
        </w:rPr>
      </w:pPr>
    </w:p>
    <w:p>
      <w:pPr>
        <w:ind w:right="80" w:firstLine="464"/>
        <w:spacing w:after="0" w:line="255"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93" w:lineRule="exact"/>
        <w:rPr>
          <w:rFonts w:ascii="Arial" w:cs="Arial" w:eastAsia="Arial" w:hAnsi="Arial"/>
          <w:sz w:val="18"/>
          <w:szCs w:val="18"/>
          <w:color w:val="auto"/>
        </w:rPr>
      </w:pPr>
    </w:p>
    <w:p>
      <w:pPr>
        <w:ind w:left="700" w:hanging="236"/>
        <w:spacing w:after="0"/>
        <w:tabs>
          <w:tab w:leader="none" w:pos="7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Borrower shall cease to own, directly or indirectly, one hundred percent (100%) of the record and beneficial ownership of each other Loan Party;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right="560" w:firstLine="464"/>
        <w:spacing w:after="0" w:line="277"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occurrence of a change in control, or other similar provision, as defined in any Material Indebtedness Agreement or under the New Notes Documents.</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3" w:name="page184"/>
    <w:bookmarkEnd w:id="1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 Agreement</w:t>
      </w:r>
      <w:r>
        <w:rPr>
          <w:rFonts w:ascii="Arial" w:cs="Arial" w:eastAsia="Arial" w:hAnsi="Arial"/>
          <w:sz w:val="18"/>
          <w:szCs w:val="18"/>
          <w:color w:val="auto"/>
        </w:rPr>
        <w:t>” means that certain Stock Purchase Agreement, dated as of August 17, 2015, by and among the Borrower, the Company and the Seller.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Consolidated Net Leverage Ratio</w:t>
      </w:r>
      <w:r>
        <w:rPr>
          <w:rFonts w:ascii="Arial" w:cs="Arial" w:eastAsia="Arial" w:hAnsi="Arial"/>
          <w:sz w:val="18"/>
          <w:szCs w:val="18"/>
          <w:color w:val="auto"/>
        </w:rPr>
        <w:t>” means 4.77:1.00.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and “</w:t>
      </w:r>
      <w:r>
        <w:rPr>
          <w:rFonts w:ascii="Arial" w:cs="Arial" w:eastAsia="Arial" w:hAnsi="Arial"/>
          <w:sz w:val="18"/>
          <w:szCs w:val="18"/>
          <w:u w:val="single" w:color="auto"/>
          <w:color w:val="auto"/>
        </w:rPr>
        <w:t>Mortgaged Property</w:t>
      </w:r>
      <w:r>
        <w:rPr>
          <w:rFonts w:ascii="Arial" w:cs="Arial" w:eastAsia="Arial" w:hAnsi="Arial"/>
          <w:sz w:val="18"/>
          <w:szCs w:val="18"/>
          <w:color w:val="auto"/>
        </w:rPr>
        <w:t>” or “</w:t>
      </w:r>
      <w:r>
        <w:rPr>
          <w:rFonts w:ascii="Arial" w:cs="Arial" w:eastAsia="Arial" w:hAnsi="Arial"/>
          <w:sz w:val="18"/>
          <w:szCs w:val="18"/>
          <w:u w:val="single" w:color="auto"/>
          <w:color w:val="auto"/>
        </w:rPr>
        <w:t>Trust Property</w:t>
      </w:r>
      <w:r>
        <w:rPr>
          <w:rFonts w:ascii="Arial" w:cs="Arial" w:eastAsia="Arial" w:hAnsi="Arial"/>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the Mortgages, each of the mortgages, collateral assignments, Security Joinder Agreements,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 or a Revolving Credit Commitment,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Term Borrowing, (b) a Revolving Credit Borrowing, (c) a conversion of Loans from one Type to the other, or (d)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Audited Financial Statements</w:t>
      </w:r>
      <w:r>
        <w:rPr>
          <w:rFonts w:ascii="Arial" w:cs="Arial" w:eastAsia="Arial" w:hAnsi="Arial"/>
          <w:sz w:val="18"/>
          <w:szCs w:val="18"/>
          <w:color w:val="auto"/>
        </w:rPr>
        <w:t>” means the audited consolidated balance sheet of the Company and its Subsidiaries for the fiscal years ended December 31, 2012, December 31, 2013 and December 31, 2014, and the related consolidated statements of income or operations, shareholders’ equity and cash flows for such fiscal year of the Company and its Subsidiaries, including the notes thereto.</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 material adverse effect on the financial condition, business, properties, or results of operations of the Company and its Subsidiaries, taken as a whole, excluding any change, occurrence, event or effect resulting directly or indirectly from (i) international, national, regional or industry-wide political, economic or business conditions (including financial, banking, securities and capital market conditions and any disruption thereof and adverse changes in the price of precious metals or other natural resources used by the Company and its Subsidiaries in the ordinary and usual course of their business, consistent with past practice), (ii) acts of war (whether or not declared), sabotage or terrorism, military actions or the escalation thereof, hurricanes, earthquakes, floods, tsunamis, tornadoes, mudslides, wild fires or other natural disasters and other force majeure events, (iii) any change, occurrence, event or effect generally applicable to the business of the Company and its Subsidiaries or affecting any of the following industries: precision manufacturing, medical and FDA-compliant devices, electrical controls, transportation or power grid distribution, (iv) actual or proposed changes in the Law (as defined in the Closing Date Acquisition Agreement) or applicable accounting regulations or standards (including GAAP (as defined in the Closing Date Acquisition Agreement)) or interpretations thereof, (v) any changes in the technology used by the Company and its Subsidiaries, their customers or others in any of the following industries: precision manufacturing, medical and FDA-compliant devices, electrical controls, transportation or power grid distribution,</w:t>
      </w:r>
    </w:p>
    <w:p>
      <w:pPr>
        <w:spacing w:after="0" w:line="5" w:lineRule="exact"/>
        <w:rPr>
          <w:sz w:val="20"/>
          <w:szCs w:val="20"/>
          <w:color w:val="auto"/>
        </w:rPr>
      </w:pPr>
    </w:p>
    <w:p>
      <w:pPr>
        <w:ind w:right="60" w:firstLine="8"/>
        <w:spacing w:after="0" w:line="281" w:lineRule="auto"/>
        <w:tabs>
          <w:tab w:leader="none" w:pos="30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failure by the Company or any of its Subsidiaries to meet any internal or published projections, forecasts or revenue or earnings predictions for any period, (vii) any matter that is set forth in any disclosure schedule to the Closing Date Acquisition Agreement, or (viii) the execution or announcement of the Closing Date Acquisition Agreement or of the Closing (as defined in the Closing Date Acquisition Agreement) or the taking of any action contemplated or required by the Closing Date Acquisition Agreement, or the consummation of the transactions contemplated thereby, provided that the exception in clause</w:t>
      </w:r>
    </w:p>
    <w:p>
      <w:pPr>
        <w:spacing w:after="0" w:line="2" w:lineRule="exact"/>
        <w:rPr>
          <w:rFonts w:ascii="Arial" w:cs="Arial" w:eastAsia="Arial" w:hAnsi="Arial"/>
          <w:sz w:val="16"/>
          <w:szCs w:val="16"/>
          <w:color w:val="auto"/>
        </w:rPr>
      </w:pPr>
    </w:p>
    <w:p>
      <w:pPr>
        <w:ind w:right="20" w:firstLine="8"/>
        <w:spacing w:after="0" w:line="271" w:lineRule="auto"/>
        <w:tabs>
          <w:tab w:leader="none" w:pos="30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shall not prevent or otherwise affect a determination that the facts giving rise or contributing to any such failure has resulted in or contributed to a Company Material Adverse Effect, except that any change, occurrence, event or effect resulting from the matters described in clauses (i) through (v) above may constitute a Company Material Adverse Effect, and shall be taken into account in determining whether a Company Material Adverse Effect has occurred or would or could occur to the extent that such change, occurrence, event or effect has a disproportionate impact on the Company and its Subsidiaries as compared to any of the other companies in the industries in which the Company and its Subsidiaries operate.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85" w:name="page186"/>
    <w:bookmarkEnd w:id="185"/>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Consolidated Depreciation and Amortization Charges</w:t>
      </w:r>
      <w:r>
        <w:rPr>
          <w:rFonts w:ascii="Arial" w:cs="Arial" w:eastAsia="Arial" w:hAnsi="Arial"/>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as determined on a consolidated basis, Consolidated Net Earnings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without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duplication, the aggregate amounts deducted in determining such Consolidated Net Earnings in respect of: (i) Consolidated Interest Expense, (ii)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(iii) Consolidated Depreciation and Amortization Charges, (iv) actual non-recurring non-cash restructuring charges to the extent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together do not exceed $20,000,000 in the aggregate over all periods, (v) foreign exchange losses as reported in “Other Income” according to GAAP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negative impact to Consolidated EBITDA resulting from converting foreign currency-based income to Dollar-based income to the extent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amounts together exceed $15,000,000 for such period, (vi) synergies, cost savings and other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to actual historical Consolidated EBITDA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connection with the Closing Date Acquisition or any Acquisition permitted pursuant to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to the extent realized within 12 months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Closing Date Acquisition or such Acquisition,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synergies, cost savings and other adjustments are (A) directly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Closing Date Acquisition or such Acquisition, (B) factually supportable, (C) reasonably identifiable, (D) expected to have a continuing impact 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Borrower and its Subsidiaries and (E) consistent with Regulation S-X of the United States Securities and Exchange Commission and (vii) to the extent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deducted in calculating Consolidated Net Earnings for such period, Transaction Costs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without duplication, the aggregate amounts included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determining such Consolidated Net Earnings in respect of: (i) unusual non-cash gains not incurred in the ordinary course of business and (ii)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gains as reported in Other Income according to GAAP and the positive impact to Consolidated EBITDA resulting from converting foreign currency-based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to Dollar-based income to the extent such amounts together exceed $15,000,000 for such period. For purposes of this Agreement,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EBITDA shall be adjusted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Notwithstanding the foregoing or anything to the contrary contained herein, Consolidated EBITDA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of the fiscal quarters ended December 31, 2014, March 31, 2015 and June 30, 2015 shall be deemed to equal $44,087,000, $43,593,000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$44,091,000, respectively, Consolidated EBITDA for each of the fiscal months ended July 31, 2015 and August 31, 2015 shall be deemed to equal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$12,486,000 and $12,724,000, respectively, and Consolidated EBITDA for the period from September 1, 2015 through the Closing Date shall be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manner consistent with the calculation of Consolidated EBITDA for the fiscal quarters ended December 31, 2014, March 31, 2015 and June 30, 2015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fiscal months ended July 31, 2015 and August 31, 2015.</w:t>
      </w:r>
    </w:p>
    <w:p>
      <w:pPr>
        <w:spacing w:after="0" w:line="211"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at any date, all Indebtedness (including, but not limited to, current, long-term and Subordinated Indebtedness, if any) of the Borrower and its Subsidiaries, as determined on a consolidated basis and in accordance with GAAP.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86" w:name="page187"/>
    <w:bookmarkEnd w:id="186"/>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interest expense of the Borrower and its Subsidiaries for such period, as determined on a consolidated basis and in accordance with GAAP.</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Earnings</w:t>
      </w:r>
      <w:r>
        <w:rPr>
          <w:rFonts w:ascii="Arial" w:cs="Arial" w:eastAsia="Arial" w:hAnsi="Arial"/>
          <w:sz w:val="16"/>
          <w:szCs w:val="16"/>
          <w:color w:val="auto"/>
        </w:rPr>
        <w:t xml:space="preserve">” means, for any period, the net income (or loss) of the Borrower and its Subsidiaries for such period, as determined on a consolidated basis and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Earnings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 Net Earnings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clause (b) of this proviso).</w:t>
      </w:r>
    </w:p>
    <w:p>
      <w:pPr>
        <w:spacing w:after="0" w:line="16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Leverage Ratio</w:t>
      </w:r>
      <w:r>
        <w:rPr>
          <w:rFonts w:ascii="Arial" w:cs="Arial" w:eastAsia="Arial" w:hAnsi="Arial"/>
          <w:sz w:val="17"/>
          <w:szCs w:val="17"/>
          <w:color w:val="auto"/>
        </w:rPr>
        <w:t xml:space="preserve">” means, as of any date, determined on a consolidated basis, the ratio of (a) Consolidated Funded Indebtedness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equal to the lesser of (x) (1) 100% of the Unrestricted Cash and Cash Equivalents (as of such date) of the Borrower and its Domestic Subsidiaries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50% of the Unrestricted Cash and Cash Equivalents (as of such date) of the Foreign Subsidiaries of the Borrower organized under the laws of a jurisdiction located in Europe, as of such date, and (y) $40,000,000, to (b) Consolidated EBITDA (for the most recently completed four fiscal quarters of the Borrower for which financials are required to be delivered hereunder).</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determined on a consolidated basis, the ratio of (a) Consolidated Funded Indebtedness (as of such date) to (b) Consolidated EBITDA (for the most recently completed four fiscal quarters of the Borrower for which financials are required to be delivered hereunder).</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Leverage Ratio</w:t>
      </w:r>
      <w:r>
        <w:rPr>
          <w:rFonts w:ascii="Arial" w:cs="Arial" w:eastAsia="Arial" w:hAnsi="Arial"/>
          <w:sz w:val="17"/>
          <w:szCs w:val="17"/>
          <w:color w:val="auto"/>
        </w:rPr>
        <w:t>” means, as of any date, determined on a consolidated basis, the ratio of (a) Consolidated Funded Indebtedness (as of such date) that is secured by Liens on assets or property of the Borrower and the Subsidiaries as of such date to (b) Consolidated EBITDA (for the most recently completed four fiscal quarters of the Borrower for which financials are required to be delivered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87" w:name="page188"/>
    <w:bookmarkEnd w:id="187"/>
    <w:p>
      <w:pPr>
        <w:ind w:right="6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Excess Cash Flow Amount</w:t>
      </w:r>
      <w:r>
        <w:rPr>
          <w:rFonts w:ascii="Arial" w:cs="Arial" w:eastAsia="Arial" w:hAnsi="Arial"/>
          <w:sz w:val="18"/>
          <w:szCs w:val="18"/>
          <w:color w:val="auto"/>
        </w:rPr>
        <w:t xml:space="preserve">” means, as of any date of determination, an amount, determined on a cumulative basis equal to the sum of (a) Excess Cash Flow (which shall not be less than zero) for each fiscal year of the Borrower ending on or after December 31, 2016 for which the Borrower has delivered the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related Compliance Certificate required by </w:t>
      </w:r>
      <w:r>
        <w:rPr>
          <w:rFonts w:ascii="Arial" w:cs="Arial" w:eastAsia="Arial" w:hAnsi="Arial"/>
          <w:sz w:val="18"/>
          <w:szCs w:val="18"/>
          <w:u w:val="single" w:color="auto"/>
          <w:color w:val="auto"/>
        </w:rPr>
        <w:t>Section 6.02(b) less</w:t>
      </w:r>
      <w:r>
        <w:rPr>
          <w:rFonts w:ascii="Arial" w:cs="Arial" w:eastAsia="Arial" w:hAnsi="Arial"/>
          <w:sz w:val="18"/>
          <w:szCs w:val="18"/>
          <w:color w:val="auto"/>
        </w:rPr>
        <w:t xml:space="preserve"> (b) the ECF Prepayment Amount for each such corresponding fiscal year.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applicable, (a) the public corporate family rating of the Borrower as determined both Moody’s and S&amp;P, (b) the public corporate credit rating of the Borrower as determined by both Moody’s and S&amp;P, and (c) the senior secured debt rating of the Borrower as determined by both Moody’s and S&amp;P.</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under the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(b) when used with respect to Letter of Credit Fees, a rate equal to the Applicable Rate applicable to Eurodollar Rate Loans under the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88" w:name="page189"/>
    <w:bookmarkEnd w:id="188"/>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amount required to be paid by it hereunder (including in respect of its participation in Letters of Credit or Swing Line Loans) within two Business Days of the date when due, (b) has notified the Borrower, the Administrative Agent, the applicable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2" w:lineRule="exact"/>
        <w:rPr>
          <w:sz w:val="20"/>
          <w:szCs w:val="20"/>
          <w:color w:val="auto"/>
        </w:rPr>
      </w:pPr>
    </w:p>
    <w:p>
      <w:pPr>
        <w:jc w:val="both"/>
        <w:ind w:right="380" w:firstLine="8"/>
        <w:spacing w:after="0" w:line="281" w:lineRule="auto"/>
        <w:tabs>
          <w:tab w:leader="none" w:pos="24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other than via an Undisclosed Administration, (i) become the subject of a proceeding under any Debtor Relief Law, or</w:t>
      </w:r>
    </w:p>
    <w:p>
      <w:pPr>
        <w:spacing w:after="0" w:line="2" w:lineRule="exact"/>
        <w:rPr>
          <w:rFonts w:ascii="Arial" w:cs="Arial" w:eastAsia="Arial" w:hAnsi="Arial"/>
          <w:sz w:val="16"/>
          <w:szCs w:val="16"/>
          <w:color w:val="auto"/>
        </w:rPr>
      </w:pPr>
    </w:p>
    <w:p>
      <w:pPr>
        <w:ind w:right="60" w:firstLine="8"/>
        <w:spacing w:after="0" w:line="281" w:lineRule="auto"/>
        <w:tabs>
          <w:tab w:leader="none" w:pos="26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w:t>
      </w:r>
    </w:p>
    <w:p>
      <w:pPr>
        <w:spacing w:after="0" w:line="5" w:lineRule="exact"/>
        <w:rPr>
          <w:rFonts w:ascii="Arial" w:cs="Arial" w:eastAsia="Arial" w:hAnsi="Arial"/>
          <w:sz w:val="16"/>
          <w:szCs w:val="16"/>
          <w:color w:val="auto"/>
        </w:rPr>
      </w:pPr>
    </w:p>
    <w:p>
      <w:pPr>
        <w:ind w:right="340"/>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Section 2.15(b)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the L/C Issuers, the Swing Line Lender and each other Lender promptly following such determination.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which by its terms (or by the terms of any security into which it is convertible or for which it is exchangeable at the option of the holder) or upon the happening of any event: (a) matures or 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89" w:name="page190"/>
    <w:bookmarkEnd w:id="18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mandatorily redeemable (other than redeemable only for Equity Interests of such Person which are not themselves Equity Interests described in this definition) pursuant to a sinking fund obligation or otherwise; (b) is convertible or exchangeable at the option of the holder for Indebtedness or Equity Interests described in this definition (excluding Equity Interests which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provided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provided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for any fiscal year ending on or after December 31, 2016:</w:t>
      </w:r>
    </w:p>
    <w:p>
      <w:pPr>
        <w:spacing w:after="0" w:line="225" w:lineRule="exact"/>
        <w:rPr>
          <w:sz w:val="20"/>
          <w:szCs w:val="20"/>
          <w:color w:val="auto"/>
        </w:rPr>
      </w:pPr>
    </w:p>
    <w:p>
      <w:pPr>
        <w:ind w:left="700" w:hanging="236"/>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50% if the Consolidated Secured Leverage Ratio as of the last day of such fiscal year is greater or equal to than 3.00 to 1.00;</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25% if the Consolidated Secured Leverage Ratio as of the last day of such fiscal year is less than 3.00 to 1.00 but greater than or equal to 2.50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 and</w:t>
      </w:r>
    </w:p>
    <w:p>
      <w:pPr>
        <w:spacing w:after="0" w:line="210" w:lineRule="exact"/>
        <w:rPr>
          <w:rFonts w:ascii="Arial" w:cs="Arial" w:eastAsia="Arial" w:hAnsi="Arial"/>
          <w:sz w:val="16"/>
          <w:szCs w:val="16"/>
          <w:color w:val="auto"/>
        </w:rPr>
      </w:pPr>
    </w:p>
    <w:p>
      <w:pPr>
        <w:ind w:left="700" w:hanging="236"/>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0% if the Consolidated Secured Leverage Ratio as of the last day of such fiscal year is less than 2.50 to 1.00.</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xml:space="preserve">” means for any fiscal year, the product obtained by multiplying (a) Excess Cash Flow for such fiscal year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applicable ECF Percentage for such fiscal year.</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90" w:name="page191"/>
    <w:bookmarkEnd w:id="190"/>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8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right="300" w:firstLine="8"/>
        <w:spacing w:after="0" w:line="261" w:lineRule="auto"/>
        <w:tabs>
          <w:tab w:leader="none" w:pos="24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1" w:name="page192"/>
    <w:bookmarkEnd w:id="19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ind w:firstLine="464"/>
        <w:spacing w:after="0" w:line="257" w:lineRule="auto"/>
        <w:tabs>
          <w:tab w:leader="none" w:pos="70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88"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or about 11:00 a.m., London time determined two Business Days prior to such date for U.S. Dollar deposits with a term of one month commencing that day;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Notwithstanding the foregoing, in no event shall the Eurodollar Rate be less than, with respect to Initial Term Loan, 1.00%, with respect to any Incremental Term Loan, as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and with respect to any other Loan or Obligation, 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xml:space="preserve">” means a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the Eurodollar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any fiscal year of the Borrower, the excess (if any) of (a) Consolidated EBITDA for such fiscal year (determined without giving effect to clause (a)(vi) thereof and any adjustments thereto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(for such fiscal year) of</w:t>
      </w:r>
    </w:p>
    <w:p>
      <w:pPr>
        <w:ind w:right="80" w:firstLine="8"/>
        <w:spacing w:after="0" w:line="281" w:lineRule="auto"/>
        <w:tabs>
          <w:tab w:leader="none" w:pos="21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Consolidated Interest Expense actually paid in cash by the Borrower and its Subsidiaries, (ii) scheduled principal repayments, to the extent actually made in cash, of the Term Loans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(iii) all Consolidated Income Tax Expense actually paid in cash by the Borrower and its Subsidiaries,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Capital Expenditures actually made by the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192" w:name="page193"/>
    <w:bookmarkEnd w:id="192"/>
    <w:p>
      <w:pPr>
        <w:jc w:val="both"/>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and its Subsidiaries in cash, and (v) Transaction Costs actually paid by the Borrower and its Subsidiaries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clauses (b)(i) through (v) such payment was not made with proceeds of any Indebtedness, Disposition, equity issuance, Extraordinary Receipts or other proceeds that would not be included in calculating Consolidated EBITDA for the applicable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of the Security Agreement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(d) any U.S. Federal withholding Taxes imposed under FATCA.</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Company Indebtedness</w:t>
      </w:r>
      <w:r>
        <w:rPr>
          <w:rFonts w:ascii="Arial" w:cs="Arial" w:eastAsia="Arial" w:hAnsi="Arial"/>
          <w:sz w:val="18"/>
          <w:szCs w:val="18"/>
          <w:color w:val="auto"/>
        </w:rPr>
        <w:t>” means all Indebtedness evidenced by that certain Credit Agreement, dated as of December 22, 2010 (as amended through the Closing Date), by and between the Company, KeyBank National Association, as Administrative Agent, and the other parties thereto and the other loan documents thereunder.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193" w:name="page194"/>
    <w:bookmarkEnd w:id="193"/>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August 29, 2014 (as amended through the Closing Date), among the Borrower, KeyBank National Association, as administrative agent and a syndicate of lenders party thereto.</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means all existing Indebtedness of the Borrower and its Subsidiaries (including, without limitation, the Company and its Subsidiaries), including, without limitation, (a) the Existing KeyBank Indebtedness, (b) the Existing Term Loan Agreement Indebtedness, and (c) the Existing Company Indebtedness, but excluding Indebtedness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KeyBank Indebtedness</w:t>
      </w:r>
      <w:r>
        <w:rPr>
          <w:rFonts w:ascii="Arial" w:cs="Arial" w:eastAsia="Arial" w:hAnsi="Arial"/>
          <w:sz w:val="17"/>
          <w:szCs w:val="17"/>
          <w:color w:val="auto"/>
        </w:rPr>
        <w:t>” means all Indebtedness evidenced by the Existing Credit Agreement and the other loan documents thereunder.</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Agreement</w:t>
      </w:r>
      <w:r>
        <w:rPr>
          <w:rFonts w:ascii="Arial" w:cs="Arial" w:eastAsia="Arial" w:hAnsi="Arial"/>
          <w:sz w:val="18"/>
          <w:szCs w:val="18"/>
          <w:color w:val="auto"/>
        </w:rPr>
        <w:t>” means that certain Term Loan Agreement dated August 29, 2014 (as amended through the Closing Date), among the Borrower, Bank of America, N.A., as administrative agent and a syndicate of lenders party thereto.</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Agreement Indebtedness</w:t>
      </w:r>
      <w:r>
        <w:rPr>
          <w:rFonts w:ascii="Arial" w:cs="Arial" w:eastAsia="Arial" w:hAnsi="Arial"/>
          <w:sz w:val="18"/>
          <w:szCs w:val="18"/>
          <w:color w:val="auto"/>
        </w:rPr>
        <w:t>” means all Indebtedness evidenced by the Existing Term Loan Agreement and the other loan documents thereunder.</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7"/>
          <w:szCs w:val="17"/>
          <w:u w:val="single" w:color="auto"/>
          <w:color w:val="auto"/>
        </w:rPr>
        <w:t>Section 2.05(b)(iv)</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Facility or the Revolving Credit Facility,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94" w:name="page195"/>
    <w:bookmarkEnd w:id="1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KeyBank on such day on such transactions as determined by the Administrative Agent.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August 17, 2015, among the Borrower, KeyBank National Association, SunTrust Bank, Regions Bank and the Arrangers.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2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Benefit Plan</w:t>
      </w:r>
      <w:r>
        <w:rPr>
          <w:rFonts w:ascii="Arial" w:cs="Arial" w:eastAsia="Arial" w:hAnsi="Arial"/>
          <w:sz w:val="17"/>
          <w:szCs w:val="17"/>
          <w:color w:val="auto"/>
        </w:rPr>
        <w:t>”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the Borrower or any of its Subsidiaries have any liability with respect to any employee or former employee, but excluding any Foreign Pension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Excess Cash Flow</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6"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Pension Plan</w:t>
      </w:r>
      <w:r>
        <w:rPr>
          <w:rFonts w:ascii="Arial" w:cs="Arial" w:eastAsia="Arial" w:hAnsi="Arial"/>
          <w:sz w:val="17"/>
          <w:szCs w:val="17"/>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any political subdivision other than any political subdivision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5" w:name="page196"/>
    <w:bookmarkEnd w:id="195"/>
    <w:p>
      <w:pPr>
        <w:ind w:right="1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with respect to the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73"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Indemnity Letter</w:t>
      </w:r>
      <w:r>
        <w:rPr>
          <w:rFonts w:ascii="Arial" w:cs="Arial" w:eastAsia="Arial" w:hAnsi="Arial"/>
          <w:sz w:val="18"/>
          <w:szCs w:val="18"/>
          <w:color w:val="auto"/>
        </w:rPr>
        <w:t>” means, a letter agreement, in form and substance reasonably satisfactory to the Administrative Agent, that the Borrower will promptly compensate each Lender for and hold such Lender harmless from any loss, cost or expense incurred by it as a result of Borrower’s failure to borrow any Loan other than a Base Rate Loan on the Closing Date.</w:t>
      </w:r>
    </w:p>
    <w:p>
      <w:pPr>
        <w:spacing w:after="0" w:line="18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274" w:right="379" w:bottom="1440" w:gutter="0" w:footer="0" w:header="0"/>
        </w:sectPr>
      </w:pPr>
    </w:p>
    <w:bookmarkStart w:id="196" w:name="page197"/>
    <w:bookmarkEnd w:id="196"/>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6"/>
          <w:szCs w:val="16"/>
          <w:u w:val="single" w:color="auto"/>
          <w:color w:val="auto"/>
        </w:rPr>
        <w:t>Guarantee</w:t>
      </w:r>
      <w:r>
        <w:rPr>
          <w:rFonts w:ascii="Arial" w:cs="Arial" w:eastAsia="Arial" w:hAnsi="Arial"/>
          <w:sz w:val="16"/>
          <w:szCs w:val="16"/>
          <w:color w:val="auto"/>
        </w:rPr>
        <w:t>” as a verb has a corresponding meaning.</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 the Domestic Subsidiaries of the Borrower (other than Inactive Subsidiaries and Immaterial Subsidiaries) listed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and each other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(b) with respect to (i) Obligations owing by any Loan Party or any Subsidiary of a Loan Party (other than the Borrower) under any Hedge Agreement or any Cash Management Agreement and (ii) the payment and performance by each Specified Loan Party of its obligations under its Guaranty with respect to all Swap Obligations, the Borrower.</w:t>
      </w:r>
    </w:p>
    <w:p>
      <w:pPr>
        <w:spacing w:after="0" w:line="184"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collectively, the Guaranty made by the Guarantor</w:t>
      </w:r>
      <w:r>
        <w:rPr>
          <w:rFonts w:ascii="Arial" w:cs="Arial" w:eastAsia="Arial" w:hAnsi="Arial"/>
          <w:sz w:val="18"/>
          <w:szCs w:val="18"/>
          <w:b w:val="1"/>
          <w:bCs w:val="1"/>
          <w:color w:val="auto"/>
        </w:rPr>
        <w:t>s</w:t>
      </w:r>
      <w:r>
        <w:rPr>
          <w:rFonts w:ascii="Arial" w:cs="Arial" w:eastAsia="Arial" w:hAnsi="Arial"/>
          <w:sz w:val="18"/>
          <w:szCs w:val="18"/>
          <w:color w:val="auto"/>
        </w:rPr>
        <w:t xml:space="preserve"> in favor of the Secured Parties,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 at the time it enters into a Swap Contract with a Loan Party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is the Administrative Agent, an Affiliate of the Administrative Agent, a Lender or an Affiliate of a Lender or (b) at the time it (or its Affiliate) becomes the Administrative Agent or a Lender, as applicable (including on the Closing Date), is a party to a Swap Contract with a Loan Party, in each case in its capacity as a party to such Swap Contract.</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means any Subsidiary of the Borrower that, (a) together with its Subsidiaries, (i) contributed less than 2% of the Consolidated EBITDA of the Borrower and its Subsidiaries, taken as a whole, during the most recently-ended four fiscal quarter period (taken as a single period) and (ii) as of any applicable date of determination has assets that constitute less than 2%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97" w:name="page198"/>
    <w:bookmarkEnd w:id="19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own or hold any Lien on any property of, a Loan Party, (d) does not own any other Subsidiaries (other than Inactive Subsidiaries or Immaterial Subsidiaries) and (e) has not been designated to be a Loan Party pursuant to </w:t>
      </w:r>
      <w:r>
        <w:rPr>
          <w:rFonts w:ascii="Arial" w:cs="Arial" w:eastAsia="Arial" w:hAnsi="Arial"/>
          <w:sz w:val="18"/>
          <w:szCs w:val="18"/>
          <w:u w:val="single" w:color="auto"/>
          <w:color w:val="auto"/>
        </w:rPr>
        <w:t>Section 6.12(g)</w:t>
      </w:r>
      <w:r>
        <w:rPr>
          <w:rFonts w:ascii="Arial" w:cs="Arial" w:eastAsia="Arial" w:hAnsi="Arial"/>
          <w:sz w:val="18"/>
          <w:szCs w:val="18"/>
          <w:color w:val="auto"/>
        </w:rPr>
        <w:t xml:space="preserve">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Inactive Subsidiary</w:t>
      </w:r>
      <w:r>
        <w:rPr>
          <w:rFonts w:ascii="Arial" w:cs="Arial" w:eastAsia="Arial" w:hAnsi="Arial"/>
          <w:sz w:val="18"/>
          <w:szCs w:val="18"/>
          <w:color w:val="auto"/>
        </w:rPr>
        <w:t xml:space="preserve">” means any Subsidiary of the Borrower that (a) owns no assets (other than assets of de minimis value), has no Subsidiaries (other than other Inactive Subsidiaries) and conducts no operations,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and (d) has not been designated to be a Loan Party pursuant to </w:t>
      </w:r>
      <w:r>
        <w:rPr>
          <w:rFonts w:ascii="Arial" w:cs="Arial" w:eastAsia="Arial" w:hAnsi="Arial"/>
          <w:sz w:val="18"/>
          <w:szCs w:val="18"/>
          <w:u w:val="single" w:color="auto"/>
          <w:color w:val="auto"/>
        </w:rPr>
        <w:t>Section 6.12(g)</w:t>
      </w:r>
      <w:r>
        <w:rPr>
          <w:rFonts w:ascii="Arial" w:cs="Arial" w:eastAsia="Arial" w:hAnsi="Arial"/>
          <w:sz w:val="18"/>
          <w:szCs w:val="18"/>
          <w:color w:val="auto"/>
        </w:rPr>
        <w:t xml:space="preserve"> 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Excess Yield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Term Borrowing</w:t>
      </w:r>
      <w:r>
        <w:rPr>
          <w:rFonts w:ascii="Arial" w:cs="Arial" w:eastAsia="Arial" w:hAnsi="Arial"/>
          <w:sz w:val="17"/>
          <w:szCs w:val="17"/>
          <w:color w:val="auto"/>
        </w:rPr>
        <w:t xml:space="preserve">” means a borrowing made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with respect to Incremental Term Loans consisting of the same Type and, in the case of Eurodollar Rate Loans, having the same Interest Period, made by each of the Term Lenders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right="280" w:firstLine="464"/>
        <w:spacing w:after="0" w:line="277"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181" w:lineRule="exact"/>
        <w:rPr>
          <w:rFonts w:ascii="Arial" w:cs="Arial" w:eastAsia="Arial" w:hAnsi="Arial"/>
          <w:sz w:val="18"/>
          <w:szCs w:val="18"/>
          <w:color w:val="auto"/>
        </w:rPr>
      </w:pPr>
    </w:p>
    <w:p>
      <w:pPr>
        <w:jc w:val="both"/>
        <w:ind w:right="100" w:firstLine="464"/>
        <w:spacing w:after="0" w:line="264"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98" w:name="page199"/>
    <w:bookmarkEnd w:id="198"/>
    <w:p>
      <w:pPr>
        <w:ind w:left="680" w:hanging="216"/>
        <w:spacing w:after="0"/>
        <w:tabs>
          <w:tab w:leader="none" w:pos="6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Attributable Indebtedness in respect of Capitalized Leases and Synthetic Lease Obligations of such Person and all Synthetic Debt of such Person;</w:t>
      </w:r>
    </w:p>
    <w:p>
      <w:pPr>
        <w:spacing w:after="0" w:line="248" w:lineRule="exact"/>
        <w:rPr>
          <w:rFonts w:ascii="Arial" w:cs="Arial" w:eastAsia="Arial" w:hAnsi="Arial"/>
          <w:sz w:val="16"/>
          <w:szCs w:val="16"/>
          <w:color w:val="auto"/>
        </w:rPr>
      </w:pPr>
    </w:p>
    <w:p>
      <w:pPr>
        <w:jc w:val="both"/>
        <w:ind w:right="180" w:firstLine="464"/>
        <w:spacing w:after="0" w:line="264"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181"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obligations of such Person with respect to asset securitization financing programs to the extent that there is recourse against such Person or such Person is liable (contingent or otherwise) under any such program;</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 and</w:t>
      </w:r>
    </w:p>
    <w:p>
      <w:pPr>
        <w:spacing w:after="0" w:line="225" w:lineRule="exact"/>
        <w:rPr>
          <w:rFonts w:ascii="Arial" w:cs="Arial" w:eastAsia="Arial" w:hAnsi="Arial"/>
          <w:sz w:val="18"/>
          <w:szCs w:val="18"/>
          <w:color w:val="auto"/>
        </w:rPr>
      </w:pPr>
    </w:p>
    <w:p>
      <w:pPr>
        <w:ind w:right="360" w:firstLine="464"/>
        <w:spacing w:after="0" w:line="264" w:lineRule="auto"/>
        <w:tabs>
          <w:tab w:leader="none" w:pos="67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Borrowing</w:t>
      </w:r>
      <w:r>
        <w:rPr>
          <w:rFonts w:ascii="Arial" w:cs="Arial" w:eastAsia="Arial" w:hAnsi="Arial"/>
          <w:sz w:val="18"/>
          <w:szCs w:val="18"/>
          <w:color w:val="auto"/>
        </w:rPr>
        <w:t xml:space="preserve">” means a borrowing made on the Closing Date, with respect to Initial Term Loans consisting of the same Type and, in the case of Eurodollar Rate Loans, having the same Interest Period, made by each of the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Commitment</w:t>
      </w:r>
      <w:r>
        <w:rPr>
          <w:rFonts w:ascii="Arial" w:cs="Arial" w:eastAsia="Arial" w:hAnsi="Arial"/>
          <w:sz w:val="16"/>
          <w:szCs w:val="16"/>
          <w:color w:val="auto"/>
        </w:rPr>
        <w:t xml:space="preserve">” means, as to each Term Lender, its obligation to make Initial Term Loans to the Borrower on the Closing Date with respect to the Initial Term Facility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“Term Commitment” or opposite such caption in the Assignment and Assumption pursuant to which such Lender becomes a party hereto, as applicable, as such amount may be adjusted from time to time in accordance with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99" w:name="page200"/>
    <w:bookmarkEnd w:id="1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an advance made by any Term Lender under the Term Facility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4.01(a)(iv)</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(b) as to any Base Rate Loan, the last Business Day of each March, June, September and December and the Maturity Date of the Facility under which such Loan was made; and (c) as to any Swing Line Loan, the second Business Day after the last day of each March, June, September and December and the Maturity Date of the Revolving Credit Facility.</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firstLine="443"/>
        <w:spacing w:after="0" w:line="264" w:lineRule="auto"/>
        <w:tabs>
          <w:tab w:leader="none" w:pos="111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16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220" w:hanging="317"/>
        <w:spacing w:after="0"/>
        <w:tabs>
          <w:tab w:leader="none" w:pos="12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00" w:name="page201"/>
    <w:bookmarkEnd w:id="20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an L/C Issuer and the Borrower (or any Subsidiary) or in favor of such L/C Issuer and relating to such Letter of Credit.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KeyBank</w:t>
      </w:r>
      <w:r>
        <w:rPr>
          <w:rFonts w:ascii="Arial" w:cs="Arial" w:eastAsia="Arial" w:hAnsi="Arial"/>
          <w:sz w:val="18"/>
          <w:szCs w:val="18"/>
          <w:color w:val="auto"/>
        </w:rPr>
        <w:t>” means KeyBank National Association.</w:t>
      </w:r>
    </w:p>
    <w:p>
      <w:pPr>
        <w:spacing w:after="0" w:line="22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incurrence of any Indebtedness, the latest maturity or expiration date applicable to any Loan or Commitment hereunder at such time, including the latest maturity or expiration of any Initial Term Loan or any Incremental Term Loan or any applicable Commitment in respect thereof, in each case then outstanding and as extended in accordance with this Agreement from time to time.</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extension of the expiry date thereof or the increase of the amount thereof.</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individually or collectively as the context may indicate, (a) KeyBank, SunTrust Bank and Regions Bank, in each case, in their respective capacity as issuer of Letters of Credit hereunder, or any successor issuer of Letters of Credit hereunder and (b) any other Revolving Credit Lender, selected by the Borrower and reasonably acceptable to the Administrative Agent, which consents to its appointment by the Borrower as an issue of Letters of Credit hereunder and becomes an L/C Issuer hereunder pursuant to a joinder agreement in form and substance reasonably satisfactory to the Administrative Agent and its counsel, in its capacity as an issuer of Letters of Credit hereunder or any successor to such Lender in its capacity as an issuer of Letters of Credit hereunder.</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01" w:name="page202"/>
    <w:bookmarkEnd w:id="2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providing for the payment of cash upon the honoring of a presentation thereunder.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 L/C Issuer.</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thirty days prior to the Maturity Date then in effect for the Revolving Credit Facility (or, if such day is not a Business Day, the next preceding Business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in the aggregate, an amount equal to the lesser of (a) $15,000,000 and (b) the Revolving Credit Facility and, with respect to each L/C Issuer, an amount not to exceed $5,000,000 unless otherwise agreed to by such L/C Issuer. The Letter of Credit Sublimit is part of, and not in addition to, the Revolving Credit Facility.</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Loan, a Revolving Credit Loan or a Swing Line Loan.</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collectively, (a) this Agreement, (b) the Notes, (c) any agreement creating or perfecting rights in cash collateral pursuant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of this Agreement, (d) the Collateral Documents, (e) the Guaranty, (f) the Fee Letter and (g) each Issuer Document.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02" w:name="page203"/>
    <w:bookmarkEnd w:id="2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liabilities (actual or contingent), operations, condition (financial or otherwise) or prospects of the Borrower, (b) the business, assets, liabilities (actual or contingent), operations, condition (financial or otherwise) or prospects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 Agreement</w:t>
      </w:r>
      <w:r>
        <w:rPr>
          <w:rFonts w:ascii="Arial" w:cs="Arial" w:eastAsia="Arial" w:hAnsi="Arial"/>
          <w:sz w:val="18"/>
          <w:szCs w:val="18"/>
          <w:color w:val="auto"/>
        </w:rPr>
        <w:t>” means any debt instrument, lease (capital, operating or otherwise), guaranty, contract, commitment, agreement or other arrangement evidencing or entered into in connection with any Indebtedness of the Borrower or any Subsidiary in excess of $30,000,000, including, without limitation, the New Notes Documents.</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real property owned by a Loan Party in fee simple or leasehold real property of a Loan Party that (a) has a fair market value of $7,500,000 or (b) is designated by the Borrower in accordance with </w:t>
      </w:r>
      <w:r>
        <w:rPr>
          <w:rFonts w:ascii="Arial" w:cs="Arial" w:eastAsia="Arial" w:hAnsi="Arial"/>
          <w:sz w:val="18"/>
          <w:szCs w:val="18"/>
          <w:u w:val="single" w:color="auto"/>
          <w:color w:val="auto"/>
        </w:rPr>
        <w:t>Section 6.12(h)</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(a) with respect to the Revolving Credit Facility, October 19, 2020, (b) with respect to the Initial Term Facility, October 19, 2022, and (c) with respect to any Incremental Term Facility, as determined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each case, if such maturity is extended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such maturity date as determined pursuant to such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if such date is not a Business Day, the Maturity Date shall be the next preceding Business Day. Notwithstanding the foregoing, if more than $25,000,000 in aggregate principal amount of the New Notes remains outstanding (and not refinanced or replaced (including by amendment and extension) with Permitted Notes Refinancing Debt on the date that is 180 days prior to the applicable Maturity Date (such date, the “</w:t>
      </w:r>
      <w:r>
        <w:rPr>
          <w:rFonts w:ascii="Arial" w:cs="Arial" w:eastAsia="Arial" w:hAnsi="Arial"/>
          <w:sz w:val="17"/>
          <w:szCs w:val="17"/>
          <w:u w:val="single" w:color="auto"/>
          <w:color w:val="auto"/>
        </w:rPr>
        <w:t>New Maturity Date</w:t>
      </w:r>
      <w:r>
        <w:rPr>
          <w:rFonts w:ascii="Arial" w:cs="Arial" w:eastAsia="Arial" w:hAnsi="Arial"/>
          <w:sz w:val="17"/>
          <w:szCs w:val="17"/>
          <w:color w:val="auto"/>
        </w:rPr>
        <w:t>”)), the Maturity Date with respect to the Revolving Credit Facility, the Initial Term Facility and any Incremental Term Facility shall be no later than the New Maturity Date. For the purposes of this definition, “Permitted Notes Refinancing Debt” means Indebtedness that (i) is not an obligation of any Subsidiary that is not a Loan Party, (ii) matures no earlier than 91 days after the then Latest Maturity Date at the time such Indebtedness is incurred, (iii) has no interim amortization, (iv) has no mandatory prepayments or offers to purchase that are materially more onerous, taken as a whole, than those contained as of the Closing Date in the New Notes, (v) has no other covenants and events of default that are materially more onerous, taken as a whole, to the Borrower and its Subsidiaries than those contained in the New Notes, (vi) to the extent such Indebtedness has the benefit of any assets of the Borrower or any Subsidiary of the Borrower as collateral, such Lien is on a junior basis to each Facility and (vii) is otherwise permitted to be incurred hereunder.</w:t>
      </w:r>
    </w:p>
    <w:p>
      <w:pPr>
        <w:spacing w:after="0" w:line="18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means, at any time, (i) with respect to Cash Collateral consisting of cash or deposit account balances provided to reduce or eliminate Fronting Exposure during the existence of a Defaulting Lender, an amount equal to 105% of the Fronting Exposure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03" w:name="page204"/>
    <w:bookmarkEnd w:id="203"/>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applicable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6"/>
          <w:szCs w:val="16"/>
          <w:u w:val="single" w:color="auto"/>
          <w:color w:val="auto"/>
        </w:rPr>
        <w:t>Section 2.16(a)(i)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(a)(iii)</w:t>
      </w:r>
      <w:r>
        <w:rPr>
          <w:rFonts w:ascii="Arial" w:cs="Arial" w:eastAsia="Arial" w:hAnsi="Arial"/>
          <w:sz w:val="16"/>
          <w:szCs w:val="16"/>
          <w:color w:val="auto"/>
        </w:rPr>
        <w:t>, an amount equal to 105% of the Outstanding Amount of all L/C Obligations, and (iii) otherwise, an amount determined by the Administrative Agent and the applicable L/C Issuer in their sole discretion.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225"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means any real property owned in fee simple by any Loan Party or leased by any Loan Party, which real property is or is intended under the terms hereof to be subject to a Lien in favor of the Administrative Agent for the benefit of the Secured Parties.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ind w:firstLine="464"/>
        <w:spacing w:after="0" w:line="288" w:lineRule="auto"/>
        <w:tabs>
          <w:tab w:leader="none" w:pos="70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this subclause (C) exceeds the amount of taxes actually required to be paid in cash in respect of such Disposition, the aggregate amount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04" w:name="page205"/>
    <w:bookmarkEnd w:id="20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excess shall constitute Net Cash Proceeds and (D) amounts held in any reserve created for escrow, holdback, indemnity or similar obligations of the Borrower or any of its Subsidiaries in connection with such Disposition (provided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cash or Cash Equivalents received in connection with any Disposition or Extraordinary Receipt shall only constitute Net Cash Proceeds under this clause (a) in any fiscal year to the extent that the aggregate amount of such cash and Cash Equivalents received in such fiscal year exceeds $5,000,000 (and solely to the extent of such excess); and</w:t>
      </w:r>
    </w:p>
    <w:p>
      <w:pPr>
        <w:spacing w:after="0" w:line="178" w:lineRule="exact"/>
        <w:rPr>
          <w:sz w:val="20"/>
          <w:szCs w:val="20"/>
          <w:color w:val="auto"/>
        </w:rPr>
      </w:pPr>
    </w:p>
    <w:p>
      <w:pPr>
        <w:ind w:firstLine="464"/>
        <w:spacing w:after="0" w:line="264" w:lineRule="auto"/>
        <w:tabs>
          <w:tab w:leader="none" w:pos="71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w:t>
      </w:r>
      <w:r>
        <w:rPr>
          <w:rFonts w:ascii="Arial" w:cs="Arial" w:eastAsia="Arial" w:hAnsi="Arial"/>
          <w:sz w:val="18"/>
          <w:szCs w:val="18"/>
          <w:color w:val="auto"/>
        </w:rPr>
        <w:t xml:space="preserve">” means the 10.25% Senior Notes due 2020 issued by the Borrower and any notes issued in connection with any Refinancing Indebtedness thereof to the extent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Documents</w:t>
      </w:r>
      <w:r>
        <w:rPr>
          <w:rFonts w:ascii="Arial" w:cs="Arial" w:eastAsia="Arial" w:hAnsi="Arial"/>
          <w:sz w:val="18"/>
          <w:szCs w:val="18"/>
          <w:color w:val="auto"/>
        </w:rPr>
        <w:t>” means, collectively, (a) the New Notes, (b) the New Notes Indenture and (c) all other material documents entered into by any Loan Party in connection therewith.</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Indenture</w:t>
      </w:r>
      <w:r>
        <w:rPr>
          <w:rFonts w:ascii="Arial" w:cs="Arial" w:eastAsia="Arial" w:hAnsi="Arial"/>
          <w:sz w:val="18"/>
          <w:szCs w:val="18"/>
          <w:color w:val="auto"/>
        </w:rPr>
        <w:t>” means the Indenture dated as of Closing Date, by and between the Borrower and the Notes Trustee, and any other Indenture governing the New Notes.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Trustee</w:t>
      </w:r>
      <w:r>
        <w:rPr>
          <w:rFonts w:ascii="Arial" w:cs="Arial" w:eastAsia="Arial" w:hAnsi="Arial"/>
          <w:sz w:val="18"/>
          <w:szCs w:val="18"/>
          <w:color w:val="auto"/>
        </w:rPr>
        <w:t>” means U.S. Bank National Association, in its capacity as trustee under the New Notes Indenture, and any other trustee under any New Notes Indenture.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 or a Revolving Credit Note, as the context may require.</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provided that the Obligations shall exclude any Excluded Swap Obligations.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206" w:name="page207"/>
    <w:bookmarkEnd w:id="2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Foreign Subsidiary and other Loans and Investments</w:t>
      </w:r>
      <w:r>
        <w:rPr>
          <w:rFonts w:ascii="Arial" w:cs="Arial" w:eastAsia="Arial" w:hAnsi="Arial"/>
          <w:sz w:val="18"/>
          <w:szCs w:val="18"/>
          <w:color w:val="auto"/>
        </w:rPr>
        <w:t>” means, collectively:</w:t>
      </w:r>
    </w:p>
    <w:p>
      <w:pPr>
        <w:spacing w:after="0" w:line="225" w:lineRule="exact"/>
        <w:rPr>
          <w:sz w:val="20"/>
          <w:szCs w:val="20"/>
          <w:color w:val="auto"/>
        </w:rPr>
      </w:pPr>
    </w:p>
    <w:p>
      <w:pPr>
        <w:ind w:right="280" w:firstLine="464"/>
        <w:spacing w:after="0" w:line="277" w:lineRule="auto"/>
        <w:tabs>
          <w:tab w:leader="none" w:pos="70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any investment existing as of the Closing Date by the Borrower or any of its Subsidiaries in, and any loan existing as of the Closing Date by the Borrower or any of its Subsidiaries to, a Foreign Subsidiary, as set forth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right="100" w:firstLine="464"/>
        <w:spacing w:after="0" w:line="286" w:lineRule="auto"/>
        <w:tabs>
          <w:tab w:leader="none" w:pos="71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any investment by a Foreign Subsidiary in, or loan from a Foreign Subsidiary to, or Guarantee by a Foreign Subsidiary of Indebtedness of,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loan or Guarantee or, if applicable, such Investment, is subordinated to the Obligations on terms and conditions satisfactory to the Administrative Agent (unless such subordination requirement is waived by the Administrative Agent in its sole discretion); and</w:t>
      </w:r>
    </w:p>
    <w:p>
      <w:pPr>
        <w:spacing w:after="0" w:line="165" w:lineRule="exact"/>
        <w:rPr>
          <w:rFonts w:ascii="Arial" w:cs="Arial" w:eastAsia="Arial" w:hAnsi="Arial"/>
          <w:sz w:val="17"/>
          <w:szCs w:val="17"/>
          <w:color w:val="auto"/>
        </w:rPr>
      </w:pPr>
    </w:p>
    <w:p>
      <w:pPr>
        <w:ind w:firstLine="464"/>
        <w:spacing w:after="0" w:line="257" w:lineRule="auto"/>
        <w:tabs>
          <w:tab w:leader="none" w:pos="70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 any investment by any Loan Party in, or loan by any Loan Party to, or Guarantee by any Loan Party of the Indebtedness of, a Foreign Subsidiary or (ii) any investment by any Loan Party in the Equity Interest of, or loan, contribution or advance by any Loan Party to, a Person other than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any Investment under this clause (c) and after giving effect thereto, the aggregate amount of all such investments, loans, Guarantees, contributions and advances made pursuant to clauses (i) and (ii) above shall not exceed $30,000,000 during any fiscal year and $60,000,000 during the term of this Agreement.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Note</w:t>
      </w:r>
      <w:r>
        <w:rPr>
          <w:rFonts w:ascii="Arial" w:cs="Arial" w:eastAsia="Arial" w:hAnsi="Arial"/>
          <w:sz w:val="18"/>
          <w:szCs w:val="18"/>
          <w:color w:val="auto"/>
        </w:rPr>
        <w:t>” means any promissory note made by any Subsidiary to the Borrower or a Loan Party, whether now owned or hereafter acquired by the Borrower or such Loan Party.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4" w:right="319" w:bottom="1440" w:gutter="0" w:footer="0" w:header="0"/>
        </w:sectPr>
      </w:pPr>
    </w:p>
    <w:bookmarkStart w:id="207" w:name="page208"/>
    <w:bookmarkEnd w:id="207"/>
    <w:p>
      <w:pPr>
        <w:ind w:right="16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Precious Metal Consignment Agreements</w:t>
      </w:r>
      <w:r>
        <w:rPr>
          <w:rFonts w:ascii="Arial" w:cs="Arial" w:eastAsia="Arial" w:hAnsi="Arial"/>
          <w:sz w:val="16"/>
          <w:szCs w:val="16"/>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54"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Leverage Test</w:t>
      </w:r>
      <w:r>
        <w:rPr>
          <w:rFonts w:ascii="Arial" w:cs="Arial" w:eastAsia="Arial" w:hAnsi="Arial"/>
          <w:sz w:val="16"/>
          <w:szCs w:val="16"/>
          <w:color w:val="auto"/>
        </w:rPr>
        <w:t xml:space="preserve">” means, as of any date of determination, with respect to any Specified Transaction,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Net Leverage Ratio that is equal to or less than (i) for the period from the Closing Date through December 31, 2016, 5.00 to 1.00, (ii) for the period from January 1, 2017 through December 31, 2017, 4.50 to 1.00 and (iii) any time after January 1, 2018, 4.00 to 1.00, in each case, determined based on the financial information received for the fiscal quarter (or fiscal year, as applicable) most recently ended prior to such date for which financial statements have been delivered to the Administrative Agent pursuant to </w:t>
      </w:r>
      <w:r>
        <w:rPr>
          <w:rFonts w:ascii="Arial" w:cs="Arial" w:eastAsia="Arial" w:hAnsi="Arial"/>
          <w:sz w:val="16"/>
          <w:szCs w:val="16"/>
          <w:u w:val="single" w:color="auto"/>
          <w:color w:val="auto"/>
        </w:rPr>
        <w:t>Section 4.01(a)(x)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6.01(b)</w:t>
      </w:r>
      <w:r>
        <w:rPr>
          <w:rFonts w:ascii="Arial" w:cs="Arial" w:eastAsia="Arial" w:hAnsi="Arial"/>
          <w:sz w:val="16"/>
          <w:szCs w:val="16"/>
          <w:color w:val="auto"/>
        </w:rPr>
        <w:t>, as applicable, after giving effect to such Specified Transaction and any other Specified Transaction consummated after the date of such financial statements and on or prior to the date of such Specified Transaction.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Receivables Transaction</w:t>
      </w:r>
      <w:r>
        <w:rPr>
          <w:rFonts w:ascii="Arial" w:cs="Arial" w:eastAsia="Arial" w:hAnsi="Arial"/>
          <w:sz w:val="16"/>
          <w:szCs w:val="16"/>
          <w:color w:val="auto"/>
        </w:rPr>
        <w:t>”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which are customarily transferred or in respect of which security interests are customarily granted in connection with asset securitization transactions involving Receivables; provided that all such Qualified Receivables Transactions shall be made at fair market value (including after giving effect to any Receivables Fees); provided further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 (z) 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$20,000,000 in the aggregate for all Qualified Receivables Transactions during the term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08" w:name="page209"/>
    <w:bookmarkEnd w:id="208"/>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Real Estate Requirements</w:t>
      </w:r>
      <w:r>
        <w:rPr>
          <w:rFonts w:ascii="Arial" w:cs="Arial" w:eastAsia="Arial" w:hAnsi="Arial"/>
          <w:sz w:val="18"/>
          <w:szCs w:val="18"/>
          <w:color w:val="auto"/>
        </w:rPr>
        <w:t xml:space="preserve">” means, with respect to any Material Real Property, the documentation and other items of the type specified in Section 1 of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any Loan Party hereunder.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“Refinanced” and “Refinancing” shall have correlative meanings.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any Refinancing, modification, replacement, restatement, refunding, deferral, extension, substitution, supplement, reissuance or resale of existing or future Indebtedness (other than intercompany Indebtedness), including any additional Indebtedness incurred to pay interest or premiums required by the instruments governing such existing or future Indebtedness as in effect at the time of issuance thereof (“</w:t>
      </w:r>
      <w:r>
        <w:rPr>
          <w:rFonts w:ascii="Arial" w:cs="Arial" w:eastAsia="Arial" w:hAnsi="Arial"/>
          <w:sz w:val="16"/>
          <w:szCs w:val="16"/>
          <w:u w:val="single" w:color="auto"/>
          <w:color w:val="auto"/>
        </w:rPr>
        <w:t>Required Premiums</w:t>
      </w:r>
      <w:r>
        <w:rPr>
          <w:rFonts w:ascii="Arial" w:cs="Arial" w:eastAsia="Arial" w:hAnsi="Arial"/>
          <w:sz w:val="16"/>
          <w:szCs w:val="16"/>
          <w:color w:val="auto"/>
        </w:rPr>
        <w:t>”) and fees in connection therewith; provided that any such Refinancing, modification, replacement, restatement, refunding, deferral, extension, substitution, supplement, reissuance or resale shall not: (i) directly or indirectly result in an increase in the aggregate principal amount of such Indebtedness, except to the extent such increase is a result of a simultaneous incurrence of additional Indebtedness to pay Required Premiums and related fees and expenses; or (ii) result in Indebtedness with a weighted average life to maturity at the time of such Refinancing, modification, replacement, restatement, refunding, deferral, extension, substitution, supplement, reissuance or resale that is less than the weighted average life to maturity at such time of the Indebtedness being Refinanced, modified, replaced, renewed, restated, refunded, deferred, extended, substituted, supplemented, reissued or resold; or (iii) if the Indebtedness being Refinanced, modified, replaced, restated, refunded, deferred, extended, substituted, supplemented, reissued or resold is subordinated in right of payment or Lien priority to the Obligations or the Guarantees thereof, such Refinancing Indebtedness is subordinated in right of payment or Lien priority to the Obligations or the Guarantees thereof or Liens thereof, as applicable, on terms at least as favorable to the Lenders as those contained in the documentation governing the Indebtedness being Refinanced, modified, replaced, restated, refunded, deferred, extended, substituted, supplemented, reissued or resold.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Documents</w:t>
      </w:r>
      <w:r>
        <w:rPr>
          <w:rFonts w:ascii="Arial" w:cs="Arial" w:eastAsia="Arial" w:hAnsi="Arial"/>
          <w:sz w:val="18"/>
          <w:szCs w:val="18"/>
          <w:color w:val="auto"/>
        </w:rPr>
        <w:t>” means, collectively, (a) the Closing Date Acquisition Agreement and (b) all other material documents entered into by any Loan Party in connection with the Closing Date Acquisition.</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7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Event</w:t>
      </w:r>
      <w:r>
        <w:rPr>
          <w:rFonts w:ascii="Arial" w:cs="Arial" w:eastAsia="Arial" w:hAnsi="Arial"/>
          <w:sz w:val="16"/>
          <w:szCs w:val="16"/>
          <w:color w:val="auto"/>
        </w:rPr>
        <w:t>” means (a) any prepayment or repayment of the initial Loans (or any portion thereof) with the proceeds of, or any conversion of initial Loans into, any new or replacement Indebtedness bearing interest with an “effective yield” (taking into account, for example, upfront fees, interest rate spreads, interest rate benchmark floors and original issue discount, but excluding the effect of any arrangement, structuring, syndication or other fees payable in connection therewith that are not shared with all lenders or holders of the initial Loans or such new or replacement Indebtedness, as the case may be) less than the “effective yield” applicable to all or a portion of the initial Loans subject to such prepayment or repayment (as such comparative yields are determined by the Administrative Agent) or (b) any amendment to this Agreement which reduces the “effective yield” (determined in accordance with clause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 above) applicable to all or a portion of the initial Loans.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8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unused Revolving Credit Commitment of, and the portion of the Total Revolving Credit Outstandings and the Term Facility held or deemed held by, any Defaulting Lender shall be excluded for purposes of making a determination of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such time there are three or fewer unaffiliated Lenders (other than Defaulting Lenders), Required Lenders shall also require not fewer than two unaffiliated Lenders (other than Defaulting Lenders).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10" w:name="page211"/>
    <w:bookmarkEnd w:id="21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such time there are three or fewer unaffiliated Revolving Credit Lenders (other than Defaulting Lenders), Required Revolving Lenders shall also require not fewer than two unaffiliated Lenders (other than Defaulting Lenders).</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Lenders</w:t>
      </w:r>
      <w:r>
        <w:rPr>
          <w:rFonts w:ascii="Arial" w:cs="Arial" w:eastAsia="Arial" w:hAnsi="Arial"/>
          <w:sz w:val="18"/>
          <w:szCs w:val="18"/>
          <w:color w:val="auto"/>
        </w:rPr>
        <w:t xml:space="preserve">” means, as of any date of determination, Term Lenders holding more than 50% of the sum of the (a) Term Loans outstanding on such date and (b) the aggregate unused Term Commitments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Term Facility held by any Defaulting Lender shall be excluded for purposes of making a determination of Required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such time there are three or fewer unaffiliated Term Lenders (other than Defaulting Lenders), Required Term Lenders shall also require not fewer than two unaffiliated Lenders (other than Defaulting Lenders).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or controller of a Loan Party, solely for purposes of the delivery of incumbency certificates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secretary or any assistant secretary of a Loan Party and, solely for the purposes of notices given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8"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with respect to the Borrower or any of its Subsidiaries, (a) any Capital Distribution and (b) any amount paid by the Borrower or any of its Subsidiaries in repayment, redemption, retirement or repurchase, directly or indirectly, of any Subordinated Indebtedness or the Indebtedness evidenced by the New Notes.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Commitments</w:t>
      </w:r>
      <w:r>
        <w:rPr>
          <w:rFonts w:ascii="Arial" w:cs="Arial" w:eastAsia="Arial" w:hAnsi="Arial"/>
          <w:sz w:val="18"/>
          <w:szCs w:val="18"/>
          <w:color w:val="auto"/>
        </w:rPr>
        <w:t xml:space="preserve">” means, as to each Revolving Credit Lender, its obligation to (a) make Revolving Credit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(b) purchase participations in L/C Obligations, and (c) purchase participations in Swing Line Loans, in an aggregate principal amount at any one time outstanding not to exceed the amount set forth opposite such Lender’s name on Schedule 2.01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4" w:right="319" w:bottom="1440" w:gutter="0" w:footer="0" w:header="0"/>
        </w:sectPr>
      </w:pPr>
    </w:p>
    <w:bookmarkStart w:id="211" w:name="page212"/>
    <w:bookmarkEnd w:id="211"/>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Credit Loans and such Lender’s participation in L/C Obligations and Swing Line Loans at such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at any time, the aggregate amount of the Revolving Credit Lenders’ Revolving Credit Commitments at such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the Closing Date, the Revolving Credit Facility is $100,000,000.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2.14(d)(ii)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any Loan Party and any Hedge Bank.</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Issuers,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Joinder Agreement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Account</w:t>
      </w:r>
      <w:r>
        <w:rPr>
          <w:rFonts w:ascii="Arial" w:cs="Arial" w:eastAsia="Arial" w:hAnsi="Arial"/>
          <w:sz w:val="17"/>
          <w:szCs w:val="17"/>
          <w:color w:val="auto"/>
        </w:rPr>
        <w:t>” means an Account which Borrower or a Subsidiary has sold to, or otherwise has granted a Lien on or in favor of, the purchaser pursuant to a Qualified Receivables Transaction, for which such Credit Party has received the purchase price for such Account.</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Loan Party</w:t>
      </w:r>
      <w:r>
        <w:rPr>
          <w:rFonts w:ascii="Arial" w:cs="Arial" w:eastAsia="Arial" w:hAnsi="Arial"/>
          <w:sz w:val="16"/>
          <w:szCs w:val="16"/>
          <w:color w:val="auto"/>
        </w:rPr>
        <w:t xml:space="preserve">” means any Loan Party that is not an “eligible contract participant” under the Commodity Exchange Act (determined prior to giving effect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the Security Agreement and any other “keepwell, support or other agreement” for the benefit of such Loan Party).</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Purchase Agreement Representations</w:t>
      </w:r>
      <w:r>
        <w:rPr>
          <w:rFonts w:ascii="Arial" w:cs="Arial" w:eastAsia="Arial" w:hAnsi="Arial"/>
          <w:sz w:val="18"/>
          <w:szCs w:val="18"/>
          <w:color w:val="auto"/>
        </w:rPr>
        <w:t>” means the representations and warranties made by, or with respect to, the Company and its Subsidiaries in the Closing Date Acquisition Agreement as are material to the interests of the Lenders (in their capacities as such), but only to the extent that the Borrower (or any of its Affiliates) have the right to terminate the Borrower’s obligations under the Closing Date Acquisition Agreement (or decline or otherwise refuse to consummate the Closing Date Acquisition pursuant to the Closing Date Acquisition Agreement) as a result of a breach of any such representation and warranty in the Closing Date Acquisition Agreement or any such representation and warranty not being accurate (in each case, determined without regard to any notice requirement).</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(other than clauses (b) and (c) thereof), </w:t>
      </w:r>
      <w:r>
        <w:rPr>
          <w:rFonts w:ascii="Arial" w:cs="Arial" w:eastAsia="Arial" w:hAnsi="Arial"/>
          <w:sz w:val="17"/>
          <w:szCs w:val="17"/>
          <w:u w:val="single" w:color="auto"/>
          <w:color w:val="auto"/>
        </w:rPr>
        <w:t>5.06</w:t>
      </w:r>
      <w:r>
        <w:rPr>
          <w:rFonts w:ascii="Arial" w:cs="Arial" w:eastAsia="Arial" w:hAnsi="Arial"/>
          <w:sz w:val="17"/>
          <w:szCs w:val="17"/>
          <w:color w:val="auto"/>
        </w:rPr>
        <w:t xml:space="preserve"> (subject to the last sentence of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respect to the perfection of liens),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(determined for this purpose for the Borrower and its Subsidiaries on a consolidated basis as of the Closing Date and after giving effect to the Transactions), </w:t>
      </w:r>
      <w:r>
        <w:rPr>
          <w:rFonts w:ascii="Arial" w:cs="Arial" w:eastAsia="Arial" w:hAnsi="Arial"/>
          <w:sz w:val="17"/>
          <w:szCs w:val="17"/>
          <w:u w:val="single" w:color="auto"/>
          <w:color w:val="auto"/>
        </w:rPr>
        <w:t>5.15</w:t>
      </w:r>
      <w:r>
        <w:rPr>
          <w:rFonts w:ascii="Arial" w:cs="Arial" w:eastAsia="Arial" w:hAnsi="Arial"/>
          <w:sz w:val="17"/>
          <w:szCs w:val="17"/>
          <w:color w:val="auto"/>
        </w:rPr>
        <w:t xml:space="preserve">, </w:t>
      </w:r>
      <w:r>
        <w:rPr>
          <w:rFonts w:ascii="Arial" w:cs="Arial" w:eastAsia="Arial" w:hAnsi="Arial"/>
          <w:sz w:val="17"/>
          <w:szCs w:val="17"/>
          <w:u w:val="single" w:color="auto"/>
          <w:color w:val="auto"/>
        </w:rPr>
        <w:t>5.21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5.26</w:t>
      </w:r>
      <w:r>
        <w:rPr>
          <w:rFonts w:ascii="Arial" w:cs="Arial" w:eastAsia="Arial" w:hAnsi="Arial"/>
          <w:sz w:val="17"/>
          <w:szCs w:val="17"/>
          <w:color w:val="auto"/>
        </w:rPr>
        <w:t>.</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Acquisition, Investment or Restricted Payment (in each case, whether or not consummated and including any such transaction consummated prior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4" w:right="299" w:bottom="1440" w:gutter="0" w:footer="0" w:header="0"/>
        </w:sectPr>
      </w:pPr>
    </w:p>
    <w:bookmarkStart w:id="213" w:name="page214"/>
    <w:bookmarkEnd w:id="213"/>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Closing Date) and/or (ii) equity issuances, issuances of Indebtedness (including the incurrence of Incremental Loans) or other Refinancings, repayments, financings and amendments or other modifications or waivers of debt instruments or documents, mergers, Investments (other than Investments in cash or Cash Equivalents), Restricted Payments or dispositions outside of the ordinary course of business permitted by the Loan Documents</w:t>
      </w:r>
    </w:p>
    <w:p>
      <w:pPr>
        <w:spacing w:after="0" w:line="14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w:t>
      </w:r>
      <w:r>
        <w:rPr>
          <w:rFonts w:ascii="Arial" w:cs="Arial" w:eastAsia="Arial" w:hAnsi="Arial"/>
          <w:sz w:val="17"/>
          <w:szCs w:val="17"/>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Borrower.</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214" w:name="page215"/>
    <w:bookmarkEnd w:id="2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Regions, in its capacity as provider of Swing Line Loans, or any successor swing line lender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Swing Line Lender and the Administrative Agent, appropriately completed and signed by a Responsible Officer of the Borrower.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$10,000,000 and (b) the Revolving Credit Facility. The Swing Line Sublimit is part of, and not in addition to, the Revolving Credit Facility.</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firstLine="8"/>
        <w:spacing w:after="0" w:line="255" w:lineRule="auto"/>
        <w:tabs>
          <w:tab w:leader="none" w:pos="2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Borrowings</w:t>
      </w:r>
      <w:r>
        <w:rPr>
          <w:rFonts w:ascii="Arial" w:cs="Arial" w:eastAsia="Arial" w:hAnsi="Arial"/>
          <w:sz w:val="18"/>
          <w:szCs w:val="18"/>
          <w:color w:val="auto"/>
        </w:rPr>
        <w:t>” means, collectively, Initial Term Borrowings and Incremental Borrowings.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xml:space="preserve">” means, as to each Term Lender, its obligation to (a) make Initial Term Loans to the Borrower on the Closing Date with respect to the Term Facility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(b) make Incremental Term Loans to the Borrower pursuant to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in an aggregate principal amount, as of the Closing Date,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Commitment” or opposite such caption in the Assignment and Assumption pursuant to which such Lender becomes a party hereto, as applicable, as such amount may be adjusted from time to time in accordance with this Agreement.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274" w:right="339" w:bottom="1440" w:gutter="0" w:footer="0" w:header="0"/>
        </w:sectPr>
      </w:pPr>
    </w:p>
    <w:bookmarkStart w:id="215" w:name="page216"/>
    <w:bookmarkEnd w:id="215"/>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Term Facility</w:t>
      </w:r>
      <w:r>
        <w:rPr>
          <w:rFonts w:ascii="Arial" w:cs="Arial" w:eastAsia="Arial" w:hAnsi="Arial"/>
          <w:sz w:val="17"/>
          <w:szCs w:val="17"/>
          <w:color w:val="auto"/>
        </w:rPr>
        <w:t xml:space="preserve">” means, at any time,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(a) the aggregate amount of the unused Term Commitments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principal amount of the Term Loans of all Term Lenders outstanding at such time. As of the Closing Date, the Term Facility is $525,000,000.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at any time, any Lender that either has an unused Term Commitment or holds Term Loans at such time, or both.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collectively, the Initial Term Loans and the Incremental Term Loans, as applicable.</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 promissory note made by the Borrower in favor of a Term Lender evidencing Term Loans made by such Term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Total Revolving Exposure and Total Term Loan Exposure of such Lender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Exposure</w:t>
      </w:r>
      <w:r>
        <w:rPr>
          <w:rFonts w:ascii="Arial" w:cs="Arial" w:eastAsia="Arial" w:hAnsi="Arial"/>
          <w:sz w:val="18"/>
          <w:szCs w:val="18"/>
          <w:color w:val="auto"/>
        </w:rPr>
        <w:t>” means, as to any Revolving Credit Lender at any time, the unused Revolving Credit Commitments and Revolving Credit Exposure of such Lender at such time.</w:t>
      </w:r>
    </w:p>
    <w:p>
      <w:pPr>
        <w:spacing w:after="0" w:line="17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Swing Line Loans and L/C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Exposure</w:t>
      </w:r>
      <w:r>
        <w:rPr>
          <w:rFonts w:ascii="Arial" w:cs="Arial" w:eastAsia="Arial" w:hAnsi="Arial"/>
          <w:sz w:val="18"/>
          <w:szCs w:val="18"/>
          <w:color w:val="auto"/>
        </w:rPr>
        <w:t>” means, as to any Term Lender at any time, the unused Term Commitments and the aggregate principal amount of the outstanding Term Loans of such Term Lender at such time.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consummation of the Closing Date Acquisition, (b) the entering into by the Loan Parties and their applicable Subsidiaries of the Loan Documents, the New Notes Documents and the Related Documents to which they are or are intended to be a party, (c) the refinancing of the Existing Indebtedness and the termination of all commitments with respect thereto and (d) the payment of the fees and expenses incurred in connection with the consummation of the foregoing.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xml:space="preserve">” means all customary and reasonable transaction fees, charges and other similar amounts related to the Transactions or any Acquisitions completed during the term of this Agreement in accordance with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(including, without limitation, any financing fees, merger and acquisition fees, legal fees and expenses, due diligence fees or any other fees and expenses in connection therewith), in each case to the extent paid within six (6) months of the Closing Date or the closing date of such Acquisition, as applicable.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16" w:name="page217"/>
    <w:bookmarkEnd w:id="216"/>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means, with respect to any Loan, on any date of determination, the weighted average yield to maturity, in each case, based on the interest rate applicable to such Loan on such date and giving effect to interest rate floors, upfront fees, original issue discount or similar yield related discounts or deductions payable with respect to such Loans (but, excluding, for the avoidance of doubt, any customary arranging, underwriting or similar fees not paid to all Lenders) based on (i) an assumed four-year average life for the applicable Loans or (ii) if the stated maturity of the applicable Loans is less than four years, the actual life of such Loans.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217" w:name="page218"/>
    <w:bookmarkEnd w:id="217"/>
    <w:p>
      <w:pPr>
        <w:jc w:val="both"/>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 With reference to this Agreement and each other Loan Document, unless otherwise specified herein or in such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211" w:lineRule="exact"/>
        <w:rPr>
          <w:sz w:val="20"/>
          <w:szCs w:val="20"/>
          <w:color w:val="auto"/>
        </w:rPr>
      </w:pPr>
    </w:p>
    <w:p>
      <w:pPr>
        <w:ind w:right="40" w:firstLine="464"/>
        <w:spacing w:after="0" w:line="268" w:lineRule="auto"/>
        <w:tabs>
          <w:tab w:leader="none" w:pos="70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225" w:lineRule="exact"/>
        <w:rPr>
          <w:sz w:val="20"/>
          <w:szCs w:val="20"/>
          <w:color w:val="auto"/>
        </w:rPr>
      </w:pPr>
    </w:p>
    <w:p>
      <w:pPr>
        <w:jc w:val="both"/>
        <w:ind w:firstLine="464"/>
        <w:spacing w:after="0" w:line="264" w:lineRule="auto"/>
        <w:tabs>
          <w:tab w:leader="none" w:pos="70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18" w:name="page219"/>
    <w:bookmarkEnd w:id="21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7" w:lineRule="exact"/>
        <w:rPr>
          <w:sz w:val="20"/>
          <w:szCs w:val="20"/>
          <w:color w:val="auto"/>
        </w:rPr>
      </w:pPr>
    </w:p>
    <w:p>
      <w:pPr>
        <w:ind w:firstLine="464"/>
        <w:spacing w:after="0" w:line="255" w:lineRule="auto"/>
        <w:tabs>
          <w:tab w:leader="none" w:pos="71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Arial" w:cs="Arial" w:eastAsia="Arial" w:hAnsi="Arial"/>
          <w:sz w:val="18"/>
          <w:szCs w:val="18"/>
          <w:color w:val="auto"/>
        </w:rPr>
      </w:pPr>
    </w:p>
    <w:p>
      <w:pPr>
        <w:ind w:right="140" w:firstLine="464"/>
        <w:spacing w:after="0" w:line="255" w:lineRule="auto"/>
        <w:tabs>
          <w:tab w:leader="none" w:pos="70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or any Disposition outside the ordinary course of business permitted by </w:t>
      </w:r>
      <w:r>
        <w:rPr>
          <w:rFonts w:ascii="Arial" w:cs="Arial" w:eastAsia="Arial" w:hAnsi="Arial"/>
          <w:sz w:val="18"/>
          <w:szCs w:val="18"/>
          <w:u w:val="single" w:color="auto"/>
          <w:color w:val="auto"/>
        </w:rPr>
        <w:t>Section 7.05(b)</w:t>
      </w:r>
      <w:r>
        <w:rPr>
          <w:rFonts w:ascii="Arial" w:cs="Arial" w:eastAsia="Arial" w:hAnsi="Arial"/>
          <w:sz w:val="18"/>
          <w:szCs w:val="18"/>
          <w:color w:val="auto"/>
        </w:rPr>
        <w:t xml:space="preserve"> during the relevant period for determining compliance with such covenants, such calculations shall be made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19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 Rates</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 xml:space="preserve">. Any amount specified in this Agreement (other than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or any of the other Loan Documents to be in Dollars shall also include the equivalent of such amount in any currency other than Dollars, such equivalent amount thereof in the applicable currency to be determined by the Administrative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Agent at such time on the basis of the Spot Rate (as defined below) for the purchase of such currency with Dollars. For purposes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the</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9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COMMITMENTS AND BORROWINGS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Term Borrowings</w:t>
      </w:r>
      <w:r>
        <w:rPr>
          <w:rFonts w:ascii="Arial" w:cs="Arial" w:eastAsia="Arial" w:hAnsi="Arial"/>
          <w:sz w:val="18"/>
          <w:szCs w:val="18"/>
          <w:color w:val="auto"/>
        </w:rPr>
        <w:t xml:space="preserve">. Subject to the terms and conditions set forth herein, each Term Lender severally agrees to make a single loan to the Borrower on the Closing Date in an amount not to exceed such Term Lender’s Term Commitment then in effect. The Initial Term Borrowings shall consist of Initial Term Loans made simultaneously by the Term Lenders in accordance with their respective Applicable Percentage of the Term Commitments. Amounts borrowed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repaid or prepaid may not be reborrowed. The Initial Term Loans made pursuant to the Initial Term Borrowings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shall constitute a single Term Facility. Term Loans may be Base Rate Loans or Eurodollar Rate Loans, as further provided herein.</w:t>
      </w:r>
    </w:p>
    <w:p>
      <w:pPr>
        <w:spacing w:after="0" w:line="193" w:lineRule="exact"/>
        <w:rPr>
          <w:sz w:val="20"/>
          <w:szCs w:val="20"/>
          <w:color w:val="auto"/>
        </w:rPr>
      </w:pPr>
    </w:p>
    <w:p>
      <w:pPr>
        <w:ind w:right="40" w:firstLine="464"/>
        <w:spacing w:after="0" w:line="291" w:lineRule="auto"/>
        <w:tabs>
          <w:tab w:leader="none" w:pos="711"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Revolving Credit Borrowings</w:t>
      </w:r>
      <w:r>
        <w:rPr>
          <w:rFonts w:ascii="Arial" w:cs="Arial" w:eastAsia="Arial" w:hAnsi="Arial"/>
          <w:sz w:val="16"/>
          <w:szCs w:val="16"/>
          <w:color w:val="auto"/>
        </w:rPr>
        <w:t>. Subject to the terms and conditions set forth herein, each Revolving Credit Lender severally agrees to make loans (each such loan, a “</w:t>
      </w:r>
      <w:r>
        <w:rPr>
          <w:rFonts w:ascii="Arial" w:cs="Arial" w:eastAsia="Arial" w:hAnsi="Arial"/>
          <w:sz w:val="16"/>
          <w:szCs w:val="16"/>
          <w:u w:val="single" w:color="auto"/>
          <w:color w:val="auto"/>
        </w:rPr>
        <w:t>Revolving Credit Loan</w:t>
      </w:r>
      <w:r>
        <w:rPr>
          <w:rFonts w:ascii="Arial" w:cs="Arial" w:eastAsia="Arial" w:hAnsi="Arial"/>
          <w:sz w:val="16"/>
          <w:szCs w:val="16"/>
          <w:color w:val="auto"/>
        </w:rPr>
        <w:t xml:space="preserve">”) to the Borrower from time to time, on any Business Day during the Availability Period for the Revolving Credit Facility, in an aggregate amount not to exceed at any time outstanding the amount of such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Revolving Credit Borrowing, (i) the Total Revolving Credit Outstandings shall not exceed the Revolving Credit Facility, and (ii) the Revolving Credit Exposure of any Revolving Credit Lender shall not exceed such Revolving Credit Lender’s Revolving Credit Commitment. Within the limits of each Revolving Credit Lender’s Revolving Credit Commitment, and subject to the other terms and conditions hereof, the Borrower may borrow, prepay and reborrow Revolving Credit Loans. Revolving Credit Loans may be Base Rate Loans or Eurodollar Rate Loans, as further provided herein.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220" w:name="page221"/>
    <w:bookmarkEnd w:id="2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64"/>
        <w:spacing w:after="0" w:line="291" w:lineRule="auto"/>
        <w:tabs>
          <w:tab w:leader="none" w:pos="70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Each Term Borrowing, each Revolving Credit Borrowing, each conversion of Term Loans or Revolving Credit Loans from one Type to the other, and each continuation of Eurodollar Rate Loans shall be made upon the Borrower’s irrevocable notice to the Administrative Agent, which may be given by</w:t>
      </w:r>
    </w:p>
    <w:p>
      <w:pPr>
        <w:ind w:right="40" w:firstLine="8"/>
        <w:spacing w:after="0" w:line="281" w:lineRule="auto"/>
        <w:tabs>
          <w:tab w:leader="none" w:pos="29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telephone notice must be confirmed promptly by delivery to the Administrative Agent of a Committed Loan Notice. Each such telephone notice and Committed Loan Notice must be received by the Administrative Agent not later than 11:00 a.m.</w:t>
      </w:r>
    </w:p>
    <w:p>
      <w:pPr>
        <w:spacing w:after="0" w:line="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minimum principal amount of $1,000,000 or a whole multiple of $500,000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2.04(c)</w:t>
      </w:r>
      <w:r>
        <w:rPr>
          <w:rFonts w:ascii="Arial" w:cs="Arial" w:eastAsia="Arial" w:hAnsi="Arial"/>
          <w:sz w:val="16"/>
          <w:szCs w:val="16"/>
          <w:color w:val="auto"/>
        </w:rPr>
        <w:t>, each Borrowing of or conversion to Base Rate Loans shall be in a minimum principal amount of $500,000 or a whole multiple of $100,000 in excess thereof. Each such telephone notice and Committed Loan Notice shall specify (i) whether the Borrower is requesting a Term Borrowing, a Revolving Credit Borrowing, a conversion of Term Loans or Revolving Credit Loans from one Type to the other, or a continuation of Eurodollar Rate Loans, (ii) the requested date of the Borrowing, conversion or continuation, as the case may be (which shall be a Business Day), (iii) the principal amount of Loans to be borrowed, converted or continued, (iv) the Type of Term Loans or Revolving Credit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168" w:lineRule="exact"/>
        <w:rPr>
          <w:rFonts w:ascii="Arial" w:cs="Arial" w:eastAsia="Arial" w:hAnsi="Arial"/>
          <w:sz w:val="16"/>
          <w:szCs w:val="16"/>
          <w:color w:val="auto"/>
        </w:rPr>
      </w:pPr>
    </w:p>
    <w:p>
      <w:pPr>
        <w:ind w:right="20" w:firstLine="464"/>
        <w:spacing w:after="0" w:line="289" w:lineRule="auto"/>
        <w:tabs>
          <w:tab w:leader="none" w:pos="71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under the applicable Facility of the applicable Term Loans or Revolving Credit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Term Borrowing or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Borrower in like funds as received by the Administrative Agent either by (i) crediting the account of the Borrower on the books of KeyBank, if any, with the amount of such funds or (ii) wire transfer of such funds, in each case in accordance with instructions provided to (and reasonably acceptable to) the Administrative Agent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21" w:name="page222"/>
    <w:bookmarkEnd w:id="22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the date a Committed Loan Notice with respect to a Revolving Credit Borrowing is given by the Borrower, there are L/C Borrowings outstanding, then the proceeds of such Revolving Credit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81" w:lineRule="exact"/>
        <w:rPr>
          <w:sz w:val="20"/>
          <w:szCs w:val="20"/>
          <w:color w:val="auto"/>
        </w:rPr>
      </w:pPr>
    </w:p>
    <w:p>
      <w:pPr>
        <w:jc w:val="both"/>
        <w:ind w:right="400" w:firstLine="464"/>
        <w:spacing w:after="0" w:line="264" w:lineRule="auto"/>
        <w:tabs>
          <w:tab w:leader="none" w:pos="7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1" w:lineRule="exact"/>
        <w:rPr>
          <w:rFonts w:ascii="Arial" w:cs="Arial" w:eastAsia="Arial" w:hAnsi="Arial"/>
          <w:sz w:val="18"/>
          <w:szCs w:val="18"/>
          <w:color w:val="auto"/>
        </w:rPr>
      </w:pPr>
    </w:p>
    <w:p>
      <w:pPr>
        <w:jc w:val="both"/>
        <w:ind w:right="200" w:firstLine="464"/>
        <w:spacing w:after="0" w:line="312" w:lineRule="auto"/>
        <w:tabs>
          <w:tab w:leader="none" w:pos="71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KeyBank’s prime rate used in determining the Base Rate promptly following the public announcement of such change.</w:t>
      </w:r>
    </w:p>
    <w:p>
      <w:pPr>
        <w:spacing w:after="0" w:line="146" w:lineRule="exact"/>
        <w:rPr>
          <w:rFonts w:ascii="Arial" w:cs="Arial" w:eastAsia="Arial" w:hAnsi="Arial"/>
          <w:sz w:val="16"/>
          <w:szCs w:val="16"/>
          <w:color w:val="auto"/>
        </w:rPr>
      </w:pPr>
    </w:p>
    <w:p>
      <w:pPr>
        <w:ind w:right="220" w:firstLine="464"/>
        <w:spacing w:after="0" w:line="277" w:lineRule="auto"/>
        <w:tabs>
          <w:tab w:leader="none" w:pos="7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in respect of the Facilities.</w:t>
      </w:r>
    </w:p>
    <w:p>
      <w:pPr>
        <w:spacing w:after="0" w:line="170" w:lineRule="exact"/>
        <w:rPr>
          <w:rFonts w:ascii="Arial" w:cs="Arial" w:eastAsia="Arial" w:hAnsi="Arial"/>
          <w:sz w:val="18"/>
          <w:szCs w:val="18"/>
          <w:color w:val="auto"/>
        </w:rPr>
      </w:pPr>
    </w:p>
    <w:p>
      <w:pPr>
        <w:ind w:right="120" w:firstLine="464"/>
        <w:spacing w:after="0" w:line="342" w:lineRule="auto"/>
        <w:tabs>
          <w:tab w:leader="none" w:pos="68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to the contrary notwithstanding, the Borrower may not select the Eurodollar Rate for the initial Borrowing unless the Borrower delivers a Funding Indemnity Letter to the Administrative Agent no later than 11:00 a.m. three (3) Business Days prior to the Closing Date.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6" w:lineRule="auto"/>
        <w:tabs>
          <w:tab w:leader="none" w:pos="701"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The Letter of Credit Commitment</w:t>
      </w:r>
      <w:r>
        <w:rPr>
          <w:rFonts w:ascii="Arial" w:cs="Arial" w:eastAsia="Arial" w:hAnsi="Arial"/>
          <w:sz w:val="16"/>
          <w:szCs w:val="16"/>
          <w:color w:val="auto"/>
        </w:rPr>
        <w:t xml:space="preserve">. Subject to the terms and conditions set forth herein, (A) each L/C Issuer agrees, in reliance upon the agreements of the Revolving Credit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(w) the Total Revolving Credit Outstandings shall not exceed the aggregate Revolving Credit Commitments of the Revolving Credit Lenders, (x) the Revolving Credit Exposure of any Revolving Credit Lender shall not exceed such Revolving Credit Lender’s Revolving Credit Commitment, (y) the face amount of all outstanding Letters of Credit issued by an L/C Issuer shall not exceed the Letter of Credit Sublimit of such L/C Issuer,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222" w:name="page223"/>
    <w:bookmarkEnd w:id="222"/>
    <w:p>
      <w:pPr>
        <w:ind w:left="217" w:hanging="217"/>
        <w:spacing w:after="0"/>
        <w:tabs>
          <w:tab w:leader="none" w:pos="217"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L/C Issuer shall issue any Letter of Credit if:</w:t>
      </w:r>
    </w:p>
    <w:p>
      <w:pPr>
        <w:spacing w:after="0" w:line="117" w:lineRule="exact"/>
        <w:rPr>
          <w:rFonts w:ascii="Arial" w:cs="Arial" w:eastAsia="Arial" w:hAnsi="Arial"/>
          <w:sz w:val="18"/>
          <w:szCs w:val="18"/>
          <w:color w:val="auto"/>
        </w:rPr>
      </w:pPr>
    </w:p>
    <w:p>
      <w:pPr>
        <w:ind w:left="17" w:right="140" w:firstLine="421"/>
        <w:spacing w:after="0" w:line="342" w:lineRule="auto"/>
        <w:tabs>
          <w:tab w:leader="none" w:pos="732"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the requested Letter of Credit would occur more than twelve months after the date of issuance or last extension, unless the applicable L/C Issuer and the Required Revolving Lenders have approved such expiry date; or</w:t>
      </w:r>
    </w:p>
    <w:p>
      <w:pPr>
        <w:spacing w:after="0" w:line="15" w:lineRule="exact"/>
        <w:rPr>
          <w:rFonts w:ascii="Arial" w:cs="Arial" w:eastAsia="Arial" w:hAnsi="Arial"/>
          <w:sz w:val="16"/>
          <w:szCs w:val="16"/>
          <w:color w:val="auto"/>
        </w:rPr>
      </w:pPr>
    </w:p>
    <w:p>
      <w:pPr>
        <w:ind w:left="17" w:right="100" w:firstLine="421"/>
        <w:spacing w:after="0" w:line="277" w:lineRule="auto"/>
        <w:tabs>
          <w:tab w:leader="none" w:pos="72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Revolving Credit Lenders and the applicable L/C Issuer have approved such expiry date.</w:t>
      </w:r>
    </w:p>
    <w:p>
      <w:pPr>
        <w:spacing w:after="0" w:line="62" w:lineRule="exact"/>
        <w:rPr>
          <w:rFonts w:ascii="Arial" w:cs="Arial" w:eastAsia="Arial" w:hAnsi="Arial"/>
          <w:sz w:val="18"/>
          <w:szCs w:val="18"/>
          <w:color w:val="auto"/>
        </w:rPr>
      </w:pPr>
    </w:p>
    <w:p>
      <w:pPr>
        <w:ind w:left="257" w:hanging="257"/>
        <w:spacing w:after="0"/>
        <w:tabs>
          <w:tab w:leader="none" w:pos="25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17" w:firstLine="421"/>
        <w:spacing w:after="0" w:line="255" w:lineRule="auto"/>
        <w:tabs>
          <w:tab w:leader="none" w:pos="73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81" w:lineRule="exact"/>
        <w:rPr>
          <w:rFonts w:ascii="Arial" w:cs="Arial" w:eastAsia="Arial" w:hAnsi="Arial"/>
          <w:sz w:val="18"/>
          <w:szCs w:val="18"/>
          <w:color w:val="auto"/>
        </w:rPr>
      </w:pPr>
    </w:p>
    <w:p>
      <w:pPr>
        <w:ind w:left="717" w:hanging="279"/>
        <w:spacing w:after="0"/>
        <w:tabs>
          <w:tab w:leader="none" w:pos="717"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such L/C Issuer applicable to letters of credit generally;</w:t>
      </w:r>
    </w:p>
    <w:p>
      <w:pPr>
        <w:spacing w:after="0" w:line="128" w:lineRule="exact"/>
        <w:rPr>
          <w:rFonts w:ascii="Arial" w:cs="Arial" w:eastAsia="Arial" w:hAnsi="Arial"/>
          <w:sz w:val="17"/>
          <w:szCs w:val="17"/>
          <w:color w:val="auto"/>
        </w:rPr>
      </w:pPr>
    </w:p>
    <w:p>
      <w:pPr>
        <w:ind w:left="17" w:right="520" w:firstLine="421"/>
        <w:spacing w:after="0" w:line="277" w:lineRule="auto"/>
        <w:tabs>
          <w:tab w:leader="none" w:pos="72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applicable L/C Issuer, such Letter of Credit is in an initial stated amount less than $500,000;</w:t>
      </w:r>
    </w:p>
    <w:p>
      <w:pPr>
        <w:spacing w:after="0" w:line="62" w:lineRule="exact"/>
        <w:rPr>
          <w:rFonts w:ascii="Arial" w:cs="Arial" w:eastAsia="Arial" w:hAnsi="Arial"/>
          <w:sz w:val="18"/>
          <w:szCs w:val="18"/>
          <w:color w:val="auto"/>
        </w:rPr>
      </w:pPr>
    </w:p>
    <w:p>
      <w:pPr>
        <w:ind w:left="737" w:hanging="299"/>
        <w:spacing w:after="0"/>
        <w:tabs>
          <w:tab w:leader="none" w:pos="73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117" w:lineRule="exact"/>
        <w:rPr>
          <w:rFonts w:ascii="Arial" w:cs="Arial" w:eastAsia="Arial" w:hAnsi="Arial"/>
          <w:sz w:val="18"/>
          <w:szCs w:val="18"/>
          <w:color w:val="auto"/>
        </w:rPr>
      </w:pPr>
    </w:p>
    <w:p>
      <w:pPr>
        <w:ind w:left="17" w:right="20" w:firstLine="421"/>
        <w:spacing w:after="0" w:line="257" w:lineRule="auto"/>
        <w:tabs>
          <w:tab w:leader="none" w:pos="71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80" w:lineRule="exact"/>
        <w:rPr>
          <w:rFonts w:ascii="Arial" w:cs="Arial" w:eastAsia="Arial" w:hAnsi="Arial"/>
          <w:sz w:val="18"/>
          <w:szCs w:val="18"/>
          <w:color w:val="auto"/>
        </w:rPr>
      </w:pPr>
    </w:p>
    <w:p>
      <w:pPr>
        <w:ind w:left="697" w:hanging="259"/>
        <w:spacing w:after="0"/>
        <w:tabs>
          <w:tab w:leader="none" w:pos="697" w:val="left"/>
        </w:tabs>
        <w:numPr>
          <w:ilvl w:val="1"/>
          <w:numId w:val="256"/>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w:t>
      </w:r>
    </w:p>
    <w:p>
      <w:pPr>
        <w:spacing w:after="0" w:line="169" w:lineRule="exact"/>
        <w:rPr>
          <w:sz w:val="20"/>
          <w:szCs w:val="20"/>
          <w:color w:val="auto"/>
        </w:rPr>
      </w:pPr>
    </w:p>
    <w:p>
      <w:pPr>
        <w:ind w:left="4657"/>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97"/>
          </w:cols>
          <w:pgMar w:left="1143" w:top="274" w:right="259" w:bottom="1440" w:gutter="0" w:footer="0" w:header="0"/>
        </w:sectPr>
      </w:pPr>
    </w:p>
    <w:bookmarkStart w:id="223" w:name="page224"/>
    <w:bookmarkEnd w:id="223"/>
    <w:p>
      <w:pPr>
        <w:ind w:right="300" w:firstLine="443"/>
        <w:spacing w:after="0" w:line="277" w:lineRule="auto"/>
        <w:tabs>
          <w:tab w:leader="none" w:pos="753" w:val="left"/>
        </w:tabs>
        <w:numPr>
          <w:ilvl w:val="1"/>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right="280" w:firstLine="443"/>
        <w:spacing w:after="0" w:line="264" w:lineRule="auto"/>
        <w:tabs>
          <w:tab w:leader="none" w:pos="74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right="60" w:firstLine="443"/>
        <w:spacing w:after="0" w:line="276" w:lineRule="auto"/>
        <w:tabs>
          <w:tab w:leader="none" w:pos="693" w:val="left"/>
        </w:tabs>
        <w:numPr>
          <w:ilvl w:val="1"/>
          <w:numId w:val="257"/>
        </w:numPr>
        <w:rPr>
          <w:rFonts w:ascii="Arial" w:cs="Arial" w:eastAsia="Arial" w:hAnsi="Arial"/>
          <w:sz w:val="17"/>
          <w:szCs w:val="17"/>
          <w:color w:val="auto"/>
        </w:rPr>
      </w:pPr>
      <w:r>
        <w:rPr>
          <w:rFonts w:ascii="Arial" w:cs="Arial" w:eastAsia="Arial" w:hAnsi="Arial"/>
          <w:sz w:val="17"/>
          <w:szCs w:val="17"/>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the L/C Issuers with respect to such acts or omissions, and (B) as additionally provided herein with respect to each L/C Issuer.</w:t>
      </w:r>
    </w:p>
    <w:p>
      <w:pPr>
        <w:spacing w:after="0" w:line="172" w:lineRule="exact"/>
        <w:rPr>
          <w:rFonts w:ascii="Arial" w:cs="Arial" w:eastAsia="Arial" w:hAnsi="Arial"/>
          <w:sz w:val="17"/>
          <w:szCs w:val="17"/>
          <w:color w:val="auto"/>
        </w:rPr>
      </w:pPr>
    </w:p>
    <w:p>
      <w:pPr>
        <w:ind w:left="260" w:hanging="256"/>
        <w:spacing w:after="0"/>
        <w:tabs>
          <w:tab w:leader="none" w:pos="26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87" w:lineRule="auto"/>
        <w:tabs>
          <w:tab w:leader="none" w:pos="653"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such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name of the Person for whose account such requested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74" w:right="239" w:bottom="1440" w:gutter="0" w:footer="0" w:header="0"/>
        </w:sectPr>
      </w:pPr>
    </w:p>
    <w:bookmarkStart w:id="224" w:name="page225"/>
    <w:bookmarkEnd w:id="224"/>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is to be issued; and (I) such other matters as such L/C Issuer may require. In the case of a request for an amendment of any outstanding Letter of Credit, such Letter of Credit Application shall specify in form and detail satisfactory to such L/C Issuer (1) the Letter of Credit to be amended;</w:t>
      </w:r>
    </w:p>
    <w:p>
      <w:pPr>
        <w:ind w:right="140" w:firstLine="4"/>
        <w:spacing w:after="0" w:line="254" w:lineRule="auto"/>
        <w:tabs>
          <w:tab w:leader="none" w:pos="2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proposed date of amendment thereof (which shall be a Business Day); (3) the nature of the proposed amendment; and (4) such other matters as such L/C Issuer may require. Additionally, the Borrower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81" w:lineRule="exact"/>
        <w:rPr>
          <w:rFonts w:ascii="Arial" w:cs="Arial" w:eastAsia="Arial" w:hAnsi="Arial"/>
          <w:sz w:val="18"/>
          <w:szCs w:val="18"/>
          <w:color w:val="auto"/>
        </w:rPr>
      </w:pPr>
    </w:p>
    <w:p>
      <w:pPr>
        <w:ind w:firstLine="443"/>
        <w:spacing w:after="0" w:line="270" w:lineRule="auto"/>
        <w:tabs>
          <w:tab w:leader="none" w:pos="703" w:val="left"/>
        </w:tabs>
        <w:numPr>
          <w:ilvl w:val="1"/>
          <w:numId w:val="259"/>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such L/C Issuer a risk participation in such Letter of Credit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69" w:lineRule="exact"/>
        <w:rPr>
          <w:rFonts w:ascii="Arial" w:cs="Arial" w:eastAsia="Arial" w:hAnsi="Arial"/>
          <w:sz w:val="17"/>
          <w:szCs w:val="17"/>
          <w:color w:val="auto"/>
        </w:rPr>
      </w:pPr>
    </w:p>
    <w:p>
      <w:pPr>
        <w:ind w:right="80" w:firstLine="443"/>
        <w:spacing w:after="0" w:line="283" w:lineRule="auto"/>
        <w:tabs>
          <w:tab w:leader="none" w:pos="753"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L/C Issuer may, in its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w:t>
      </w:r>
    </w:p>
    <w:p>
      <w:pPr>
        <w:spacing w:after="0" w:line="5"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(B) it has received notice (which may be by telephone or in writing) on or before the day that is seven Business Days before the Non-Extension Notice Date (1) from the Administrative</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700" w:top="274" w:right="259" w:bottom="1440" w:gutter="0" w:footer="0" w:header="0"/>
        </w:sectPr>
      </w:pPr>
    </w:p>
    <w:bookmarkStart w:id="225" w:name="page226"/>
    <w:bookmarkEnd w:id="22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that the Required Revolving Lenders have elected not to permit such extension or (2) from the Administrative Agent, any Revolving Credit Lender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 Issuer not to permit such extension.</w:t>
      </w:r>
    </w:p>
    <w:p>
      <w:pPr>
        <w:spacing w:after="0" w:line="73" w:lineRule="exact"/>
        <w:rPr>
          <w:sz w:val="20"/>
          <w:szCs w:val="20"/>
          <w:color w:val="auto"/>
        </w:rPr>
      </w:pPr>
    </w:p>
    <w:p>
      <w:pPr>
        <w:ind w:right="20" w:firstLine="443"/>
        <w:spacing w:after="0" w:line="264" w:lineRule="auto"/>
        <w:tabs>
          <w:tab w:leader="none" w:pos="74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81" w:lineRule="exact"/>
        <w:rPr>
          <w:rFonts w:ascii="Arial" w:cs="Arial" w:eastAsia="Arial" w:hAnsi="Arial"/>
          <w:sz w:val="18"/>
          <w:szCs w:val="18"/>
          <w:color w:val="auto"/>
        </w:rPr>
      </w:pPr>
    </w:p>
    <w:p>
      <w:pPr>
        <w:ind w:left="240" w:hanging="236"/>
        <w:spacing w:after="0"/>
        <w:tabs>
          <w:tab w:leader="none" w:pos="24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443"/>
        <w:spacing w:after="0" w:line="269" w:lineRule="auto"/>
        <w:tabs>
          <w:tab w:leader="none" w:pos="653" w:val="left"/>
        </w:tabs>
        <w:numPr>
          <w:ilvl w:val="1"/>
          <w:numId w:val="261"/>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applicable L/C Issuer shall notify the Borrower and the Administrative Agent thereof. Not later than 11:00 a.m. on the date of any payment by the applicable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such L/C Issuer through the Administrative Agent in an amount equal to the amount of such drawing. If the Borrower fails to so reimburse such L/C Issuer by such time, the Administrative Agent shall promptly notify each Revolving Credit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Committed Loan Notice). Any notice given by the applicable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1" w:lineRule="exact"/>
        <w:rPr>
          <w:rFonts w:ascii="Arial" w:cs="Arial" w:eastAsia="Arial" w:hAnsi="Arial"/>
          <w:sz w:val="17"/>
          <w:szCs w:val="17"/>
          <w:color w:val="auto"/>
        </w:rPr>
      </w:pPr>
    </w:p>
    <w:p>
      <w:pPr>
        <w:ind w:firstLine="443"/>
        <w:spacing w:after="0" w:line="255" w:lineRule="auto"/>
        <w:tabs>
          <w:tab w:leader="none" w:pos="70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Loan to the Borrower in such amount. The Administrative Agent shall remit the funds so received to the applicable L/C Issuer.</w:t>
      </w:r>
    </w:p>
    <w:p>
      <w:pPr>
        <w:spacing w:after="0" w:line="85" w:lineRule="exact"/>
        <w:rPr>
          <w:rFonts w:ascii="Arial" w:cs="Arial" w:eastAsia="Arial" w:hAnsi="Arial"/>
          <w:sz w:val="18"/>
          <w:szCs w:val="18"/>
          <w:color w:val="auto"/>
        </w:rPr>
      </w:pPr>
    </w:p>
    <w:p>
      <w:pPr>
        <w:ind w:right="120" w:firstLine="443"/>
        <w:spacing w:after="0" w:line="264" w:lineRule="auto"/>
        <w:tabs>
          <w:tab w:leader="none" w:pos="75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Revolving Credit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Borrower shall be deemed to have incurred from the applicable L/C Issuer an L/C Borrowing in the amount of the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700" w:top="274" w:right="259" w:bottom="1440" w:gutter="0" w:footer="0" w:header="0"/>
        </w:sectPr>
      </w:pPr>
    </w:p>
    <w:bookmarkStart w:id="226" w:name="page227"/>
    <w:bookmarkEnd w:id="22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79" w:lineRule="exact"/>
        <w:rPr>
          <w:sz w:val="20"/>
          <w:szCs w:val="20"/>
          <w:color w:val="auto"/>
        </w:rPr>
      </w:pPr>
    </w:p>
    <w:p>
      <w:pPr>
        <w:ind w:right="80" w:firstLine="443"/>
        <w:spacing w:after="0" w:line="264" w:lineRule="auto"/>
        <w:tabs>
          <w:tab w:leader="none" w:pos="74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73" w:lineRule="exact"/>
        <w:rPr>
          <w:rFonts w:ascii="Arial" w:cs="Arial" w:eastAsia="Arial" w:hAnsi="Arial"/>
          <w:sz w:val="18"/>
          <w:szCs w:val="18"/>
          <w:color w:val="auto"/>
        </w:rPr>
      </w:pPr>
    </w:p>
    <w:p>
      <w:pPr>
        <w:ind w:right="60" w:firstLine="443"/>
        <w:spacing w:after="0" w:line="290" w:lineRule="auto"/>
        <w:tabs>
          <w:tab w:leader="none" w:pos="69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applicable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Revolving Credit Lender’s obligation to make Revolving Credit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Committed Loan Notice ). No such making of an L/C Advance shall relieve or otherwise impair the obligation of the Borrower to reimburse the L/C Issuer for the amount of any payment made by the applicable L/C Issuer under any Letter of Credit, together with interest as provided herein.</w:t>
      </w:r>
    </w:p>
    <w:p>
      <w:pPr>
        <w:spacing w:after="0" w:line="58" w:lineRule="exact"/>
        <w:rPr>
          <w:rFonts w:ascii="Arial" w:cs="Arial" w:eastAsia="Arial" w:hAnsi="Arial"/>
          <w:sz w:val="16"/>
          <w:szCs w:val="16"/>
          <w:color w:val="auto"/>
        </w:rPr>
      </w:pPr>
    </w:p>
    <w:p>
      <w:pPr>
        <w:ind w:firstLine="443"/>
        <w:spacing w:after="0" w:line="288" w:lineRule="auto"/>
        <w:tabs>
          <w:tab w:leader="none" w:pos="74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700" w:top="274" w:right="239" w:bottom="1440" w:gutter="0" w:footer="0" w:header="0"/>
        </w:sectPr>
      </w:pPr>
    </w:p>
    <w:bookmarkStart w:id="227" w:name="page228"/>
    <w:bookmarkEnd w:id="227"/>
    <w:p>
      <w:pPr>
        <w:ind w:left="700" w:hanging="256"/>
        <w:spacing w:after="0"/>
        <w:tabs>
          <w:tab w:leader="none" w:pos="70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43"/>
        <w:spacing w:after="0" w:line="276" w:lineRule="auto"/>
        <w:tabs>
          <w:tab w:leader="none" w:pos="109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At any time after the applicable L/C Issuer has made a payment under any Letter of Credit and has received from any Revolving Credit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in the same funds as those received by the Administrative Agent.</w:t>
      </w:r>
    </w:p>
    <w:p>
      <w:pPr>
        <w:spacing w:after="0" w:line="64" w:lineRule="exact"/>
        <w:rPr>
          <w:rFonts w:ascii="Arial" w:cs="Arial" w:eastAsia="Arial" w:hAnsi="Arial"/>
          <w:sz w:val="17"/>
          <w:szCs w:val="17"/>
          <w:color w:val="auto"/>
        </w:rPr>
      </w:pPr>
    </w:p>
    <w:p>
      <w:pPr>
        <w:ind w:left="440" w:right="80" w:firstLine="443"/>
        <w:spacing w:after="0" w:line="273" w:lineRule="auto"/>
        <w:tabs>
          <w:tab w:leader="none" w:pos="114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applicable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ind w:left="-20" w:right="20" w:firstLine="464"/>
        <w:spacing w:after="0" w:line="264" w:lineRule="auto"/>
        <w:tabs>
          <w:tab w:leader="none" w:pos="681"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100" w:hanging="217"/>
        <w:spacing w:after="0"/>
        <w:tabs>
          <w:tab w:leader="none" w:pos="11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440" w:right="40" w:firstLine="443"/>
        <w:spacing w:after="0" w:line="259" w:lineRule="auto"/>
        <w:tabs>
          <w:tab w:leader="none" w:pos="114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40" w:firstLine="443"/>
        <w:spacing w:after="0" w:line="264" w:lineRule="auto"/>
        <w:tabs>
          <w:tab w:leader="none" w:pos="119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40" w:right="120" w:firstLine="443"/>
        <w:spacing w:after="0" w:line="277" w:lineRule="auto"/>
        <w:tabs>
          <w:tab w:leader="none" w:pos="118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waiver by the applicable L/C Issuer of any requirement that exists for such L/C Issuer’s protection and not the protection of the Borrower or any waiver by such L/C Issuer which does not in fact materially prejudice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60" w:top="274" w:right="239" w:bottom="1440" w:gutter="0" w:footer="0" w:header="0"/>
        </w:sectPr>
      </w:pPr>
    </w:p>
    <w:bookmarkStart w:id="228" w:name="page229"/>
    <w:bookmarkEnd w:id="228"/>
    <w:p>
      <w:pPr>
        <w:ind w:left="1160" w:hanging="257"/>
        <w:spacing w:after="0"/>
        <w:tabs>
          <w:tab w:leader="none" w:pos="1160"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ind w:left="460" w:firstLine="443"/>
        <w:spacing w:after="0" w:line="264" w:lineRule="auto"/>
        <w:tabs>
          <w:tab w:leader="none" w:pos="120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73" w:lineRule="exact"/>
        <w:rPr>
          <w:rFonts w:ascii="Arial" w:cs="Arial" w:eastAsia="Arial" w:hAnsi="Arial"/>
          <w:sz w:val="18"/>
          <w:szCs w:val="18"/>
          <w:color w:val="auto"/>
        </w:rPr>
      </w:pPr>
    </w:p>
    <w:p>
      <w:pPr>
        <w:ind w:left="460" w:right="140" w:firstLine="443"/>
        <w:spacing w:after="0" w:line="302" w:lineRule="auto"/>
        <w:tabs>
          <w:tab w:leader="none" w:pos="125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46" w:lineRule="exact"/>
        <w:rPr>
          <w:rFonts w:ascii="Arial" w:cs="Arial" w:eastAsia="Arial" w:hAnsi="Arial"/>
          <w:sz w:val="16"/>
          <w:szCs w:val="16"/>
          <w:color w:val="auto"/>
        </w:rPr>
      </w:pPr>
    </w:p>
    <w:p>
      <w:pPr>
        <w:ind w:left="460" w:right="360" w:firstLine="443"/>
        <w:spacing w:after="0" w:line="277" w:lineRule="auto"/>
        <w:tabs>
          <w:tab w:leader="none" w:pos="130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70"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the applicable L/C Issuer and its correspondents unless such notice is given as aforesaid.</w:t>
      </w:r>
    </w:p>
    <w:p>
      <w:pPr>
        <w:spacing w:after="0" w:line="147" w:lineRule="exact"/>
        <w:rPr>
          <w:sz w:val="20"/>
          <w:szCs w:val="20"/>
          <w:color w:val="auto"/>
        </w:rPr>
      </w:pPr>
    </w:p>
    <w:p>
      <w:pPr>
        <w:ind w:right="60" w:firstLine="464"/>
        <w:spacing w:after="0" w:line="268" w:lineRule="auto"/>
        <w:tabs>
          <w:tab w:leader="none" w:pos="681"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Role of L/C Issuer</w:t>
      </w:r>
      <w:r>
        <w:rPr>
          <w:rFonts w:ascii="Arial" w:cs="Arial" w:eastAsia="Arial" w:hAnsi="Arial"/>
          <w:sz w:val="17"/>
          <w:szCs w:val="17"/>
          <w:color w:val="auto"/>
        </w:rPr>
        <w:t xml:space="preserve">.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L/C Issuer, the Administrative Agent, any of their respective Related Parties nor any correspondent, participant or assignee of such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assumption is not intended to, and shall not, preclude the Borrower’s pursuing such rights and remedies as it may have against the beneficiary or transferee at law or under any other agreement. None of the applicable L/C Issuer, the Administrative Agent, any of their respective Related Parties nor any correspondent, participant or assignee of such L/C Issuer shall be liable or responsible for any of the matters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Borrower may have a claim against such L/C Issuer, and such L/C Issuer may be liable to the Borrower, to the extent, but only to the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74" w:right="299" w:bottom="1440" w:gutter="0" w:footer="0" w:header="0"/>
        </w:sectPr>
      </w:pPr>
    </w:p>
    <w:bookmarkStart w:id="229" w:name="page230"/>
    <w:bookmarkEnd w:id="22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Arial" w:cs="Arial" w:eastAsia="Arial" w:hAnsi="Arial"/>
          <w:sz w:val="17"/>
          <w:szCs w:val="17"/>
          <w:u w:val="single" w:color="auto"/>
          <w:color w:val="auto"/>
        </w:rPr>
        <w:t>SWIFT</w:t>
      </w:r>
      <w:r>
        <w:rPr>
          <w:rFonts w:ascii="Arial" w:cs="Arial" w:eastAsia="Arial" w:hAnsi="Arial"/>
          <w:sz w:val="17"/>
          <w:szCs w:val="17"/>
          <w:color w:val="auto"/>
        </w:rPr>
        <w:t>”) message or overnight courier, or any other commercially reasonable means of communicating with a beneficiary.</w:t>
      </w:r>
    </w:p>
    <w:p>
      <w:pPr>
        <w:spacing w:after="0" w:line="182" w:lineRule="exact"/>
        <w:rPr>
          <w:sz w:val="20"/>
          <w:szCs w:val="20"/>
          <w:color w:val="auto"/>
        </w:rPr>
      </w:pPr>
    </w:p>
    <w:p>
      <w:pPr>
        <w:ind w:right="20" w:firstLine="464"/>
        <w:spacing w:after="0" w:line="291" w:lineRule="auto"/>
        <w:tabs>
          <w:tab w:leader="none" w:pos="711"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applicable L/C Issuer and the Borrower when a Letter of Credit is issued, the rules of the ISP or UCP shall apply to each standby Letter of Credit.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7" w:lineRule="exact"/>
        <w:rPr>
          <w:rFonts w:ascii="Arial" w:cs="Arial" w:eastAsia="Arial" w:hAnsi="Arial"/>
          <w:sz w:val="16"/>
          <w:szCs w:val="16"/>
          <w:color w:val="auto"/>
        </w:rPr>
      </w:pPr>
    </w:p>
    <w:p>
      <w:pPr>
        <w:ind w:right="40" w:firstLine="464"/>
        <w:spacing w:after="0" w:line="284" w:lineRule="auto"/>
        <w:tabs>
          <w:tab w:leader="none" w:pos="711"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for a Eurodollar Rate Loan under the Revolving Credit Facility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w:t>
      </w:r>
    </w:p>
    <w:p>
      <w:pPr>
        <w:spacing w:after="0" w:line="4" w:lineRule="exact"/>
        <w:rPr>
          <w:rFonts w:ascii="Arial" w:cs="Arial" w:eastAsia="Arial" w:hAnsi="Arial"/>
          <w:sz w:val="16"/>
          <w:szCs w:val="16"/>
          <w:color w:val="auto"/>
        </w:rPr>
      </w:pPr>
    </w:p>
    <w:p>
      <w:pPr>
        <w:ind w:firstLine="8"/>
        <w:spacing w:after="0" w:line="254" w:lineRule="auto"/>
        <w:tabs>
          <w:tab w:leader="none" w:pos="26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189" w:lineRule="exact"/>
        <w:rPr>
          <w:rFonts w:ascii="Arial" w:cs="Arial" w:eastAsia="Arial" w:hAnsi="Arial"/>
          <w:sz w:val="18"/>
          <w:szCs w:val="18"/>
          <w:color w:val="auto"/>
        </w:rPr>
      </w:pPr>
    </w:p>
    <w:p>
      <w:pPr>
        <w:ind w:right="220" w:firstLine="464"/>
        <w:spacing w:after="0" w:line="277" w:lineRule="auto"/>
        <w:tabs>
          <w:tab w:leader="none" w:pos="671"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The Borrower shall pay directly to the applicable L/C Issuer for its own account a fronting fee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230" w:name="page231"/>
    <w:bookmarkEnd w:id="23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each Letter of Credit, at per annum rate equal to 12.5 basis points, computed on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79" w:lineRule="exact"/>
        <w:rPr>
          <w:sz w:val="20"/>
          <w:szCs w:val="20"/>
          <w:color w:val="auto"/>
        </w:rPr>
      </w:pPr>
    </w:p>
    <w:p>
      <w:pPr>
        <w:ind w:left="680" w:hanging="216"/>
        <w:spacing w:after="0"/>
        <w:tabs>
          <w:tab w:leader="none" w:pos="680"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10"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1" w:lineRule="exact"/>
        <w:rPr>
          <w:rFonts w:ascii="Arial" w:cs="Arial" w:eastAsia="Arial" w:hAnsi="Arial"/>
          <w:sz w:val="17"/>
          <w:szCs w:val="17"/>
          <w:color w:val="auto"/>
        </w:rPr>
      </w:pPr>
    </w:p>
    <w:p>
      <w:pPr>
        <w:ind w:right="80" w:firstLine="464"/>
        <w:spacing w:after="0" w:line="276" w:lineRule="auto"/>
        <w:tabs>
          <w:tab w:leader="none" w:pos="671"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xml:space="preserve">. In addition to KeyBank, SunTrust Bank and Regions Bank, the Borrower may from time to time, with notice to the Revolving Credit Lenders and the consent of the Administrative Agent (such consent not to be unreasonably withheld or delayed) and the applicable Revolving Credit Lender being so appointed, appoint additional Revolving Credit Lenders to be L/C Issuers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total number of L/C Issuers at any time shall not exceed three Revolving Credit Lenders. Upon the appointment of a Revolving Credit Lender as an L/C Issuer hereunder such Person shall become vested with all of the rights, powers, privileges and duties of an L/C Issuer hereunder.</w:t>
      </w:r>
    </w:p>
    <w:p>
      <w:pPr>
        <w:spacing w:after="0" w:line="172" w:lineRule="exact"/>
        <w:rPr>
          <w:rFonts w:ascii="Arial" w:cs="Arial" w:eastAsia="Arial" w:hAnsi="Arial"/>
          <w:sz w:val="17"/>
          <w:szCs w:val="17"/>
          <w:color w:val="auto"/>
        </w:rPr>
      </w:pPr>
    </w:p>
    <w:p>
      <w:pPr>
        <w:ind w:right="120" w:firstLine="464"/>
        <w:spacing w:after="0" w:line="289" w:lineRule="auto"/>
        <w:tabs>
          <w:tab w:leader="none" w:pos="761"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Removal of L/C Issuers</w:t>
      </w:r>
      <w:r>
        <w:rPr>
          <w:rFonts w:ascii="Arial" w:cs="Arial" w:eastAsia="Arial" w:hAnsi="Arial"/>
          <w:sz w:val="16"/>
          <w:szCs w:val="16"/>
          <w:color w:val="auto"/>
        </w:rPr>
        <w:t xml:space="preserve">. The Borrower may at any time remove any Revolving Credit Lender from its role as an L/C Issuer hereunder upon not less than 30 days prior notice to such L/C Issuer (or such shorter period of time as may be acceptable to such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removed L/C Issuer shall retain all the rights, powers, privileges and duties of an L/C Issuer hereunder with respect to all Letters of Credit outstanding as of the effective date of its removal as L/C Issuer and all L/C Obligations with respect thereto (including the right to require the Revolving Credit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Without limiting the foregoing, upon the removal of a Revolving Credit Lender as an L/C Issuer hereunder, the Borrower may, or at the request of such removed L/C Issuer the Borrower shall use commercially reasonable efforts to, arrange for one or more of the other L/C Issuers to issue Letters of Credit hereunder in substitution for the Letters of Credit, if any, issued by such removed L/C Issuer and outstanding at the time of such removal, or make other arrangements satisfactory to the removed L/C Issuer to effectively cause another L/C Issuer to assume the obligations of the removed L/C Issuer with respect to any such Letters of Credit.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231" w:name="page232"/>
    <w:bookmarkEnd w:id="231"/>
    <w:p>
      <w:pPr>
        <w:ind w:firstLine="464"/>
        <w:spacing w:after="0" w:line="270" w:lineRule="auto"/>
        <w:tabs>
          <w:tab w:leader="none" w:pos="711"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Reporting of Letter of Credit Information</w:t>
      </w:r>
      <w:r>
        <w:rPr>
          <w:rFonts w:ascii="Arial" w:cs="Arial" w:eastAsia="Arial" w:hAnsi="Arial"/>
          <w:sz w:val="17"/>
          <w:szCs w:val="17"/>
          <w:color w:val="auto"/>
        </w:rPr>
        <w:t xml:space="preserve">. At any time that any Revolving Credit Lender other than the Person serving as the Administrative Agent is an L/C Issuer, then (i) on the last Business Day of each calendar month, (ii) on each date that a Letter of Credit is amended, terminated or otherwise expires, (iii) on each date that an L/C Credit Extension occurs with respect to any Letter of Credit, and (iv) upon the request of the Administrative Agent, each L/C Issuer (or, in the case of part (ii), (iii) or (iv),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including any auto-renewal or termination of auto-renewal provisions in such Letter of Credit. No failure on the part of any L/C Issuer to provide such information pursuant to this </w:t>
      </w:r>
      <w:r>
        <w:rPr>
          <w:rFonts w:ascii="Arial" w:cs="Arial" w:eastAsia="Arial" w:hAnsi="Arial"/>
          <w:sz w:val="17"/>
          <w:szCs w:val="17"/>
          <w:u w:val="single" w:color="auto"/>
          <w:color w:val="auto"/>
        </w:rPr>
        <w:t>Section 2.03(n)</w:t>
      </w:r>
      <w:r>
        <w:rPr>
          <w:rFonts w:ascii="Arial" w:cs="Arial" w:eastAsia="Arial" w:hAnsi="Arial"/>
          <w:sz w:val="17"/>
          <w:szCs w:val="17"/>
          <w:color w:val="auto"/>
        </w:rPr>
        <w:t xml:space="preserve"> shall limit the obligation of the Borrower or any Revolving Credit Lender hereunder with respect to its reimbursement and participation obligations, respectively,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shall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72" w:lineRule="exact"/>
        <w:rPr>
          <w:sz w:val="20"/>
          <w:szCs w:val="20"/>
          <w:color w:val="auto"/>
        </w:rPr>
      </w:pPr>
    </w:p>
    <w:p>
      <w:pPr>
        <w:ind w:right="20" w:firstLine="464"/>
        <w:spacing w:after="0" w:line="312" w:lineRule="auto"/>
        <w:tabs>
          <w:tab w:leader="none" w:pos="711"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 and (ii)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232" w:name="page233"/>
    <w:bookmarkEnd w:id="23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borrowing date, which shall be a Business Day; provided that, if the Revolving Credit Exposure shall be less than Fifty Million Dollars ($50,000,000), no Swing Line Loan Notice shall be required to the extent that funding of Swing Loans is administered through an automated cash management system with the Swing Line Lender.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w:t>
      </w:r>
    </w:p>
    <w:p>
      <w:pPr>
        <w:spacing w:after="0" w:line="1" w:lineRule="exact"/>
        <w:rPr>
          <w:sz w:val="20"/>
          <w:szCs w:val="20"/>
          <w:color w:val="auto"/>
        </w:rPr>
      </w:pPr>
    </w:p>
    <w:p>
      <w:pPr>
        <w:ind w:right="140" w:firstLine="8"/>
        <w:spacing w:after="0" w:line="254" w:lineRule="auto"/>
        <w:tabs>
          <w:tab w:leader="none" w:pos="29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189" w:lineRule="exact"/>
        <w:rPr>
          <w:rFonts w:ascii="Arial" w:cs="Arial" w:eastAsia="Arial" w:hAnsi="Arial"/>
          <w:sz w:val="18"/>
          <w:szCs w:val="18"/>
          <w:color w:val="auto"/>
        </w:rPr>
      </w:pPr>
    </w:p>
    <w:p>
      <w:pPr>
        <w:ind w:left="700" w:hanging="236"/>
        <w:spacing w:after="0"/>
        <w:tabs>
          <w:tab w:leader="none" w:pos="700"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87" w:lineRule="auto"/>
        <w:tabs>
          <w:tab w:leader="none" w:pos="1113" w:val="left"/>
        </w:tabs>
        <w:numPr>
          <w:ilvl w:val="2"/>
          <w:numId w:val="271"/>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60" w:lineRule="exact"/>
        <w:rPr>
          <w:rFonts w:ascii="Arial" w:cs="Arial" w:eastAsia="Arial" w:hAnsi="Arial"/>
          <w:sz w:val="16"/>
          <w:szCs w:val="16"/>
          <w:color w:val="auto"/>
        </w:rPr>
      </w:pPr>
    </w:p>
    <w:p>
      <w:pPr>
        <w:ind w:left="460" w:right="20" w:firstLine="443"/>
        <w:spacing w:after="0" w:line="277" w:lineRule="auto"/>
        <w:tabs>
          <w:tab w:leader="none" w:pos="1163" w:val="left"/>
        </w:tabs>
        <w:numPr>
          <w:ilvl w:val="2"/>
          <w:numId w:val="271"/>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Revolving Credit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the request for Base Rate Loans submitted by the Swing Line Lender as set forth herein shall be deemed to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233" w:name="page234"/>
    <w:bookmarkEnd w:id="233"/>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73" w:lineRule="exact"/>
        <w:rPr>
          <w:sz w:val="20"/>
          <w:szCs w:val="20"/>
          <w:color w:val="auto"/>
        </w:rPr>
      </w:pPr>
    </w:p>
    <w:p>
      <w:pPr>
        <w:ind w:right="20" w:firstLine="443"/>
        <w:spacing w:after="0" w:line="270" w:lineRule="auto"/>
        <w:tabs>
          <w:tab w:leader="none" w:pos="753"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69" w:lineRule="exact"/>
        <w:rPr>
          <w:rFonts w:ascii="Arial" w:cs="Arial" w:eastAsia="Arial" w:hAnsi="Arial"/>
          <w:sz w:val="17"/>
          <w:szCs w:val="17"/>
          <w:color w:val="auto"/>
        </w:rPr>
      </w:pPr>
    </w:p>
    <w:p>
      <w:pPr>
        <w:ind w:right="20" w:firstLine="443"/>
        <w:spacing w:after="0" w:line="272" w:lineRule="auto"/>
        <w:tabs>
          <w:tab w:leader="none" w:pos="743"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Each Revolving Credit Lender’s obligation to make Revolving Credit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Revolving Credit Lender’s obligation to make Revolving Credit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Borrower to repay Swing Line Loans, together with interest as provided herein.</w:t>
      </w:r>
    </w:p>
    <w:p>
      <w:pPr>
        <w:spacing w:after="0" w:line="177" w:lineRule="exact"/>
        <w:rPr>
          <w:rFonts w:ascii="Arial" w:cs="Arial" w:eastAsia="Arial" w:hAnsi="Arial"/>
          <w:sz w:val="17"/>
          <w:szCs w:val="17"/>
          <w:color w:val="auto"/>
        </w:rPr>
      </w:pPr>
    </w:p>
    <w:p>
      <w:pPr>
        <w:ind w:left="260" w:hanging="256"/>
        <w:spacing w:after="0"/>
        <w:tabs>
          <w:tab w:leader="none" w:pos="26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264" w:lineRule="auto"/>
        <w:tabs>
          <w:tab w:leader="none" w:pos="65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73" w:lineRule="exact"/>
        <w:rPr>
          <w:rFonts w:ascii="Arial" w:cs="Arial" w:eastAsia="Arial" w:hAnsi="Arial"/>
          <w:sz w:val="18"/>
          <w:szCs w:val="18"/>
          <w:color w:val="auto"/>
        </w:rPr>
      </w:pPr>
    </w:p>
    <w:p>
      <w:pPr>
        <w:ind w:firstLine="443"/>
        <w:spacing w:after="0" w:line="264" w:lineRule="auto"/>
        <w:tabs>
          <w:tab w:leader="none" w:pos="70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Swing Line Lender in its discretion), each Revolving</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700" w:top="274" w:right="259" w:bottom="1440" w:gutter="0" w:footer="0" w:header="0"/>
        </w:sectPr>
      </w:pPr>
    </w:p>
    <w:bookmarkStart w:id="234" w:name="page235"/>
    <w:bookmarkEnd w:id="234"/>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Lender shall pay to the Swing Line Lender its Applicable Revolving Credit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87" w:lineRule="exact"/>
        <w:rPr>
          <w:sz w:val="20"/>
          <w:szCs w:val="20"/>
          <w:color w:val="auto"/>
        </w:rPr>
      </w:pPr>
    </w:p>
    <w:p>
      <w:pPr>
        <w:ind w:left="-20" w:right="60" w:firstLine="464"/>
        <w:spacing w:after="0" w:line="259" w:lineRule="auto"/>
        <w:tabs>
          <w:tab w:leader="none" w:pos="681"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86" w:lineRule="exact"/>
        <w:rPr>
          <w:rFonts w:ascii="Arial" w:cs="Arial" w:eastAsia="Arial" w:hAnsi="Arial"/>
          <w:sz w:val="18"/>
          <w:szCs w:val="18"/>
          <w:color w:val="auto"/>
        </w:rPr>
      </w:pPr>
    </w:p>
    <w:p>
      <w:pPr>
        <w:ind w:left="-20" w:right="560" w:firstLine="464"/>
        <w:spacing w:after="0" w:line="277" w:lineRule="auto"/>
        <w:tabs>
          <w:tab w:leader="none" w:pos="661"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Notices and Reporting of Swing Line Loan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443"/>
        <w:spacing w:after="0" w:line="264" w:lineRule="auto"/>
        <w:tabs>
          <w:tab w:leader="none" w:pos="109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Promptly after receipt of any Swing Line Loan Notice or notice under clause (b) hereof, the Swing Line Lender will confirm with the Administrative Agent (by telephone or in writing) that the Administrative Agent has received a copy of such notice from the Borrower and, if not, the Swing Line Lender will provide the Administrative Agent with a copy thereof.</w:t>
      </w:r>
    </w:p>
    <w:p>
      <w:pPr>
        <w:spacing w:after="0" w:line="73" w:lineRule="exact"/>
        <w:rPr>
          <w:rFonts w:ascii="Arial" w:cs="Arial" w:eastAsia="Arial" w:hAnsi="Arial"/>
          <w:sz w:val="18"/>
          <w:szCs w:val="18"/>
          <w:color w:val="auto"/>
        </w:rPr>
      </w:pPr>
    </w:p>
    <w:p>
      <w:pPr>
        <w:ind w:left="1140" w:hanging="257"/>
        <w:spacing w:after="0"/>
        <w:tabs>
          <w:tab w:leader="none" w:pos="114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If at any time that any Revolving Credit Lender other than the Person serving as the Administrative Agent is the Swing Line Lender, then</w:t>
      </w:r>
    </w:p>
    <w:p>
      <w:pPr>
        <w:spacing w:after="0" w:line="34" w:lineRule="exact"/>
        <w:rPr>
          <w:rFonts w:ascii="Arial" w:cs="Arial" w:eastAsia="Arial" w:hAnsi="Arial"/>
          <w:sz w:val="17"/>
          <w:szCs w:val="17"/>
          <w:color w:val="auto"/>
        </w:rPr>
      </w:pPr>
    </w:p>
    <w:p>
      <w:pPr>
        <w:ind w:left="440"/>
        <w:spacing w:after="0" w:line="269" w:lineRule="auto"/>
        <w:rPr>
          <w:rFonts w:ascii="Arial" w:cs="Arial" w:eastAsia="Arial" w:hAnsi="Arial"/>
          <w:sz w:val="17"/>
          <w:szCs w:val="17"/>
          <w:color w:val="auto"/>
        </w:rPr>
      </w:pPr>
      <w:r>
        <w:rPr>
          <w:rFonts w:ascii="Arial" w:cs="Arial" w:eastAsia="Arial" w:hAnsi="Arial"/>
          <w:sz w:val="17"/>
          <w:szCs w:val="17"/>
          <w:color w:val="auto"/>
        </w:rPr>
        <w:t>(A) on the first Business Day of each calendar month, (B) on each date that a Swing Line Loan is issued, continued or converted, and (C) promptly upon the request of the Administrative Agent, the Swing Line Lender shall deliver (or in the case of clause (B), use commercially reasonable efforts to deliver) to the Administrative Agent a report setting forth in form and detail reasonably satisfactory to the Administrative Agent information (including, without limitation, any reimbursement, Cash Collateral, conversion, extension or repayment in respect of Swing Line Loans issued by the Swing Line Lender) with respect to each Swing Line Loan issued by the Swing Line Lender that is outstanding hereunder. No failure on the part of the Swing Line Lender to provide such information pursuant to this Section 2.04(g) shall limit the obligation of the Borrower or any Lender hereunder with respect to its reimbursement and participation obligations, respectively, pursuant to this Section 2.04.</w:t>
      </w:r>
    </w:p>
    <w:p>
      <w:pPr>
        <w:spacing w:after="0" w:line="180" w:lineRule="exact"/>
        <w:rPr>
          <w:rFonts w:ascii="Arial" w:cs="Arial" w:eastAsia="Arial" w:hAnsi="Arial"/>
          <w:sz w:val="17"/>
          <w:szCs w:val="17"/>
          <w:color w:val="auto"/>
        </w:rPr>
      </w:pPr>
    </w:p>
    <w:p>
      <w:pPr>
        <w:ind w:left="-20" w:right="20" w:firstLine="464"/>
        <w:spacing w:after="0" w:line="257" w:lineRule="auto"/>
        <w:tabs>
          <w:tab w:leader="none" w:pos="691"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Removal of Swing Line Lender</w:t>
      </w:r>
      <w:r>
        <w:rPr>
          <w:rFonts w:ascii="Arial" w:cs="Arial" w:eastAsia="Arial" w:hAnsi="Arial"/>
          <w:sz w:val="18"/>
          <w:szCs w:val="18"/>
          <w:color w:val="auto"/>
        </w:rPr>
        <w:t>. The Borrower may at any time remove any Revolving Credit Lender from its role as Swing Line Lender hereunder upon not less than 30 days prior notice to the Swing Line Lender and the Administrative Agent (or such shorter period of time as may be acceptable to the Swing Line Lender and the Administrative Agent) so long as prior to the removal of such Revolving Credit Lender from its role as Swing Line Lender, (x) the Borrower appoints another Revolving Credit Lender to serve as successor Swing Line Lender, (y) such Revolving Credit Lender accepts its appointment to serve as Successor Swing Line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60" w:top="274" w:right="239" w:bottom="1440" w:gutter="0" w:footer="0" w:header="0"/>
        </w:sectPr>
      </w:pPr>
    </w:p>
    <w:bookmarkStart w:id="235" w:name="page236"/>
    <w:bookmarkEnd w:id="235"/>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 and (z) such successor Swing Line Lender is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 Line Lender shall retain all the rights, powers, privileges and duties of a Swing Line Lender hereunder with respect to all Swing Loans outstanding as of the effective date of its removal as the Swing Line Lender (including the right to require the Revolving Credit Lenders to make Base Rate Loans).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85" w:lineRule="auto"/>
        <w:tabs>
          <w:tab w:leader="none" w:pos="1113"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the Borrower may, upon notice to the Administrative Agent, at any time or from time to time after the date that is ten (10) Business Days after the Closing Date, voluntarily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in a form 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(1) three Business Days prior to any date of prepayment of Eurodollar Rate Loans and (2) on the date of prepayment of Base Rate Loans; (B) any 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Eurodollar Rate Loan,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prepayment of the outstanding Term Loans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to the principal repayment installments thereof as directed by the Borrower, and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paid to the Lenders in accordance with their respective Applicable Percentages in respect of each of the relevant Facility.</w:t>
      </w:r>
    </w:p>
    <w:p>
      <w:pPr>
        <w:spacing w:after="0" w:line="69" w:lineRule="exact"/>
        <w:rPr>
          <w:rFonts w:ascii="Arial" w:cs="Arial" w:eastAsia="Arial" w:hAnsi="Arial"/>
          <w:sz w:val="16"/>
          <w:szCs w:val="16"/>
          <w:color w:val="auto"/>
        </w:rPr>
      </w:pPr>
    </w:p>
    <w:p>
      <w:pPr>
        <w:ind w:left="460" w:right="40" w:firstLine="443"/>
        <w:spacing w:after="0" w:line="255" w:lineRule="auto"/>
        <w:tabs>
          <w:tab w:leader="none" w:pos="116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 repayment of a Swing Loan that is administered through an automated cash management system with the Swing Line Lender, no prepayment notice shall be required.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274" w:right="319" w:bottom="1440" w:gutter="0" w:footer="0" w:header="0"/>
        </w:sectPr>
      </w:pPr>
    </w:p>
    <w:bookmarkStart w:id="236" w:name="page237"/>
    <w:bookmarkEnd w:id="236"/>
    <w:p>
      <w:pPr>
        <w:ind w:left="260" w:hanging="256"/>
        <w:spacing w:after="0"/>
        <w:tabs>
          <w:tab w:leader="none" w:pos="26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443"/>
        <w:spacing w:after="0" w:line="291" w:lineRule="auto"/>
        <w:tabs>
          <w:tab w:leader="none" w:pos="653"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Commencing with the fiscal year ending December 31, 2016, within the later of (x) five Business Days after financial statements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the related Compliance Certificate has been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and (y) ninety-five</w:t>
      </w:r>
    </w:p>
    <w:p>
      <w:pPr>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(95) days after the end of such fiscal year, the Borrower shall prepay an aggregate principal amount of Loans equal to the excess (if any) of (A) the ECF Percentage of Excess Cash Flow for the fiscal year covered by such financial statements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aggregate principal amount of Term Loans prepaid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the aggregate principal amount of optional prepayments of Revolving Credit Loans during such fiscal year (solely to the extent such prepayments are accompanied by a concurrent equivalent permanent reduction in the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clause (v) below).</w:t>
      </w:r>
    </w:p>
    <w:p>
      <w:pPr>
        <w:spacing w:after="0" w:line="84" w:lineRule="exact"/>
        <w:rPr>
          <w:rFonts w:ascii="Arial" w:cs="Arial" w:eastAsia="Arial" w:hAnsi="Arial"/>
          <w:sz w:val="16"/>
          <w:szCs w:val="16"/>
          <w:color w:val="auto"/>
        </w:rPr>
      </w:pPr>
    </w:p>
    <w:p>
      <w:pPr>
        <w:ind w:right="20" w:firstLine="443"/>
        <w:spacing w:after="0" w:line="287" w:lineRule="auto"/>
        <w:tabs>
          <w:tab w:leader="none" w:pos="703"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If the Borrower or any of its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clause (b) thereof) which results in the realization by such Person of Net Cash Proceeds, the Borrower shall prepay an aggregate principal amount of Loans equal to 100% of such Net Cash Proceeds within ten (10) Business Days of receipt thereof by such Person (such prepayments to be applied as set forth in clause (v)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at the election of the Borrower (as notified by the Borrower to the Administrative Agent on or prior to the date of such Disposition), and so long as no Default shall have occurred and be continuing, the Borrower or such Subsidiary may reinvest all or any portion of such Net Cash Proceeds in operating assets so long as within 365 days after the receipt of such Net Cash Proceeds, such reinvestment shall have been consummated (as certified by the Borrower in writing to the Administrative Agent) and if such Net Cash Proceeds are not so reinvested within such 365-day period but such Net Cash Proceeds are subject to a definitive agreement within such 365-day period to reinvest such Net Cash Proceeds in accordance with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then the Borrower or such Subsidiary shall have an additional 180 days after the end of the such initial 365-day period to reinvest such Net Cash Proceeds in accordance with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Net Cash Proceeds not subject to such definitive agreement or so reinvested shall be promptly applied to the prepayment of the Loans as set forth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443"/>
        <w:spacing w:after="0" w:line="259" w:lineRule="auto"/>
        <w:tabs>
          <w:tab w:leader="none" w:pos="75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prepay an aggregate principal amount of Loans equal to 100% of all Net Cash Proceeds received therefrom within five (5) Business Days of receipt thereof by the Borrower or such Subsidiary (such prepayments to be applied as set forth in clause (v) below).</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74" w:right="239" w:bottom="1440" w:gutter="0" w:footer="0" w:header="0"/>
        </w:sectPr>
      </w:pPr>
    </w:p>
    <w:bookmarkStart w:id="237" w:name="page238"/>
    <w:bookmarkEnd w:id="237"/>
    <w:p>
      <w:pPr>
        <w:ind w:right="60" w:firstLine="443"/>
        <w:spacing w:after="0" w:line="283" w:lineRule="auto"/>
        <w:tabs>
          <w:tab w:leader="none" w:pos="743" w:val="left"/>
        </w:tabs>
        <w:numPr>
          <w:ilvl w:val="1"/>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any Extraordinary Receipt received by or paid to or for the account of the Borrower or any of its Subsidiaries, and not otherwise included in clause (ii) or (iii)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clause (v)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Default shall have occurred and be continuing, the Borrower or such Subsidiary may apply within 365 days after the receipt of such cash proceeds to replace or repair the equipment, fixed assets or real property in respect of which such cash proceeds were received and if such Net Cash Proceeds are not so reinvested within such 365-day period but such Net Cash Proceeds are subject to a definitive agreement within such 365-day period to reinvest such Net Cash Proceeds in accordance with this </w:t>
      </w:r>
      <w:r>
        <w:rPr>
          <w:rFonts w:ascii="Arial" w:cs="Arial" w:eastAsia="Arial" w:hAnsi="Arial"/>
          <w:sz w:val="16"/>
          <w:szCs w:val="16"/>
          <w:u w:val="single" w:color="auto"/>
          <w:color w:val="auto"/>
        </w:rPr>
        <w:t>Section 2.05(b)</w:t>
      </w:r>
    </w:p>
    <w:p>
      <w:pPr>
        <w:spacing w:after="0" w:line="6" w:lineRule="exact"/>
        <w:rPr>
          <w:rFonts w:ascii="Arial" w:cs="Arial" w:eastAsia="Arial" w:hAnsi="Arial"/>
          <w:sz w:val="16"/>
          <w:szCs w:val="16"/>
          <w:color w:val="auto"/>
        </w:rPr>
      </w:pPr>
    </w:p>
    <w:p>
      <w:pPr>
        <w:ind w:firstLine="4"/>
        <w:spacing w:after="0" w:line="255" w:lineRule="auto"/>
        <w:tabs>
          <w:tab w:leader="none" w:pos="305" w:val="left"/>
        </w:tabs>
        <w:numPr>
          <w:ilvl w:val="0"/>
          <w:numId w:val="278"/>
        </w:numPr>
        <w:rPr>
          <w:rFonts w:ascii="Arial" w:cs="Arial" w:eastAsia="Arial" w:hAnsi="Arial"/>
          <w:sz w:val="18"/>
          <w:szCs w:val="18"/>
          <w:u w:val="single" w:color="auto"/>
          <w:color w:val="auto"/>
        </w:rPr>
      </w:pPr>
      <w:r>
        <w:rPr>
          <w:rFonts w:ascii="Arial" w:cs="Arial" w:eastAsia="Arial" w:hAnsi="Arial"/>
          <w:sz w:val="18"/>
          <w:szCs w:val="18"/>
          <w:color w:val="auto"/>
        </w:rPr>
        <w:t xml:space="preserve">then the Borrower or such Subsidiary shall have an additional 180 days after the end of the such initial 365-day period to reinvest such Net Cash Proceeds in accordance with this </w:t>
      </w:r>
      <w:r>
        <w:rPr>
          <w:rFonts w:ascii="Arial" w:cs="Arial" w:eastAsia="Arial" w:hAnsi="Arial"/>
          <w:sz w:val="18"/>
          <w:szCs w:val="18"/>
          <w:u w:val="single" w:color="auto"/>
          <w:color w:val="auto"/>
        </w:rPr>
        <w:t>Section 2.05(b)(iv)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cash proceeds not so applied shall be promptly applied to the prepayment of the Loans as set forth in this </w:t>
      </w:r>
      <w:r>
        <w:rPr>
          <w:rFonts w:ascii="Arial" w:cs="Arial" w:eastAsia="Arial" w:hAnsi="Arial"/>
          <w:sz w:val="18"/>
          <w:szCs w:val="18"/>
          <w:u w:val="single" w:color="auto"/>
          <w:color w:val="auto"/>
        </w:rPr>
        <w:t>Section 2.05(b)(iv)</w:t>
      </w:r>
      <w:r>
        <w:rPr>
          <w:rFonts w:ascii="Arial" w:cs="Arial" w:eastAsia="Arial" w:hAnsi="Arial"/>
          <w:sz w:val="18"/>
          <w:szCs w:val="18"/>
          <w:color w:val="auto"/>
        </w:rPr>
        <w:t>.</w:t>
      </w:r>
    </w:p>
    <w:p>
      <w:pPr>
        <w:spacing w:after="0" w:line="82" w:lineRule="exact"/>
        <w:rPr>
          <w:rFonts w:ascii="Arial" w:cs="Arial" w:eastAsia="Arial" w:hAnsi="Arial"/>
          <w:sz w:val="18"/>
          <w:szCs w:val="18"/>
          <w:u w:val="single" w:color="auto"/>
          <w:color w:val="auto"/>
        </w:rPr>
      </w:pPr>
    </w:p>
    <w:p>
      <w:pPr>
        <w:ind w:right="40" w:firstLine="443"/>
        <w:spacing w:after="0" w:line="272" w:lineRule="auto"/>
        <w:tabs>
          <w:tab w:leader="none" w:pos="693"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Each prepayment of Loans pursuant to the foregoing provisions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in direct order of maturity to the next four principal repayment installments of the Initial Term Facility (and, to the extent provided in the definitive loan documentation therefor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any Incremental Term Loans) and, </w:t>
      </w:r>
      <w:r>
        <w:rPr>
          <w:rFonts w:ascii="Arial" w:cs="Arial" w:eastAsia="Arial" w:hAnsi="Arial"/>
          <w:sz w:val="17"/>
          <w:szCs w:val="17"/>
          <w:u w:val="single" w:color="auto"/>
          <w:color w:val="auto"/>
        </w:rPr>
        <w:t>thereafter</w:t>
      </w:r>
      <w:r>
        <w:rPr>
          <w:rFonts w:ascii="Arial" w:cs="Arial" w:eastAsia="Arial" w:hAnsi="Arial"/>
          <w:sz w:val="17"/>
          <w:szCs w:val="17"/>
          <w:color w:val="auto"/>
        </w:rPr>
        <w:t xml:space="preserve">, to the remaining scheduled principal installments of the Initial Term Facility (and, to the extent provided in the definitive loan documentation therefor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any Incremental Term Loans)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and,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upon payment in full of all Term Loans, to the Revolving Credit Facility (without permanent reduction of the Revolving Credit Commitments) in the manner set forth in </w:t>
      </w:r>
      <w:r>
        <w:rPr>
          <w:rFonts w:ascii="Arial" w:cs="Arial" w:eastAsia="Arial" w:hAnsi="Arial"/>
          <w:sz w:val="17"/>
          <w:szCs w:val="17"/>
          <w:u w:val="single" w:color="auto"/>
          <w:color w:val="auto"/>
        </w:rPr>
        <w:t>clause (vii)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such prepayments shall be paid to the Lenders in accordance with their respective Applicable Percentages in respect of the relevant Facilities.</w:t>
      </w:r>
    </w:p>
    <w:p>
      <w:pPr>
        <w:spacing w:after="0" w:line="69" w:lineRule="exact"/>
        <w:rPr>
          <w:rFonts w:ascii="Arial" w:cs="Arial" w:eastAsia="Arial" w:hAnsi="Arial"/>
          <w:sz w:val="17"/>
          <w:szCs w:val="17"/>
          <w:color w:val="auto"/>
        </w:rPr>
      </w:pPr>
    </w:p>
    <w:p>
      <w:pPr>
        <w:ind w:right="20" w:firstLine="443"/>
        <w:spacing w:after="0" w:line="264" w:lineRule="auto"/>
        <w:tabs>
          <w:tab w:leader="none" w:pos="74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the L/C Borrowings) in an aggregate amount equal to such excess.</w:t>
      </w:r>
    </w:p>
    <w:p>
      <w:pPr>
        <w:spacing w:after="0" w:line="73" w:lineRule="exact"/>
        <w:rPr>
          <w:rFonts w:ascii="Arial" w:cs="Arial" w:eastAsia="Arial" w:hAnsi="Arial"/>
          <w:sz w:val="18"/>
          <w:szCs w:val="18"/>
          <w:color w:val="auto"/>
        </w:rPr>
      </w:pPr>
    </w:p>
    <w:p>
      <w:pPr>
        <w:ind w:right="140" w:firstLine="443"/>
        <w:spacing w:after="0" w:line="264" w:lineRule="auto"/>
        <w:tabs>
          <w:tab w:leader="none" w:pos="79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2.15, prepayments of the Revolving Credit Facility made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first, shall be applied ratably to the L/C Borrowings and the Swing Line Loans, second, shall be applied ratably to the outstanding Revolving Credit Loans, and, third, shall be used to Cash Collateralize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700" w:top="274" w:right="259" w:bottom="1440" w:gutter="0" w:footer="0" w:header="0"/>
        </w:sectPr>
      </w:pPr>
    </w:p>
    <w:bookmarkStart w:id="238" w:name="page239"/>
    <w:bookmarkEnd w:id="238"/>
    <w:p>
      <w:pPr>
        <w:ind w:left="440"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remaining L/C Obligations in full; and, in the case of prepayments of the Revolving Credit Facility required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the amount remaining, if any, after the prepayment in full of all L/C Borrowings, Swing Line Loans and Revolving Credit Loans outstanding at such time and the Cash Collateralization of the remaining L/C Obligations in full may be retained by the Borrower for use in the ordinary course of its business.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applicable L/C Issuer or the applicable Revolving Credit Lenders, as applicable.</w:t>
      </w:r>
    </w:p>
    <w:p>
      <w:pPr>
        <w:spacing w:after="0" w:line="70" w:lineRule="exact"/>
        <w:rPr>
          <w:sz w:val="20"/>
          <w:szCs w:val="20"/>
          <w:color w:val="auto"/>
        </w:rPr>
      </w:pPr>
    </w:p>
    <w:p>
      <w:pPr>
        <w:ind w:left="440" w:firstLine="443"/>
        <w:spacing w:after="0" w:line="288" w:lineRule="auto"/>
        <w:tabs>
          <w:tab w:leader="none" w:pos="1283"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any mandatory prepayments arising under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from the receipt of Net Cash Proceeds from any Disposition or Extraordinary Receipts by any Foreign Subsidiary (each, a “ </w:t>
      </w:r>
      <w:r>
        <w:rPr>
          <w:rFonts w:ascii="Arial" w:cs="Arial" w:eastAsia="Arial" w:hAnsi="Arial"/>
          <w:sz w:val="16"/>
          <w:szCs w:val="16"/>
          <w:u w:val="single" w:color="auto"/>
          <w:color w:val="auto"/>
        </w:rPr>
        <w:t>Foreign Disposition</w:t>
      </w:r>
      <w:r>
        <w:rPr>
          <w:rFonts w:ascii="Arial" w:cs="Arial" w:eastAsia="Arial" w:hAnsi="Arial"/>
          <w:sz w:val="16"/>
          <w:szCs w:val="16"/>
          <w:color w:val="auto"/>
        </w:rPr>
        <w:t xml:space="preserve">”) or arising under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from Excess Cash Flow directly attributable to Foreign Subsidiaries (“</w:t>
      </w:r>
      <w:r>
        <w:rPr>
          <w:rFonts w:ascii="Arial" w:cs="Arial" w:eastAsia="Arial" w:hAnsi="Arial"/>
          <w:sz w:val="16"/>
          <w:szCs w:val="16"/>
          <w:u w:val="single" w:color="auto"/>
          <w:color w:val="auto"/>
        </w:rPr>
        <w:t>Foreign Excess Cash Flow</w:t>
      </w:r>
      <w:r>
        <w:rPr>
          <w:rFonts w:ascii="Arial" w:cs="Arial" w:eastAsia="Arial" w:hAnsi="Arial"/>
          <w:sz w:val="16"/>
          <w:szCs w:val="16"/>
          <w:color w:val="auto"/>
        </w:rPr>
        <w:t xml:space="preserve">”) shall not be required to the extent that the repatriation of such Net Cash Proceeds or Foreign Excess Cash Flow would (A) give rise to a material adverse tax consequence or (B) be prohibited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repatriation of any such affected Net Cash Proceeds or Foreign Excess Cash Flow is later permitted under applicable Laws and can be accomplished without material adverse tax consequences, such repatriation shall be effected as promptly as practicable and such repatriated Net Cash Proceeds or Foreign Excess Cash Flow, as applicable, will be promptly after such repatriation applied to the repayment of the Loans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to the extent provided herein.</w:t>
      </w:r>
    </w:p>
    <w:p>
      <w:pPr>
        <w:spacing w:after="0" w:line="169" w:lineRule="exact"/>
        <w:rPr>
          <w:rFonts w:ascii="Arial" w:cs="Arial" w:eastAsia="Arial" w:hAnsi="Arial"/>
          <w:sz w:val="16"/>
          <w:szCs w:val="16"/>
          <w:color w:val="auto"/>
        </w:rPr>
      </w:pPr>
    </w:p>
    <w:p>
      <w:pPr>
        <w:ind w:left="-20" w:right="40" w:firstLine="464"/>
        <w:spacing w:after="0" w:line="276" w:lineRule="auto"/>
        <w:tabs>
          <w:tab w:leader="none" w:pos="681"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Call Premium</w:t>
      </w:r>
      <w:r>
        <w:rPr>
          <w:rFonts w:ascii="Arial" w:cs="Arial" w:eastAsia="Arial" w:hAnsi="Arial"/>
          <w:sz w:val="17"/>
          <w:szCs w:val="17"/>
          <w:color w:val="auto"/>
        </w:rPr>
        <w:t>. In the event that, on or prior to the date that is six-months after the Closing Date a Repricing Event occurs, the Borrower will pay a premium (a “</w:t>
      </w:r>
      <w:r>
        <w:rPr>
          <w:rFonts w:ascii="Arial" w:cs="Arial" w:eastAsia="Arial" w:hAnsi="Arial"/>
          <w:sz w:val="17"/>
          <w:szCs w:val="17"/>
          <w:u w:val="single" w:color="auto"/>
          <w:color w:val="auto"/>
        </w:rPr>
        <w:t>Call Premium</w:t>
      </w:r>
      <w:r>
        <w:rPr>
          <w:rFonts w:ascii="Arial" w:cs="Arial" w:eastAsia="Arial" w:hAnsi="Arial"/>
          <w:sz w:val="17"/>
          <w:szCs w:val="17"/>
          <w:color w:val="auto"/>
        </w:rPr>
        <w:t xml:space="preserve">”), for the ratable account of each Lender that holds initial Loans, in an amount equal to 1.00% of the aggregate principal amount of the initial Loans subject to such Repricing Event (it being understood that any such Call Premium with respect to a Repricing Event under clause (ii) of the definition of Repricing Event shall be paid to each Non-Consenting Lender that is replaced in such Repricing Event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Such Call Premium shall be due and payable within three (3) Business Days of the date of the effectiveness of such Repricing Event.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25" w:lineRule="exact"/>
        <w:rPr>
          <w:sz w:val="20"/>
          <w:szCs w:val="20"/>
          <w:color w:val="auto"/>
        </w:rPr>
      </w:pPr>
    </w:p>
    <w:p>
      <w:pPr>
        <w:ind w:left="-20" w:right="60" w:firstLine="464"/>
        <w:spacing w:after="0" w:line="257" w:lineRule="auto"/>
        <w:tabs>
          <w:tab w:leader="none" w:pos="681"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provided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60" w:top="274" w:right="239" w:bottom="1440" w:gutter="0" w:footer="0" w:header="0"/>
        </w:sectPr>
      </w:pPr>
    </w:p>
    <w:bookmarkStart w:id="239" w:name="page240"/>
    <w:bookmarkEnd w:id="239"/>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Letter of Credit Sublimit.</w:t>
      </w:r>
    </w:p>
    <w:p>
      <w:pPr>
        <w:spacing w:after="0" w:line="154" w:lineRule="exact"/>
        <w:rPr>
          <w:sz w:val="20"/>
          <w:szCs w:val="20"/>
          <w:color w:val="auto"/>
        </w:rPr>
      </w:pPr>
    </w:p>
    <w:p>
      <w:pPr>
        <w:ind w:left="720" w:hanging="256"/>
        <w:spacing w:after="0"/>
        <w:tabs>
          <w:tab w:leader="none" w:pos="72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308" w:lineRule="auto"/>
        <w:tabs>
          <w:tab w:leader="none" w:pos="1113" w:val="left"/>
        </w:tabs>
        <w:numPr>
          <w:ilvl w:val="1"/>
          <w:numId w:val="282"/>
        </w:numPr>
        <w:rPr>
          <w:rFonts w:ascii="Arial" w:cs="Arial" w:eastAsia="Arial" w:hAnsi="Arial"/>
          <w:sz w:val="17"/>
          <w:szCs w:val="17"/>
          <w:color w:val="auto"/>
        </w:rPr>
      </w:pPr>
      <w:r>
        <w:rPr>
          <w:rFonts w:ascii="Arial" w:cs="Arial" w:eastAsia="Arial" w:hAnsi="Arial"/>
          <w:sz w:val="17"/>
          <w:szCs w:val="17"/>
          <w:color w:val="auto"/>
        </w:rPr>
        <w:t xml:space="preserve">The aggregate Initial Term Commitments shall be automatically and permanently reduced by the amount of the Term Borrowing made on the Closing Date and by the amount of any Term Borrowing made after the Closing Date, in each case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60" w:right="60" w:firstLine="443"/>
        <w:spacing w:after="0" w:line="277" w:lineRule="auto"/>
        <w:tabs>
          <w:tab w:leader="none" w:pos="116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unused Term Commitments shall be automatically and permanently reduced to zero on the last day of the applicable Availability Period (which, with respect to the Initial Term Commitments, shall be the Closing Date).</w:t>
      </w:r>
    </w:p>
    <w:p>
      <w:pPr>
        <w:spacing w:after="0" w:line="62" w:lineRule="exact"/>
        <w:rPr>
          <w:rFonts w:ascii="Arial" w:cs="Arial" w:eastAsia="Arial" w:hAnsi="Arial"/>
          <w:sz w:val="18"/>
          <w:szCs w:val="18"/>
          <w:color w:val="auto"/>
        </w:rPr>
      </w:pPr>
    </w:p>
    <w:p>
      <w:pPr>
        <w:ind w:left="460" w:firstLine="443"/>
        <w:spacing w:after="0" w:line="277" w:lineRule="auto"/>
        <w:tabs>
          <w:tab w:leader="none" w:pos="121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Revolving Credit Commitment of each Revolving Credit Lender shall automatically and permanently reduce to $0 on the Maturity Date of the Revolving Credit Facility.</w:t>
      </w:r>
    </w:p>
    <w:p>
      <w:pPr>
        <w:spacing w:after="0" w:line="62" w:lineRule="exact"/>
        <w:rPr>
          <w:rFonts w:ascii="Arial" w:cs="Arial" w:eastAsia="Arial" w:hAnsi="Arial"/>
          <w:sz w:val="18"/>
          <w:szCs w:val="18"/>
          <w:color w:val="auto"/>
        </w:rPr>
      </w:pPr>
    </w:p>
    <w:p>
      <w:pPr>
        <w:ind w:left="460" w:firstLine="443"/>
        <w:spacing w:after="0" w:line="264" w:lineRule="auto"/>
        <w:tabs>
          <w:tab w:leader="none" w:pos="120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Credit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57" w:lineRule="auto"/>
        <w:tabs>
          <w:tab w:leader="none" w:pos="111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Letter of Credit Sublimit, Swing Line Sublimit or the Revolving Credit Commitment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80" w:lineRule="exact"/>
        <w:rPr>
          <w:rFonts w:ascii="Arial" w:cs="Arial" w:eastAsia="Arial" w:hAnsi="Arial"/>
          <w:sz w:val="18"/>
          <w:szCs w:val="18"/>
          <w:color w:val="auto"/>
        </w:rPr>
      </w:pPr>
    </w:p>
    <w:p>
      <w:pPr>
        <w:ind w:left="460" w:right="60" w:firstLine="443"/>
        <w:spacing w:after="0" w:line="264" w:lineRule="auto"/>
        <w:tabs>
          <w:tab w:leader="none" w:pos="116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unused portion of the aggregate Term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unused portion of the aggregate Term Commitments, the Term Commitment of each Term Lender shall be reduced by such Lender’s ratable portion of such reduction amount.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274" w:right="319" w:bottom="1440" w:gutter="0" w:footer="0" w:header="0"/>
        </w:sectPr>
      </w:pPr>
    </w:p>
    <w:bookmarkStart w:id="240" w:name="page241"/>
    <w:bookmarkEnd w:id="24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The Borrower shall repay to the Term Lenders the aggregate principal amount of all Initial Term Loans outstanding on the following dates in an amount equal to the percentage set forth opposite such date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aggregate initial principal amount of the Initial Term Loans actually made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Fiscal Quarter Ending</w:t>
            </w:r>
          </w:p>
        </w:tc>
        <w:tc>
          <w:tcPr>
            <w:tcW w:w="8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Repayment Percentage</w:t>
            </w:r>
          </w:p>
        </w:tc>
      </w:tr>
      <w:tr>
        <w:trPr>
          <w:trHeight w:val="20"/>
        </w:trPr>
        <w:tc>
          <w:tcPr>
            <w:tcW w:w="138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03"/>
        </w:trPr>
        <w:tc>
          <w:tcPr>
            <w:tcW w:w="4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31, 2015</w:t>
            </w:r>
          </w:p>
        </w:tc>
        <w:tc>
          <w:tcPr>
            <w:tcW w:w="800" w:type="dxa"/>
            <w:vAlign w:val="bottom"/>
            <w:shd w:val="clear" w:color="auto" w:fill="CCEEFF"/>
          </w:tcPr>
          <w:p>
            <w:pPr>
              <w:spacing w:after="0"/>
              <w:rPr>
                <w:sz w:val="17"/>
                <w:szCs w:val="17"/>
                <w:color w:val="auto"/>
              </w:rPr>
            </w:pPr>
          </w:p>
        </w:tc>
        <w:tc>
          <w:tcPr>
            <w:tcW w:w="2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0.25%</w:t>
            </w: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March 31, 2016</w:t>
            </w:r>
          </w:p>
        </w:tc>
        <w:tc>
          <w:tcPr>
            <w:tcW w:w="3200" w:type="dxa"/>
            <w:vAlign w:val="bottom"/>
            <w:gridSpan w:val="2"/>
          </w:tcPr>
          <w:p>
            <w:pPr>
              <w:jc w:val="center"/>
              <w:ind w:left="690"/>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5"/>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4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March 31, 2018</w:t>
            </w:r>
          </w:p>
        </w:tc>
        <w:tc>
          <w:tcPr>
            <w:tcW w:w="3200" w:type="dxa"/>
            <w:vAlign w:val="bottom"/>
            <w:gridSpan w:val="2"/>
          </w:tcPr>
          <w:p>
            <w:pPr>
              <w:jc w:val="center"/>
              <w:ind w:left="690"/>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5"/>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4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March 31, 2020</w:t>
            </w:r>
          </w:p>
        </w:tc>
        <w:tc>
          <w:tcPr>
            <w:tcW w:w="3200" w:type="dxa"/>
            <w:vAlign w:val="bottom"/>
            <w:gridSpan w:val="2"/>
          </w:tcPr>
          <w:p>
            <w:pPr>
              <w:jc w:val="center"/>
              <w:ind w:left="690"/>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5"/>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44"/>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March 31, 2022</w:t>
            </w:r>
          </w:p>
        </w:tc>
        <w:tc>
          <w:tcPr>
            <w:tcW w:w="3200" w:type="dxa"/>
            <w:vAlign w:val="bottom"/>
            <w:gridSpan w:val="2"/>
          </w:tcPr>
          <w:p>
            <w:pPr>
              <w:jc w:val="center"/>
              <w:ind w:left="690"/>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June 30, 2022</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32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0.25%</w:t>
            </w:r>
          </w:p>
        </w:tc>
      </w:tr>
      <w:tr>
        <w:trPr>
          <w:trHeight w:val="215"/>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Date with respect to the Initial Term Loans</w:t>
            </w:r>
          </w:p>
        </w:tc>
        <w:tc>
          <w:tcPr>
            <w:tcW w:w="320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3"/>
              </w:rPr>
              <w:t>All outstanding principal amount</w:t>
            </w:r>
          </w:p>
        </w:tc>
      </w:tr>
      <w:tr>
        <w:trPr>
          <w:trHeight w:val="230"/>
        </w:trPr>
        <w:tc>
          <w:tcPr>
            <w:tcW w:w="138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of the Initial Term Loans</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event that any Incremental Term Loans are made, the Borrower shall repay such Incremental Term Loans on the dates and in the amounts set forth documentation entered into in connection with such Incremental Term Loans, with all outstanding principal amounts of such Incremental Term Loans being made on the applicable Maturity Date thereof.</w:t>
      </w:r>
    </w:p>
    <w:p>
      <w:pPr>
        <w:spacing w:after="0" w:line="181" w:lineRule="exact"/>
        <w:rPr>
          <w:sz w:val="20"/>
          <w:szCs w:val="20"/>
          <w:color w:val="auto"/>
        </w:rPr>
      </w:pPr>
    </w:p>
    <w:p>
      <w:pPr>
        <w:ind w:right="60" w:firstLine="464"/>
        <w:spacing w:after="0" w:line="308" w:lineRule="auto"/>
        <w:tabs>
          <w:tab w:leader="none" w:pos="711"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Revolving Credit Loans</w:t>
      </w:r>
      <w:r>
        <w:rPr>
          <w:rFonts w:ascii="Arial" w:cs="Arial" w:eastAsia="Arial" w:hAnsi="Arial"/>
          <w:sz w:val="17"/>
          <w:szCs w:val="17"/>
          <w:color w:val="auto"/>
        </w:rPr>
        <w:t>. The Borrower shall repay to the Administrative Agent for the ratable account of the applicable Revolving Credit Lenders on the Maturity Date for the Revolving Credit Facility the aggregate principal amount of all Revolving Credit Loans outstanding on such date.</w:t>
      </w:r>
    </w:p>
    <w:p>
      <w:pPr>
        <w:spacing w:after="0" w:line="146" w:lineRule="exact"/>
        <w:rPr>
          <w:rFonts w:ascii="Arial" w:cs="Arial" w:eastAsia="Arial" w:hAnsi="Arial"/>
          <w:sz w:val="17"/>
          <w:szCs w:val="17"/>
          <w:color w:val="auto"/>
        </w:rPr>
      </w:pPr>
    </w:p>
    <w:p>
      <w:pPr>
        <w:ind w:left="700" w:hanging="236"/>
        <w:spacing w:after="0"/>
        <w:tabs>
          <w:tab w:leader="none" w:pos="700"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The Borrower shall repay each Swing Line Loan on the earlier to occur of (i) the date seven days after such Loan is made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Maturity Date for the Revolving Credit Facility.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274" w:right="339" w:bottom="1440" w:gutter="0" w:footer="0" w:header="0"/>
        </w:sectPr>
      </w:pPr>
    </w:p>
    <w:bookmarkStart w:id="241" w:name="page242"/>
    <w:bookmarkEnd w:id="24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left="-100" w:right="40" w:firstLine="464"/>
        <w:spacing w:after="0" w:line="297" w:lineRule="auto"/>
        <w:tabs>
          <w:tab w:leader="none" w:pos="6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and (iii) each Swing Line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Revolving Credit Facility.</w:t>
      </w:r>
    </w:p>
    <w:p>
      <w:pPr>
        <w:spacing w:after="0" w:line="158" w:lineRule="exact"/>
        <w:rPr>
          <w:rFonts w:ascii="Arial" w:cs="Arial" w:eastAsia="Arial" w:hAnsi="Arial"/>
          <w:sz w:val="16"/>
          <w:szCs w:val="16"/>
          <w:color w:val="auto"/>
        </w:rPr>
      </w:pPr>
    </w:p>
    <w:p>
      <w:pPr>
        <w:ind w:left="-100" w:firstLine="464"/>
        <w:spacing w:after="0" w:line="264" w:lineRule="auto"/>
        <w:tabs>
          <w:tab w:leader="none" w:pos="61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360" w:right="320" w:firstLine="443"/>
        <w:spacing w:after="0" w:line="342" w:lineRule="auto"/>
        <w:tabs>
          <w:tab w:leader="none" w:pos="1063" w:val="left"/>
        </w:tabs>
        <w:numPr>
          <w:ilvl w:val="1"/>
          <w:numId w:val="285"/>
        </w:numPr>
        <w:rPr>
          <w:rFonts w:ascii="Arial" w:cs="Arial" w:eastAsia="Arial" w:hAnsi="Arial"/>
          <w:sz w:val="16"/>
          <w:szCs w:val="16"/>
          <w:color w:val="auto"/>
        </w:rPr>
      </w:pPr>
      <w:r>
        <w:rPr>
          <w:rFonts w:ascii="Arial" w:cs="Arial" w:eastAsia="Arial" w:hAnsi="Arial"/>
          <w:sz w:val="16"/>
          <w:szCs w:val="16"/>
          <w:color w:val="auto"/>
        </w:rPr>
        <w:t xml:space="preserve">While any Event of Default exists and is continuing under </w:t>
      </w:r>
      <w:r>
        <w:rPr>
          <w:rFonts w:ascii="Arial" w:cs="Arial" w:eastAsia="Arial" w:hAnsi="Arial"/>
          <w:sz w:val="16"/>
          <w:szCs w:val="16"/>
          <w:u w:val="single" w:color="auto"/>
          <w:color w:val="auto"/>
        </w:rPr>
        <w:t>Section 8.01(j)</w:t>
      </w:r>
      <w:r>
        <w:rPr>
          <w:rFonts w:ascii="Arial" w:cs="Arial" w:eastAsia="Arial" w:hAnsi="Arial"/>
          <w:sz w:val="16"/>
          <w:szCs w:val="16"/>
          <w:color w:val="auto"/>
        </w:rPr>
        <w:t>, the Borrower shall pay interest on all outstanding Obligations hereunder at a fluctuating interest rate per annum at all times equal to the Default Rate to the fullest extent permitted by applicable Laws.</w:t>
      </w:r>
    </w:p>
    <w:p>
      <w:pPr>
        <w:spacing w:after="0" w:line="15" w:lineRule="exact"/>
        <w:rPr>
          <w:rFonts w:ascii="Arial" w:cs="Arial" w:eastAsia="Arial" w:hAnsi="Arial"/>
          <w:sz w:val="16"/>
          <w:szCs w:val="16"/>
          <w:color w:val="auto"/>
        </w:rPr>
      </w:pPr>
    </w:p>
    <w:p>
      <w:pPr>
        <w:ind w:left="1120" w:hanging="317"/>
        <w:spacing w:after="0"/>
        <w:tabs>
          <w:tab w:leader="none" w:pos="112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 xml:space="preserve">Upon the request of the Required Lenders, while any Event of Default exists (other than to the extent set forth in </w:t>
      </w:r>
      <w:r>
        <w:rPr>
          <w:rFonts w:ascii="Arial" w:cs="Arial" w:eastAsia="Arial" w:hAnsi="Arial"/>
          <w:sz w:val="16"/>
          <w:szCs w:val="16"/>
          <w:u w:val="single" w:color="auto"/>
          <w:color w:val="auto"/>
        </w:rPr>
        <w:t>Sections 2.08(b)(i)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p>
    <w:p>
      <w:pPr>
        <w:spacing w:after="0" w:line="46" w:lineRule="exact"/>
        <w:rPr>
          <w:rFonts w:ascii="Arial" w:cs="Arial" w:eastAsia="Arial" w:hAnsi="Arial"/>
          <w:sz w:val="16"/>
          <w:szCs w:val="16"/>
          <w:color w:val="auto"/>
        </w:rPr>
      </w:pPr>
    </w:p>
    <w:p>
      <w:pPr>
        <w:ind w:left="360" w:right="80" w:firstLine="4"/>
        <w:spacing w:after="0" w:line="261" w:lineRule="auto"/>
        <w:tabs>
          <w:tab w:leader="none" w:pos="625" w:val="left"/>
        </w:tabs>
        <w:numPr>
          <w:ilvl w:val="0"/>
          <w:numId w:val="286"/>
        </w:numPr>
        <w:rPr>
          <w:rFonts w:ascii="Arial" w:cs="Arial" w:eastAsia="Arial" w:hAnsi="Arial"/>
          <w:sz w:val="18"/>
          <w:szCs w:val="18"/>
          <w:u w:val="single" w:color="auto"/>
          <w:color w:val="auto"/>
        </w:rPr>
      </w:pPr>
      <w:r>
        <w:rPr>
          <w:rFonts w:ascii="Arial" w:cs="Arial" w:eastAsia="Arial" w:hAnsi="Arial"/>
          <w:sz w:val="18"/>
          <w:szCs w:val="18"/>
          <w:color w:val="auto"/>
        </w:rPr>
        <w:t>above), the Borrower shall pay interest on the principal amount of all outstanding Obligations hereunder at a fluctuating interest rate per annum at all times equal to the Default Rate to the fullest extent permitted by applicable Laws.</w:t>
      </w:r>
    </w:p>
    <w:p>
      <w:pPr>
        <w:spacing w:after="0" w:line="75" w:lineRule="exact"/>
        <w:rPr>
          <w:rFonts w:ascii="Arial" w:cs="Arial" w:eastAsia="Arial" w:hAnsi="Arial"/>
          <w:sz w:val="18"/>
          <w:szCs w:val="18"/>
          <w:u w:val="single" w:color="auto"/>
          <w:color w:val="auto"/>
        </w:rPr>
      </w:pPr>
    </w:p>
    <w:p>
      <w:pPr>
        <w:ind w:left="360" w:right="60" w:firstLine="443"/>
        <w:spacing w:after="0" w:line="264" w:lineRule="auto"/>
        <w:tabs>
          <w:tab w:leader="none" w:pos="1103"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While a Financial Covenant Event of Default exists, the Borrower shall pay interest on the principal amount of all outstanding Total Revolving Credit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060" w:hanging="257"/>
        <w:spacing w:after="0"/>
        <w:tabs>
          <w:tab w:leader="none" w:pos="106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ind w:left="-100" w:right="480" w:firstLine="464"/>
        <w:spacing w:after="0" w:line="264" w:lineRule="auto"/>
        <w:tabs>
          <w:tab w:leader="none" w:pos="6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40" w:top="274" w:right="339" w:bottom="1440" w:gutter="0" w:footer="0" w:header="0"/>
        </w:sectPr>
      </w:pPr>
    </w:p>
    <w:bookmarkStart w:id="242" w:name="page243"/>
    <w:bookmarkEnd w:id="2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Sections 2.03(h) and (i)</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0" w:lineRule="auto"/>
        <w:tabs>
          <w:tab w:leader="none" w:pos="701"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shall pay to the Administrative Agent for the account of each Revolving Credit Lender in accordance with its Applicable Revolving Credit Percentage,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equal to the Applicable Fee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Revolving Credit Facility exceeds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(i) the Outstanding Amount of Revolving Credit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Amount of L/C Obligations,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relevant Availability Period,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first Business Day after the end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77" w:lineRule="exact"/>
        <w:rPr>
          <w:rFonts w:ascii="Arial" w:cs="Arial" w:eastAsia="Arial" w:hAnsi="Arial"/>
          <w:sz w:val="17"/>
          <w:szCs w:val="17"/>
          <w:color w:val="auto"/>
        </w:rPr>
      </w:pPr>
    </w:p>
    <w:p>
      <w:pPr>
        <w:ind w:left="720" w:hanging="256"/>
        <w:spacing w:after="0"/>
        <w:tabs>
          <w:tab w:leader="none" w:pos="72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443"/>
        <w:spacing w:after="0" w:line="308" w:lineRule="auto"/>
        <w:tabs>
          <w:tab w:leader="none" w:pos="1113"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Borrower shall pay to the Arrangers and the Administrative Agent for their own respective accounts fees in the amounts and at the times specified in the Fee Letter. Such fees shall be fully earned when paid and shall not be refundable for any reason whatsoever.</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63"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25" w:lineRule="exact"/>
        <w:rPr>
          <w:sz w:val="20"/>
          <w:szCs w:val="20"/>
          <w:color w:val="auto"/>
        </w:rPr>
      </w:pPr>
    </w:p>
    <w:p>
      <w:pPr>
        <w:ind w:right="100" w:firstLine="464"/>
        <w:spacing w:after="0" w:line="291" w:lineRule="auto"/>
        <w:tabs>
          <w:tab w:leader="none" w:pos="70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w:t>
      </w:r>
    </w:p>
    <w:p>
      <w:pPr>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91" w:lineRule="exact"/>
        <w:rPr>
          <w:rFonts w:ascii="Arial" w:cs="Arial" w:eastAsia="Arial" w:hAnsi="Arial"/>
          <w:sz w:val="16"/>
          <w:szCs w:val="16"/>
          <w:color w:val="auto"/>
        </w:rPr>
      </w:pPr>
    </w:p>
    <w:p>
      <w:pPr>
        <w:ind w:right="40" w:firstLine="464"/>
        <w:spacing w:after="0" w:line="270" w:lineRule="auto"/>
        <w:tabs>
          <w:tab w:leader="none" w:pos="71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7"/>
          <w:szCs w:val="17"/>
          <w:u w:val="single" w:color="auto"/>
          <w:color w:val="auto"/>
        </w:rPr>
        <w:t>Section 2.03(c)(iii)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2.03(i)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or under Article VIII. The Borrower’s obligations under this paragraph shall survive the termination of the Aggregate Commitments and the repayment of all other Obligations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243" w:name="page244"/>
    <w:bookmarkEnd w:id="24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2.11 </w:t>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25" w:lineRule="exact"/>
        <w:rPr>
          <w:sz w:val="20"/>
          <w:szCs w:val="20"/>
          <w:color w:val="auto"/>
        </w:rPr>
      </w:pPr>
    </w:p>
    <w:p>
      <w:pPr>
        <w:ind w:left="-40" w:firstLine="464"/>
        <w:spacing w:after="0" w:line="270" w:lineRule="auto"/>
        <w:tabs>
          <w:tab w:leader="none" w:pos="66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1" w:lineRule="exact"/>
        <w:rPr>
          <w:rFonts w:ascii="Arial" w:cs="Arial" w:eastAsia="Arial" w:hAnsi="Arial"/>
          <w:sz w:val="17"/>
          <w:szCs w:val="17"/>
          <w:color w:val="auto"/>
        </w:rPr>
      </w:pPr>
    </w:p>
    <w:p>
      <w:pPr>
        <w:ind w:left="-40" w:right="20" w:firstLine="464"/>
        <w:spacing w:after="0" w:line="279" w:lineRule="auto"/>
        <w:tabs>
          <w:tab w:leader="none" w:pos="67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w:t>
      </w:r>
      <w:r>
        <w:rPr>
          <w:rFonts w:ascii="Arial" w:cs="Arial" w:eastAsia="Arial" w:hAnsi="Arial"/>
          <w:sz w:val="17"/>
          <w:szCs w:val="17"/>
          <w:u w:val="single" w:color="auto"/>
          <w:color w:val="auto"/>
        </w:rPr>
        <w:t>Section 2.11(a)</w:t>
      </w:r>
      <w:r>
        <w:rPr>
          <w:rFonts w:ascii="Arial" w:cs="Arial" w:eastAsia="Arial" w:hAnsi="Arial"/>
          <w:sz w:val="17"/>
          <w:szCs w:val="17"/>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25" w:lineRule="exact"/>
        <w:rPr>
          <w:sz w:val="20"/>
          <w:szCs w:val="20"/>
          <w:color w:val="auto"/>
        </w:rPr>
      </w:pPr>
    </w:p>
    <w:p>
      <w:pPr>
        <w:ind w:left="-40" w:right="580" w:firstLine="464"/>
        <w:spacing w:after="0" w:line="277" w:lineRule="auto"/>
        <w:tabs>
          <w:tab w:leader="none" w:pos="661"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80" w:top="274" w:right="259" w:bottom="1440" w:gutter="0" w:footer="0" w:header="0"/>
        </w:sectPr>
      </w:pPr>
    </w:p>
    <w:bookmarkStart w:id="244" w:name="page245"/>
    <w:bookmarkEnd w:id="24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7" w:lineRule="exact"/>
        <w:rPr>
          <w:sz w:val="20"/>
          <w:szCs w:val="20"/>
          <w:color w:val="auto"/>
        </w:rPr>
      </w:pPr>
    </w:p>
    <w:p>
      <w:pPr>
        <w:ind w:firstLine="464"/>
        <w:spacing w:after="0" w:line="268" w:lineRule="auto"/>
        <w:tabs>
          <w:tab w:leader="none" w:pos="711"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72" w:lineRule="exact"/>
        <w:rPr>
          <w:rFonts w:ascii="Arial" w:cs="Arial" w:eastAsia="Arial" w:hAnsi="Arial"/>
          <w:sz w:val="17"/>
          <w:szCs w:val="17"/>
          <w:color w:val="auto"/>
        </w:rPr>
      </w:pPr>
    </w:p>
    <w:p>
      <w:pPr>
        <w:ind w:left="460" w:firstLine="443"/>
        <w:spacing w:after="0" w:line="257" w:lineRule="auto"/>
        <w:tabs>
          <w:tab w:leader="none" w:pos="1163"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245" w:name="page246"/>
    <w:bookmarkEnd w:id="245"/>
    <w:p>
      <w:pPr>
        <w:ind w:lef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170" w:lineRule="exact"/>
        <w:rPr>
          <w:sz w:val="20"/>
          <w:szCs w:val="20"/>
          <w:color w:val="auto"/>
        </w:rPr>
      </w:pPr>
    </w:p>
    <w:p>
      <w:pPr>
        <w:ind w:right="40" w:firstLine="464"/>
        <w:spacing w:after="0" w:line="279" w:lineRule="auto"/>
        <w:tabs>
          <w:tab w:leader="none" w:pos="701"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20" w:firstLine="464"/>
        <w:spacing w:after="0" w:line="257" w:lineRule="auto"/>
        <w:tabs>
          <w:tab w:leader="none" w:pos="711"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Term Loans and Revolving Credit Loans, to fund participations in Letters of Credit and Swing Line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300" w:firstLine="464"/>
        <w:spacing w:after="0" w:line="308" w:lineRule="auto"/>
        <w:tabs>
          <w:tab w:leader="none" w:pos="701"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ind w:right="40" w:firstLine="464"/>
        <w:spacing w:after="0" w:line="257" w:lineRule="auto"/>
        <w:tabs>
          <w:tab w:leader="none" w:pos="681"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w:t>
      </w:r>
    </w:p>
    <w:p>
      <w:pPr>
        <w:spacing w:after="0" w:line="46" w:lineRule="exact"/>
        <w:rPr>
          <w:sz w:val="20"/>
          <w:szCs w:val="20"/>
          <w:color w:val="auto"/>
        </w:rPr>
      </w:pPr>
    </w:p>
    <w:p>
      <w:pPr>
        <w:ind w:right="60" w:firstLine="8"/>
        <w:spacing w:after="0" w:line="255" w:lineRule="auto"/>
        <w:tabs>
          <w:tab w:leader="none" w:pos="24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246" w:name="page247"/>
    <w:bookmarkEnd w:id="246"/>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w:t>
      </w:r>
    </w:p>
    <w:p>
      <w:pPr>
        <w:spacing w:after="0" w:line="5" w:lineRule="exact"/>
        <w:rPr>
          <w:sz w:val="20"/>
          <w:szCs w:val="20"/>
          <w:color w:val="auto"/>
        </w:rPr>
      </w:pPr>
    </w:p>
    <w:p>
      <w:pPr>
        <w:ind w:right="60" w:firstLine="8"/>
        <w:spacing w:after="0" w:line="254" w:lineRule="auto"/>
        <w:tabs>
          <w:tab w:leader="none" w:pos="24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1" w:lineRule="exact"/>
        <w:rPr>
          <w:rFonts w:ascii="Arial" w:cs="Arial" w:eastAsia="Arial" w:hAnsi="Arial"/>
          <w:sz w:val="18"/>
          <w:szCs w:val="18"/>
          <w:color w:val="auto"/>
        </w:rPr>
      </w:pPr>
    </w:p>
    <w:p>
      <w:pPr>
        <w:ind w:left="460" w:right="560" w:firstLine="443"/>
        <w:spacing w:after="0" w:line="342" w:lineRule="auto"/>
        <w:tabs>
          <w:tab w:leader="none" w:pos="1113" w:val="left"/>
        </w:tabs>
        <w:numPr>
          <w:ilvl w:val="1"/>
          <w:numId w:val="29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60" w:right="20" w:firstLine="443"/>
        <w:spacing w:after="0" w:line="276" w:lineRule="auto"/>
        <w:tabs>
          <w:tab w:leader="none" w:pos="1163" w:val="left"/>
        </w:tabs>
        <w:numPr>
          <w:ilvl w:val="1"/>
          <w:numId w:val="295"/>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2.16</w:t>
      </w:r>
      <w:r>
        <w:rPr>
          <w:rFonts w:ascii="Arial" w:cs="Arial" w:eastAsia="Arial" w:hAnsi="Arial"/>
          <w:sz w:val="17"/>
          <w:szCs w:val="17"/>
          <w:color w:val="auto"/>
        </w:rPr>
        <w:t>, or (z) any payment obtained by a Lender as consideration for the assignment of or sale of a participation in any of its Loans or subparticipations in L/C Obligations or Swing Line Loans to any assignee or participant, other than an assignment to the Borrower or any Affiliate thereof (as to which the provisions of this Section shall apply).</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Increase in Commitments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6" w:lineRule="auto"/>
        <w:tabs>
          <w:tab w:leader="none" w:pos="701"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Request</w:t>
      </w:r>
      <w:r>
        <w:rPr>
          <w:rFonts w:ascii="Arial" w:cs="Arial" w:eastAsia="Arial" w:hAnsi="Arial"/>
          <w:sz w:val="17"/>
          <w:szCs w:val="17"/>
          <w:color w:val="auto"/>
        </w:rPr>
        <w:t>. The Borrower may, from time to time, request by notice to the Administrative Agent (x) one or more increases in the Revolving Credit Facility (each, a “</w:t>
      </w:r>
      <w:r>
        <w:rPr>
          <w:rFonts w:ascii="Arial" w:cs="Arial" w:eastAsia="Arial" w:hAnsi="Arial"/>
          <w:sz w:val="17"/>
          <w:szCs w:val="17"/>
          <w:u w:val="single" w:color="auto"/>
          <w:color w:val="auto"/>
        </w:rPr>
        <w:t>Revolving Credit Increase</w:t>
      </w:r>
      <w:r>
        <w:rPr>
          <w:rFonts w:ascii="Arial" w:cs="Arial" w:eastAsia="Arial" w:hAnsi="Arial"/>
          <w:sz w:val="17"/>
          <w:szCs w:val="17"/>
          <w:color w:val="auto"/>
        </w:rPr>
        <w:t>”) or (y) one or more term loan tranches to be made available to the Borrower (each, an “</w:t>
      </w:r>
      <w:r>
        <w:rPr>
          <w:rFonts w:ascii="Arial" w:cs="Arial" w:eastAsia="Arial" w:hAnsi="Arial"/>
          <w:sz w:val="17"/>
          <w:szCs w:val="17"/>
          <w:u w:val="single" w:color="auto"/>
          <w:color w:val="auto"/>
        </w:rPr>
        <w:t>Incremental Term Loan</w:t>
      </w:r>
      <w:r>
        <w:rPr>
          <w:rFonts w:ascii="Arial" w:cs="Arial" w:eastAsia="Arial" w:hAnsi="Arial"/>
          <w:sz w:val="17"/>
          <w:szCs w:val="17"/>
          <w:color w:val="auto"/>
        </w:rPr>
        <w:t>”; each Incremental Term Loan and each Revolving Credit Increase, collectively, referred to as the “</w:t>
      </w:r>
      <w:r>
        <w:rPr>
          <w:rFonts w:ascii="Arial" w:cs="Arial" w:eastAsia="Arial" w:hAnsi="Arial"/>
          <w:sz w:val="17"/>
          <w:szCs w:val="17"/>
          <w:u w:val="single" w:color="auto"/>
          <w:color w:val="auto"/>
        </w:rPr>
        <w:t>Incremental Increases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rFonts w:ascii="Arial" w:cs="Arial" w:eastAsia="Arial" w:hAnsi="Arial"/>
          <w:sz w:val="17"/>
          <w:szCs w:val="17"/>
          <w:color w:val="auto"/>
        </w:rPr>
      </w:pPr>
    </w:p>
    <w:p>
      <w:pPr>
        <w:ind w:left="460" w:right="440" w:firstLine="443"/>
        <w:spacing w:after="0" w:line="277" w:lineRule="auto"/>
        <w:tabs>
          <w:tab w:leader="none" w:pos="111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principal amount for all such Incremental Increases in the aggregate since the Closing Date (including the then requested Incremental Increase) shall not exceed $100,000,000;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247" w:name="page248"/>
    <w:bookmarkEnd w:id="247"/>
    <w:p>
      <w:pPr>
        <w:ind w:right="380" w:firstLine="443"/>
        <w:spacing w:after="0" w:line="277" w:lineRule="auto"/>
        <w:tabs>
          <w:tab w:leader="none" w:pos="703"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request for an Incremental Increase shall be in a minimum amount of $25,000,000 (or a lesser amount in the event such amount represents all remaining availability under this Section);</w:t>
      </w:r>
    </w:p>
    <w:p>
      <w:pPr>
        <w:spacing w:after="0" w:line="62" w:lineRule="exact"/>
        <w:rPr>
          <w:rFonts w:ascii="Arial" w:cs="Arial" w:eastAsia="Arial" w:hAnsi="Arial"/>
          <w:sz w:val="18"/>
          <w:szCs w:val="18"/>
          <w:color w:val="auto"/>
        </w:rPr>
      </w:pPr>
    </w:p>
    <w:p>
      <w:pPr>
        <w:ind w:right="260" w:firstLine="443"/>
        <w:spacing w:after="0" w:line="264" w:lineRule="auto"/>
        <w:tabs>
          <w:tab w:leader="none" w:pos="75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 Revolving Credit Increase shall (A) increase the Letter of Credit Sublimit without the consent of each L/C Issuer (or, if such increase applies only to certain L/C Issuers pursuant to their agreement, such L/C Issuers) or (B) increase the Swing Line Sublimit without the consent of the Swing Line Lender;</w:t>
      </w:r>
    </w:p>
    <w:p>
      <w:pPr>
        <w:spacing w:after="0" w:line="73" w:lineRule="exact"/>
        <w:rPr>
          <w:rFonts w:ascii="Arial" w:cs="Arial" w:eastAsia="Arial" w:hAnsi="Arial"/>
          <w:sz w:val="18"/>
          <w:szCs w:val="18"/>
          <w:color w:val="auto"/>
        </w:rPr>
      </w:pPr>
    </w:p>
    <w:p>
      <w:pPr>
        <w:ind w:firstLine="443"/>
        <w:spacing w:after="0" w:line="277" w:lineRule="auto"/>
        <w:tabs>
          <w:tab w:leader="none" w:pos="74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 Incremental Term Loan shall mature earlier than the Latest Maturity Date then in effect or have a shorter weighted average life to maturity than the remaining weighted average life to maturity of any then-existing series of Term Loans;</w:t>
      </w:r>
    </w:p>
    <w:p>
      <w:pPr>
        <w:spacing w:after="0" w:line="62" w:lineRule="exact"/>
        <w:rPr>
          <w:rFonts w:ascii="Arial" w:cs="Arial" w:eastAsia="Arial" w:hAnsi="Arial"/>
          <w:sz w:val="18"/>
          <w:szCs w:val="18"/>
          <w:color w:val="auto"/>
        </w:rPr>
      </w:pPr>
    </w:p>
    <w:p>
      <w:pPr>
        <w:ind w:right="60" w:firstLine="443"/>
        <w:spacing w:after="0" w:line="269" w:lineRule="auto"/>
        <w:tabs>
          <w:tab w:leader="none" w:pos="69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each Incremental Term Loan shall (A)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prepayment, voting and/or security with the then-existing Term Loans, including sharing in mandatory prepayments under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with the then-existing Term Loans (unless agreed to be paid on a basis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with the then-existing Term Loans by the Lenders providing such Incremental Term Loans) and (B) shall have an Applicable Rate or pricing grid as determined by the Lenders providing such Incremental Term Loans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Weighted Average Yield applicable to the Incremental Term Loans made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exceeds the Weighted Average Yield for any then-existing Term Loans by more than 50 basis points per annum (such amount in excess of 50 basis points, hereafter referred to as the “</w:t>
      </w:r>
      <w:r>
        <w:rPr>
          <w:rFonts w:ascii="Arial" w:cs="Arial" w:eastAsia="Arial" w:hAnsi="Arial"/>
          <w:sz w:val="17"/>
          <w:szCs w:val="17"/>
          <w:u w:val="single" w:color="auto"/>
          <w:color w:val="auto"/>
        </w:rPr>
        <w:t>Incremental Excess Yield</w:t>
      </w:r>
      <w:r>
        <w:rPr>
          <w:rFonts w:ascii="Arial" w:cs="Arial" w:eastAsia="Arial" w:hAnsi="Arial"/>
          <w:sz w:val="17"/>
          <w:szCs w:val="17"/>
          <w:color w:val="auto"/>
        </w:rPr>
        <w:t xml:space="preserve">”), then the Weighted Average Yield with respect to any applicable then-existing Term Loans shall be increased by the Incremental Excess Yield (it being understood that any increase in the Weighted Average Yield of any then-existing Term Loans, may (A) take the form of upfront fees or original issue discount, with such upfront fees or original issue discount being equated to interest margins in a manner determined by the Administrative Agent and consistent with generally accepted financial practice based on an assumed four-year life to maturity or (B) be accomplished by a combination of an increase in the weighted average interest rates, interest rate floors and/or upfront fees or original issue discount) of such Incremental Term Loans made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right="540" w:firstLine="443"/>
        <w:spacing w:after="0" w:line="277" w:lineRule="auto"/>
        <w:tabs>
          <w:tab w:leader="none" w:pos="74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both before and immediately after giving effect to such Incremental Increase, as of the Increase Effective Date, no Default or Event of Default shall exist and be continuing;</w:t>
      </w:r>
    </w:p>
    <w:p>
      <w:pPr>
        <w:spacing w:after="0" w:line="62" w:lineRule="exact"/>
        <w:rPr>
          <w:rFonts w:ascii="Arial" w:cs="Arial" w:eastAsia="Arial" w:hAnsi="Arial"/>
          <w:sz w:val="18"/>
          <w:szCs w:val="18"/>
          <w:color w:val="auto"/>
        </w:rPr>
      </w:pPr>
    </w:p>
    <w:p>
      <w:pPr>
        <w:ind w:right="220" w:firstLine="443"/>
        <w:spacing w:after="0" w:line="312" w:lineRule="auto"/>
        <w:tabs>
          <w:tab w:leader="none" w:pos="79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immediately after giving effect to such Incremental Increase, as of the Increase Effective Date, the Borrower shall be in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compliance (after giving effect to the incurrence of such Incremental Increase and the use of proceeds thereof, but disregarding any cash constituting proceeds of such Incremental Increase solely for purposes of determining the Consolidated Net Leverage Ratio in connection with this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700" w:top="274" w:right="259" w:bottom="1440" w:gutter="0" w:footer="0" w:header="0"/>
        </w:sectPr>
      </w:pPr>
    </w:p>
    <w:bookmarkStart w:id="248" w:name="page249"/>
    <w:bookmarkEnd w:id="248"/>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(vii) (assuming, in the case of a Revolving Credit Increase, that such new Revolving Credit Commitments are fully drawn)) with (x) in the case of a Revolving Credit Increase, the financial covenant contained in Section 7.14 (regardless of whether or not compliance with such ratio was in fact required as of the end of such fiscal quarter pursuant to Section 7.14) and (y) in the case of any Incremental Term Loan, the Consolidated Net Leverage Ratio shall not exceed the Closing Date Consolidated Net Leverage Ratio;</w:t>
      </w:r>
    </w:p>
    <w:p>
      <w:pPr>
        <w:spacing w:after="0" w:line="79" w:lineRule="exact"/>
        <w:rPr>
          <w:sz w:val="20"/>
          <w:szCs w:val="20"/>
          <w:color w:val="auto"/>
        </w:rPr>
      </w:pPr>
    </w:p>
    <w:p>
      <w:pPr>
        <w:ind w:left="440" w:right="40" w:firstLine="443"/>
        <w:spacing w:after="0" w:line="291" w:lineRule="auto"/>
        <w:tabs>
          <w:tab w:leader="none" w:pos="1283"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Increase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6"/>
          <w:szCs w:val="16"/>
          <w:u w:val="single" w:color="auto"/>
          <w:color w:val="auto"/>
        </w:rPr>
        <w:t>clause (a)(viii)</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59" w:lineRule="exact"/>
        <w:rPr>
          <w:rFonts w:ascii="Arial" w:cs="Arial" w:eastAsia="Arial" w:hAnsi="Arial"/>
          <w:sz w:val="16"/>
          <w:szCs w:val="16"/>
          <w:color w:val="auto"/>
        </w:rPr>
      </w:pPr>
    </w:p>
    <w:p>
      <w:pPr>
        <w:ind w:left="440" w:right="140" w:firstLine="443"/>
        <w:spacing w:after="0" w:line="257" w:lineRule="auto"/>
        <w:tabs>
          <w:tab w:leader="none" w:pos="118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except as provided above, all other terms and conditions applicable to any Incremental Term Loans, to the extent not consistent with the terms and conditions applicable to the Initial Term Loans, shall be reasonably satisfactory to the Administrative Agent, the applicable Lenders providing such Incremental Term Loan and the Borrower (it being understood that if any terms taken as a whole are adverse to the interests of the existing Lenders, as reasonably determined by the Administrative Agent, then that shall constitute a reasonable basis for the Administrative Agent not to be satisfied with such terms); and</w:t>
      </w:r>
    </w:p>
    <w:p>
      <w:pPr>
        <w:spacing w:after="0" w:line="80" w:lineRule="exact"/>
        <w:rPr>
          <w:rFonts w:ascii="Arial" w:cs="Arial" w:eastAsia="Arial" w:hAnsi="Arial"/>
          <w:sz w:val="18"/>
          <w:szCs w:val="18"/>
          <w:color w:val="auto"/>
        </w:rPr>
      </w:pPr>
    </w:p>
    <w:p>
      <w:pPr>
        <w:ind w:left="440" w:firstLine="443"/>
        <w:spacing w:after="0" w:line="277" w:lineRule="auto"/>
        <w:tabs>
          <w:tab w:leader="none" w:pos="113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each Incremental Increase shall constitute Obligations hereunder and shall be guaranteed and secured pursuant to the Guarantee and Collateral Agreement and the other Collateral Documents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other Obligations hereunder.</w:t>
      </w:r>
    </w:p>
    <w:p>
      <w:pPr>
        <w:spacing w:after="0" w:line="170" w:lineRule="exact"/>
        <w:rPr>
          <w:rFonts w:ascii="Arial" w:cs="Arial" w:eastAsia="Arial" w:hAnsi="Arial"/>
          <w:sz w:val="18"/>
          <w:szCs w:val="18"/>
          <w:color w:val="auto"/>
        </w:rPr>
      </w:pPr>
    </w:p>
    <w:p>
      <w:pPr>
        <w:ind w:left="-20" w:right="40" w:firstLine="464"/>
        <w:spacing w:after="0" w:line="290" w:lineRule="auto"/>
        <w:tabs>
          <w:tab w:leader="none" w:pos="691"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Process for Increase</w:t>
      </w:r>
      <w:r>
        <w:rPr>
          <w:rFonts w:ascii="Arial" w:cs="Arial" w:eastAsia="Arial" w:hAnsi="Arial"/>
          <w:sz w:val="16"/>
          <w:szCs w:val="16"/>
          <w:color w:val="auto"/>
        </w:rPr>
        <w:t xml:space="preserve">. Incremental Increases may be (but shall not be required to be) provided by any existing Lender, in each case on terms permitted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otherwise on terms reasonably acceptable to the Borrower and the Administrative Agent, or by any other Person that qualifies as an Eligible Assignee (each such other Person,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pursuant to a joinder agreement in form and substance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Administrative Agent shall have consented (in each case, such consent not to be unreasonably withheld, delayed or conditioned) to each proposed Additional Lender providing such Incremental Increase to the extent the Administrative Agent would be required to consent to an assignment to such Additional Lender pursuant to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(ii) in the case of any Revolving Credit Increase, the L/C Issuer and the Swing Line Lender shall have consented (in each case, such consent not to be unreasonably withheld, delayed or conditioned) to each such Lender or proposed Additional Lender providing such Revolving Credit Increase if such consent by the L/C Issuer or the Swing Line Lender, 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60" w:top="274" w:right="239" w:bottom="1440" w:gutter="0" w:footer="0" w:header="0"/>
        </w:sectPr>
      </w:pPr>
    </w:p>
    <w:bookmarkStart w:id="249" w:name="page250"/>
    <w:bookmarkEnd w:id="24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may be, would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for an assignment of Revolving Credit Loans or Revolving Credit Commitments to such Lender or proposed Additional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shall not be required to offer or accept commitments from existing Lenders for any Incremental Increase. No Lender shall have any obligation to increase its Revolving Credit Commitment, increase its Term Commitment or Term Loans or participate in any Incremental Term Loan, as the case may be, and no consent of any Lender, other than the Lenders agreeing to provide any portion of an Incremental Increase, shall be required to effectuate such Incremental Increase.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Effective Date and Allocations</w:t>
      </w:r>
      <w:r>
        <w:rPr>
          <w:rFonts w:ascii="Arial" w:cs="Arial" w:eastAsia="Arial" w:hAnsi="Arial"/>
          <w:sz w:val="17"/>
          <w:szCs w:val="17"/>
          <w:color w:val="auto"/>
        </w:rPr>
        <w:t>. The Administrative Agent and the Borrower shall determine the effective date of any Incremental Increase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which shall be a date not less than 10 Business Days after the date on which such notice is delivered to the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 shall promptly notify the Borrower and the Lenders of the final allocation of such Incremental Increase and the Increase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720" w:hanging="256"/>
        <w:spacing w:after="0"/>
        <w:tabs>
          <w:tab w:leader="none" w:pos="72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85" w:lineRule="auto"/>
        <w:tabs>
          <w:tab w:leader="none" w:pos="1113"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As a condition precedent to each Incremental Increase, the Borrower shall deliver to the Administrative Agent a certificate of the Borrower and, if reasonably determined by the Administrative Agent to be necessary or desirable under applicable Laws with respect to the Guarantee and Collateral Agreement of a Guarantor, of each such Guarantor, dated as of the Increase Effective Date, signed by a Responsible Officer of the Borrower or Guarantor and (A) certifying and attaching the resolutions adopted by the Borrower or Guarantor approving or consenting to such Incremental Increase (which, with respect to any such Loan Party, may, if applicable, be the resolutions entered into by such Loan Party in connection with the incurrence of the Obligations on the Closing Date) and (B) certifying that (1) both before and immediately after giving effect to such Incremental Increase, as of the Increase Effective Date no Default or Event of Default shall exist and be continuing, (2) immediately after giving effect to such Incremental Increase, as of the Increase Effective Date, the Borrower shall be in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compliance (after giving effect to the incurrence of such Incremental Increase and the use of proceeds thereof, but disregarding any cash constituting proceeds of such Incremental Increase solely for purposes of determining the Consolidated Net Leverage Ratio in connection with clause (a)(vii) above (assuming, in the case of a Revolving Credit Increase, that such new Revolving Credit Commitments are fully drawn)) with (x) in the case of a Revolving Credit Increase, the financial covenant contained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(regardless of whether or not compliance with such ratio was in fact required as of the end of such fiscal quarter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and (y) in the case of any Incremental Term Loan, the Consolidated Net Leverage Ratio shall not exceed the Closing Date Consolidated Net Leverage Ratio and (3) 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which are contained in any document furnished at any time under or in connection herewith or therewith, are true and correct in all material respects (or, with respect to representations and warranties modified by a materiality or Material Adverse Effect standard, in all respects) on and as of the Increase Effective Date, except to the extent that such representations and warranties specifically refer to an earlier date, in which case they are true and correct in all material respects (or, with respect to representations and</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250" w:name="page251"/>
    <w:bookmarkEnd w:id="250"/>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warranties modified by a materiality or Material Adverse Effect standard, in all respects) as of such earlier date, and except that for purposes of this </w:t>
      </w:r>
      <w:r>
        <w:rPr>
          <w:rFonts w:ascii="Arial" w:cs="Arial" w:eastAsia="Arial" w:hAnsi="Arial"/>
          <w:sz w:val="17"/>
          <w:szCs w:val="17"/>
          <w:u w:val="single" w:color="auto"/>
          <w:color w:val="auto"/>
        </w:rPr>
        <w:t>clause (i)(B)(3)</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respectively. In addition, as a condition precedent to each Incremental Increase, the Borrower shall deliver or cause to be delivered such other officer’s certificates, Organization Documents and legal opinions of the type delivered on the Closing Date as are reasonably requested by, and in form and substance reasonably satisfactory to, the Administrative Agent.</w:t>
      </w:r>
    </w:p>
    <w:p>
      <w:pPr>
        <w:spacing w:after="0" w:line="64" w:lineRule="exact"/>
        <w:rPr>
          <w:sz w:val="20"/>
          <w:szCs w:val="20"/>
          <w:color w:val="auto"/>
        </w:rPr>
      </w:pPr>
    </w:p>
    <w:p>
      <w:pPr>
        <w:ind w:right="40" w:firstLine="443"/>
        <w:spacing w:after="0" w:line="286" w:lineRule="auto"/>
        <w:tabs>
          <w:tab w:leader="none" w:pos="70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Revolving Credit Increase shall have the same terms as the outstanding Revolving Credit Loans and be part of the existing Revolving Credit Facility hereunder. Upon each Revolving Credit Increase (x) each Revolving Credit Lender having a Revolving Credit Commitment immediately prior to such increase will automatically and without further act be deemed to have assigned to each Revolving Credit Lender providing a portion of the Revolving Credit Increase (each, a “</w:t>
      </w:r>
      <w:r>
        <w:rPr>
          <w:rFonts w:ascii="Arial" w:cs="Arial" w:eastAsia="Arial" w:hAnsi="Arial"/>
          <w:sz w:val="16"/>
          <w:szCs w:val="16"/>
          <w:u w:val="single" w:color="auto"/>
          <w:color w:val="auto"/>
        </w:rPr>
        <w:t>Revolving Credit Increase Lender</w:t>
      </w:r>
      <w:r>
        <w:rPr>
          <w:rFonts w:ascii="Arial" w:cs="Arial" w:eastAsia="Arial" w:hAnsi="Arial"/>
          <w:sz w:val="16"/>
          <w:szCs w:val="16"/>
          <w:color w:val="auto"/>
        </w:rPr>
        <w:t xml:space="preserve">”) in respect of such increase, and each such Revolving Credit Increase Lender will automatically and without further act be deemed to have assumed, a portion of such Revolving Credit Lender’s participations hereunder in outstanding Letters of Credit and Swing Line Loans such that, after giving effect to each such deemed assignment and assumption of participations, the percentage of the aggregate outstanding (1) participations hereunder in Letters of Credit and (2) participations hereunder in Swing Line Loans, will, in each case, equal each Revolving Credit Lender’s Applicable Revolving Credit Percentages (after giving effect to such increase in the Revolving Credit Facility) and (y) if, on the date of such increase there are any Revolving Credit Loans outstanding, the Revolving Credit Lenders shall make such payments among themselves as the Administrative Agent may reasonably request to the extent necessary to keep the outstanding Revolving Credit Loans ratable with any revised Applicable Revolving Credit Percentages arising from such Revolving Credit Increase, and the Borrower shall pay to the applicable Lenders any amounts required to be paid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in connection with such payments among the Revolving Credit Lenders as if such payments were effected by prepayments of Revolving Credit Loans.</w:t>
      </w:r>
    </w:p>
    <w:p>
      <w:pPr>
        <w:spacing w:after="0" w:line="66" w:lineRule="exact"/>
        <w:rPr>
          <w:rFonts w:ascii="Arial" w:cs="Arial" w:eastAsia="Arial" w:hAnsi="Arial"/>
          <w:sz w:val="16"/>
          <w:szCs w:val="16"/>
          <w:color w:val="auto"/>
        </w:rPr>
      </w:pPr>
    </w:p>
    <w:p>
      <w:pPr>
        <w:ind w:firstLine="443"/>
        <w:spacing w:after="0" w:line="289" w:lineRule="auto"/>
        <w:tabs>
          <w:tab w:leader="none" w:pos="75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To the extent that any Incremental Increase shall take the form of an Incremental Term Loan, this Agreement may be amended to the extent necessary (without the need to obtain the consent of any Lender or any L/C Issuer other than the Lenders providing such Incremental Term Loans), in form and substance reasonably satisfactory to the Administrative Agent and the Borrower, to include such terms as are customary for a term loan commitment, including mandatory prepayments, assignments and voting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terms taken as a whole are adverse to the material interests of the existing Lenders, as reasonably determined by the Administrative Agent, then that shall constitute a reasonable basis for the Administrative Agent not to be satisfied with such terms or amendment and (ii) no such terms or amendment shall contravene any of the terms of the then existing Loan Documents. On any Increase Effective Date on which any Incremental Increase in the form of an Incremental Term Loan is effective, subject to the satisfaction of the terms and conditions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each Lender of such Incremental Term Loan shall make an amount equal to its commitment to such Incremental Term Loan available to the Borrower, in a manner consistent with Borrowings hereunder.</w:t>
      </w:r>
    </w:p>
    <w:p>
      <w:pPr>
        <w:spacing w:after="0" w:line="58" w:lineRule="exact"/>
        <w:rPr>
          <w:rFonts w:ascii="Arial" w:cs="Arial" w:eastAsia="Arial" w:hAnsi="Arial"/>
          <w:sz w:val="16"/>
          <w:szCs w:val="16"/>
          <w:color w:val="auto"/>
        </w:rPr>
      </w:pPr>
    </w:p>
    <w:p>
      <w:pPr>
        <w:ind w:right="360" w:firstLine="443"/>
        <w:spacing w:after="0" w:line="277" w:lineRule="auto"/>
        <w:tabs>
          <w:tab w:leader="none" w:pos="74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As a condition precedent to each Incremental Increase, all fees and expenses relating to each Incremental Increase, to the extent due and payable, shall have been paid in full.</w:t>
      </w:r>
    </w:p>
    <w:p>
      <w:pPr>
        <w:spacing w:after="0" w:line="170" w:lineRule="exact"/>
        <w:rPr>
          <w:sz w:val="20"/>
          <w:szCs w:val="20"/>
          <w:color w:val="auto"/>
        </w:rPr>
      </w:pPr>
    </w:p>
    <w:p>
      <w:pPr>
        <w:ind w:left="5100" w:right="2880" w:hanging="5096"/>
        <w:spacing w:after="0" w:line="449" w:lineRule="auto"/>
        <w:tabs>
          <w:tab w:leader="none" w:pos="245"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 -74-</w:t>
      </w:r>
    </w:p>
    <w:p>
      <w:pPr>
        <w:sectPr>
          <w:pgSz w:w="11900" w:h="16838" w:orient="portrait"/>
          <w:cols w:equalWidth="0" w:num="1">
            <w:col w:w="10900"/>
          </w:cols>
          <w:pgMar w:left="700" w:top="274" w:right="299" w:bottom="1440" w:gutter="0" w:footer="0" w:header="0"/>
        </w:sectPr>
      </w:pPr>
    </w:p>
    <w:bookmarkStart w:id="251" w:name="page252"/>
    <w:bookmarkEnd w:id="25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left="-40" w:right="220" w:firstLine="464"/>
        <w:spacing w:after="0" w:line="277" w:lineRule="auto"/>
        <w:tabs>
          <w:tab w:leader="none" w:pos="661"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62" w:lineRule="exact"/>
        <w:rPr>
          <w:rFonts w:ascii="Arial" w:cs="Arial" w:eastAsia="Arial" w:hAnsi="Arial"/>
          <w:sz w:val="18"/>
          <w:szCs w:val="18"/>
          <w:color w:val="auto"/>
        </w:rPr>
      </w:pPr>
    </w:p>
    <w:p>
      <w:pPr>
        <w:ind w:left="420" w:right="240" w:firstLine="443"/>
        <w:spacing w:after="0" w:line="277"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w:t>
      </w:r>
    </w:p>
    <w:p>
      <w:pPr>
        <w:spacing w:after="0" w:line="62" w:lineRule="exact"/>
        <w:rPr>
          <w:rFonts w:ascii="Arial" w:cs="Arial" w:eastAsia="Arial" w:hAnsi="Arial"/>
          <w:sz w:val="18"/>
          <w:szCs w:val="18"/>
          <w:color w:val="auto"/>
        </w:rPr>
      </w:pPr>
    </w:p>
    <w:p>
      <w:pPr>
        <w:ind w:left="420" w:firstLine="443"/>
        <w:spacing w:after="0" w:line="285" w:lineRule="auto"/>
        <w:tabs>
          <w:tab w:leader="none" w:pos="1123"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of any amounts owing by such Defaulting Lender to the L/C Issuers or Swing Line Lender hereunder;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 Collateralize each 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Issuer’s Fronting Exposure with respect to such Defaulting Lender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80" w:top="274" w:right="259" w:bottom="1440" w:gutter="0" w:footer="0" w:header="0"/>
        </w:sectPr>
      </w:pPr>
    </w:p>
    <w:bookmarkStart w:id="252" w:name="page253"/>
    <w:bookmarkEnd w:id="25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Borrowings in respect of which such Defaulting Lender has not fully funded its appropriate share, such payment shall be applied solely to pay the Loans of, and L/C Obligations owed to,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or L/C Obligations owed to, such Defaulting Lender until such time as all Loans and funded and unfunded participations in L/C Obligations and Swing Line Loans are held by the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Commitments hereunder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59" w:lineRule="exact"/>
        <w:rPr>
          <w:sz w:val="20"/>
          <w:szCs w:val="20"/>
          <w:color w:val="auto"/>
        </w:rPr>
      </w:pPr>
    </w:p>
    <w:p>
      <w:pPr>
        <w:ind w:left="760" w:hanging="317"/>
        <w:spacing w:after="0"/>
        <w:tabs>
          <w:tab w:leader="none" w:pos="76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80" w:firstLine="421"/>
        <w:spacing w:after="0" w:line="264" w:lineRule="auto"/>
        <w:tabs>
          <w:tab w:leader="none" w:pos="117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ind w:left="460" w:right="560" w:firstLine="421"/>
        <w:spacing w:after="0" w:line="264" w:lineRule="auto"/>
        <w:tabs>
          <w:tab w:leader="none" w:pos="116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firstLine="421"/>
        <w:spacing w:after="0" w:line="273" w:lineRule="auto"/>
        <w:tabs>
          <w:tab w:leader="none" w:pos="1165"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With respect to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or any Letter of Credit Fee not required to be paid to any Defaulting Lender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70" w:lineRule="exact"/>
        <w:rPr>
          <w:rFonts w:ascii="Arial" w:cs="Arial" w:eastAsia="Arial" w:hAnsi="Arial"/>
          <w:sz w:val="17"/>
          <w:szCs w:val="17"/>
          <w:color w:val="auto"/>
        </w:rPr>
      </w:pPr>
    </w:p>
    <w:p>
      <w:pPr>
        <w:ind w:right="80" w:firstLine="443"/>
        <w:spacing w:after="0" w:line="273" w:lineRule="auto"/>
        <w:tabs>
          <w:tab w:leader="none" w:pos="743"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700" w:top="274" w:right="239" w:bottom="1440" w:gutter="0" w:footer="0" w:header="0"/>
        </w:sectPr>
      </w:pPr>
    </w:p>
    <w:bookmarkStart w:id="253" w:name="page254"/>
    <w:bookmarkEnd w:id="253"/>
    <w:p>
      <w:pPr>
        <w:jc w:val="both"/>
        <w:ind w:left="46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3" w:lineRule="exact"/>
        <w:rPr>
          <w:sz w:val="20"/>
          <w:szCs w:val="20"/>
          <w:color w:val="auto"/>
        </w:rPr>
      </w:pPr>
    </w:p>
    <w:p>
      <w:pPr>
        <w:ind w:left="460" w:right="160" w:firstLine="443"/>
        <w:spacing w:after="0" w:line="259" w:lineRule="auto"/>
        <w:tabs>
          <w:tab w:leader="none" w:pos="1153"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Laws,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64"/>
        <w:spacing w:after="0" w:line="289" w:lineRule="auto"/>
        <w:tabs>
          <w:tab w:leader="none" w:pos="711"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the Lenders in accordance with their Applicable Percentages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85" w:lineRule="auto"/>
        <w:tabs>
          <w:tab w:leader="none" w:pos="701"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or (iv) there shall exist a Defaulting Lender, the Borrower shall immediately (in the case of clause (iii) above) or within one Business Day (in all other cases), following any request by the Administrative Agent or an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08"/>
        </w:numPr>
        <w:rPr>
          <w:rFonts w:ascii="Arial" w:cs="Arial" w:eastAsia="Arial" w:hAnsi="Arial"/>
          <w:sz w:val="17"/>
          <w:szCs w:val="17"/>
          <w:u w:val="single" w:color="auto"/>
          <w:color w:val="auto"/>
        </w:rPr>
      </w:pPr>
      <w:r>
        <w:rPr>
          <w:rFonts w:ascii="Arial" w:cs="Arial" w:eastAsia="Arial" w:hAnsi="Arial"/>
          <w:sz w:val="17"/>
          <w:szCs w:val="17"/>
          <w:color w:val="auto"/>
        </w:rPr>
        <w:t xml:space="preserve">above, after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and any Cash Collateral provided by the Defaulting Lender). If at any time the Administrative Agent</w:t>
      </w:r>
    </w:p>
    <w:p>
      <w:pPr>
        <w:spacing w:after="0" w:line="20" w:lineRule="exact"/>
        <w:rPr>
          <w:rFonts w:ascii="Arial" w:cs="Arial" w:eastAsia="Arial" w:hAnsi="Arial"/>
          <w:sz w:val="17"/>
          <w:szCs w:val="17"/>
          <w:u w:val="single" w:color="auto"/>
          <w:color w:val="auto"/>
        </w:rPr>
      </w:pPr>
    </w:p>
    <w:p>
      <w:pPr>
        <w:ind w:right="20"/>
        <w:spacing w:after="0" w:line="253" w:lineRule="auto"/>
        <w:rPr>
          <w:rFonts w:ascii="Arial" w:cs="Arial" w:eastAsia="Arial" w:hAnsi="Arial"/>
          <w:sz w:val="17"/>
          <w:szCs w:val="17"/>
          <w:u w:val="single" w:color="auto"/>
          <w:color w:val="auto"/>
        </w:rPr>
      </w:pPr>
      <w:r>
        <w:rPr>
          <w:rFonts w:ascii="Arial" w:cs="Arial" w:eastAsia="Arial" w:hAnsi="Arial"/>
          <w:sz w:val="18"/>
          <w:szCs w:val="18"/>
          <w:color w:val="auto"/>
        </w:rPr>
        <w:t>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254" w:name="page255"/>
    <w:bookmarkEnd w:id="25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drawing of any Letter of Credit for which funds are on deposit as Cash Collateral, such funds shall be applied, to the extent permitted under applicable Laws, to reimburse the applicable L/C Issuer.</w:t>
      </w:r>
    </w:p>
    <w:p>
      <w:pPr>
        <w:spacing w:after="0" w:line="170" w:lineRule="exact"/>
        <w:rPr>
          <w:sz w:val="20"/>
          <w:szCs w:val="20"/>
          <w:color w:val="auto"/>
        </w:rPr>
      </w:pPr>
    </w:p>
    <w:p>
      <w:pPr>
        <w:ind w:firstLine="464"/>
        <w:spacing w:after="0" w:line="270" w:lineRule="auto"/>
        <w:tabs>
          <w:tab w:leader="none" w:pos="711"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2.16(c)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KeyBank. The Borrower shall pay on demand therefor from time to time all customary account opening, activity and other administrative fees and charges in connection with the maintenance and disbursement of Cash Collateral.</w:t>
      </w:r>
    </w:p>
    <w:p>
      <w:pPr>
        <w:spacing w:after="0" w:line="177" w:lineRule="exact"/>
        <w:rPr>
          <w:rFonts w:ascii="Arial" w:cs="Arial" w:eastAsia="Arial" w:hAnsi="Arial"/>
          <w:sz w:val="17"/>
          <w:szCs w:val="17"/>
          <w:color w:val="auto"/>
        </w:rPr>
      </w:pPr>
    </w:p>
    <w:p>
      <w:pPr>
        <w:ind w:right="300" w:firstLine="464"/>
        <w:spacing w:after="0" w:line="257" w:lineRule="auto"/>
        <w:tabs>
          <w:tab w:leader="none" w:pos="701"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Sections </w:t>
      </w:r>
      <w:r>
        <w:rPr>
          <w:rFonts w:ascii="Arial" w:cs="Arial" w:eastAsia="Arial" w:hAnsi="Arial"/>
          <w:sz w:val="18"/>
          <w:szCs w:val="18"/>
          <w:u w:val="single" w:color="auto"/>
          <w:color w:val="auto"/>
        </w:rPr>
        <w:t>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8" w:lineRule="exact"/>
        <w:rPr>
          <w:rFonts w:ascii="Arial" w:cs="Arial" w:eastAsia="Arial" w:hAnsi="Arial"/>
          <w:sz w:val="18"/>
          <w:szCs w:val="18"/>
          <w:color w:val="auto"/>
        </w:rPr>
      </w:pPr>
    </w:p>
    <w:p>
      <w:pPr>
        <w:ind w:right="60" w:firstLine="464"/>
        <w:spacing w:after="0" w:line="291" w:lineRule="auto"/>
        <w:tabs>
          <w:tab w:leader="none" w:pos="711"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determination by the Administrative Agent and the applicable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sz w:val="20"/>
          <w:szCs w:val="20"/>
          <w:color w:val="auto"/>
        </w:rPr>
      </w:pPr>
    </w:p>
    <w:p>
      <w:pPr>
        <w:ind w:left="420" w:right="20" w:firstLine="443"/>
        <w:spacing w:after="0" w:line="257" w:lineRule="auto"/>
        <w:tabs>
          <w:tab w:leader="none" w:pos="1073"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80" w:lineRule="exact"/>
        <w:rPr>
          <w:rFonts w:ascii="Arial" w:cs="Arial" w:eastAsia="Arial" w:hAnsi="Arial"/>
          <w:sz w:val="18"/>
          <w:szCs w:val="18"/>
          <w:color w:val="auto"/>
        </w:rPr>
      </w:pPr>
    </w:p>
    <w:p>
      <w:pPr>
        <w:jc w:val="both"/>
        <w:ind w:left="420" w:right="200" w:firstLine="443"/>
        <w:spacing w:after="0" w:line="288" w:lineRule="auto"/>
        <w:tabs>
          <w:tab w:leader="none" w:pos="1123" w:val="left"/>
        </w:tabs>
        <w:numPr>
          <w:ilvl w:val="1"/>
          <w:numId w:val="310"/>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w:t>
      </w:r>
    </w:p>
    <w:p>
      <w:pPr>
        <w:ind w:left="420" w:firstLine="4"/>
        <w:spacing w:after="0" w:line="253" w:lineRule="auto"/>
        <w:tabs>
          <w:tab w:leader="none" w:pos="665" w:val="left"/>
        </w:tabs>
        <w:numPr>
          <w:ilvl w:val="0"/>
          <w:numId w:val="311"/>
        </w:numPr>
        <w:rPr>
          <w:rFonts w:ascii="Arial" w:cs="Arial" w:eastAsia="Arial" w:hAnsi="Arial"/>
          <w:sz w:val="18"/>
          <w:szCs w:val="18"/>
          <w:u w:val="single" w:color="auto"/>
          <w:color w:val="auto"/>
        </w:rPr>
      </w:pPr>
      <w:r>
        <w:rPr>
          <w:rFonts w:ascii="Arial" w:cs="Arial" w:eastAsia="Arial" w:hAnsi="Arial"/>
          <w:sz w:val="18"/>
          <w:szCs w:val="18"/>
          <w:color w:val="auto"/>
        </w:rPr>
        <w:t xml:space="preserve">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83" w:lineRule="exact"/>
        <w:rPr>
          <w:rFonts w:ascii="Arial" w:cs="Arial" w:eastAsia="Arial" w:hAnsi="Arial"/>
          <w:sz w:val="18"/>
          <w:szCs w:val="18"/>
          <w:u w:val="single" w:color="auto"/>
          <w:color w:val="auto"/>
        </w:rPr>
      </w:pPr>
    </w:p>
    <w:p>
      <w:pPr>
        <w:ind w:left="420" w:right="40" w:firstLine="443"/>
        <w:spacing w:after="0" w:line="290" w:lineRule="auto"/>
        <w:tabs>
          <w:tab w:leader="none" w:pos="1173"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166" w:lineRule="exact"/>
        <w:rPr>
          <w:sz w:val="20"/>
          <w:szCs w:val="20"/>
          <w:color w:val="auto"/>
        </w:rPr>
      </w:pPr>
    </w:p>
    <w:p>
      <w:pPr>
        <w:ind w:left="-40" w:right="140" w:firstLine="464"/>
        <w:spacing w:after="0" w:line="264" w:lineRule="auto"/>
        <w:tabs>
          <w:tab w:leader="none" w:pos="671"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ind w:left="-40" w:right="40" w:firstLine="464"/>
        <w:spacing w:after="0" w:line="312" w:lineRule="auto"/>
        <w:tabs>
          <w:tab w:leader="none" w:pos="661"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payable or paid by such Recipient or required to be withheld or deducted from a payment to such Recipient, and any penalties,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80" w:top="274" w:right="259" w:bottom="1440" w:gutter="0" w:footer="0" w:header="0"/>
        </w:sectPr>
      </w:pPr>
    </w:p>
    <w:bookmarkStart w:id="256" w:name="page257"/>
    <w:bookmarkEnd w:id="25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The Borrower shall, and does hereby,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85" w:lineRule="exact"/>
        <w:rPr>
          <w:sz w:val="20"/>
          <w:szCs w:val="20"/>
          <w:color w:val="auto"/>
        </w:rPr>
      </w:pPr>
    </w:p>
    <w:p>
      <w:pPr>
        <w:ind w:left="460" w:right="40" w:firstLine="443"/>
        <w:spacing w:after="0" w:line="287" w:lineRule="auto"/>
        <w:tabs>
          <w:tab w:leader="none" w:pos="1163"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 and (z) the Administrative Agent and the Borrower, as applicable, against any Excluded Taxes attributable to such Lender or such L/C 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20" w:firstLine="464"/>
        <w:spacing w:after="0" w:line="257" w:lineRule="auto"/>
        <w:tabs>
          <w:tab w:leader="none" w:pos="711"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59" w:lineRule="auto"/>
        <w:tabs>
          <w:tab w:leader="none" w:pos="111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257" w:name="page258"/>
    <w:bookmarkEnd w:id="25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sz w:val="20"/>
          <w:szCs w:val="20"/>
          <w:color w:val="auto"/>
        </w:rPr>
      </w:pPr>
    </w:p>
    <w:p>
      <w:pPr>
        <w:ind w:left="700" w:hanging="257"/>
        <w:spacing w:after="0"/>
        <w:tabs>
          <w:tab w:leader="none" w:pos="7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460" w:right="320" w:firstLine="421"/>
        <w:spacing w:after="0" w:line="312" w:lineRule="auto"/>
        <w:tabs>
          <w:tab w:leader="none" w:pos="117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460" w:right="380" w:firstLine="421"/>
        <w:spacing w:after="0" w:line="259" w:lineRule="auto"/>
        <w:tabs>
          <w:tab w:leader="none" w:pos="1165"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jc w:val="both"/>
        <w:ind w:left="1040" w:right="360" w:firstLine="389"/>
        <w:spacing w:after="0" w:line="288" w:lineRule="auto"/>
        <w:tabs>
          <w:tab w:leader="none" w:pos="1692" w:val="left"/>
        </w:tabs>
        <w:numPr>
          <w:ilvl w:val="3"/>
          <w:numId w:val="31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w:t>
      </w:r>
    </w:p>
    <w:p>
      <w:pPr>
        <w:ind w:left="1040" w:hanging="8"/>
        <w:spacing w:after="0" w:line="255" w:lineRule="auto"/>
        <w:tabs>
          <w:tab w:leader="none" w:pos="129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color w:val="auto"/>
        </w:rPr>
      </w:pPr>
    </w:p>
    <w:p>
      <w:pPr>
        <w:ind w:left="1680" w:hanging="251"/>
        <w:spacing w:after="0"/>
        <w:tabs>
          <w:tab w:leader="none" w:pos="1680" w:val="left"/>
        </w:tabs>
        <w:numPr>
          <w:ilvl w:val="3"/>
          <w:numId w:val="316"/>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1680" w:hanging="251"/>
        <w:spacing w:after="0"/>
        <w:tabs>
          <w:tab w:leader="none" w:pos="1680" w:val="left"/>
        </w:tabs>
        <w:numPr>
          <w:ilvl w:val="3"/>
          <w:numId w:val="31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1280" w:hanging="248"/>
        <w:spacing w:after="0"/>
        <w:tabs>
          <w:tab w:leader="none" w:pos="128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to the effect that such Foreign Lender is not a “bank”</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40"/>
          </w:cols>
          <w:pgMar w:left="700" w:top="274" w:right="259" w:bottom="1440" w:gutter="0" w:footer="0" w:header="0"/>
        </w:sectPr>
      </w:pPr>
    </w:p>
    <w:bookmarkStart w:id="258" w:name="page259"/>
    <w:bookmarkEnd w:id="258"/>
    <w:p>
      <w:pPr>
        <w:ind w:left="1040" w:right="5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and (y) executed originals of IRS Form W-8BEN or W-8BEN-E, as applicable; or</w:t>
      </w:r>
    </w:p>
    <w:p>
      <w:pPr>
        <w:spacing w:after="0" w:line="73" w:lineRule="exact"/>
        <w:rPr>
          <w:sz w:val="20"/>
          <w:szCs w:val="20"/>
          <w:color w:val="auto"/>
        </w:rPr>
      </w:pPr>
    </w:p>
    <w:p>
      <w:pPr>
        <w:ind w:left="1040" w:right="60" w:firstLine="389"/>
        <w:spacing w:after="0" w:line="255" w:lineRule="auto"/>
        <w:tabs>
          <w:tab w:leader="none" w:pos="1692" w:val="left"/>
        </w:tabs>
        <w:numPr>
          <w:ilvl w:val="2"/>
          <w:numId w:val="31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E-3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xml:space="preserve"> on behalf of each such direct and indirect partner;</w:t>
      </w:r>
    </w:p>
    <w:p>
      <w:pPr>
        <w:spacing w:after="0" w:line="85" w:lineRule="exact"/>
        <w:rPr>
          <w:rFonts w:ascii="Arial" w:cs="Arial" w:eastAsia="Arial" w:hAnsi="Arial"/>
          <w:sz w:val="18"/>
          <w:szCs w:val="18"/>
          <w:color w:val="auto"/>
        </w:rPr>
      </w:pPr>
    </w:p>
    <w:p>
      <w:pPr>
        <w:ind w:left="460" w:right="20" w:firstLine="421"/>
        <w:spacing w:after="0" w:line="273" w:lineRule="auto"/>
        <w:tabs>
          <w:tab w:leader="none" w:pos="1165" w:val="left"/>
        </w:tabs>
        <w:numPr>
          <w:ilvl w:val="1"/>
          <w:numId w:val="319"/>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0" w:lineRule="exact"/>
        <w:rPr>
          <w:rFonts w:ascii="Arial" w:cs="Arial" w:eastAsia="Arial" w:hAnsi="Arial"/>
          <w:sz w:val="17"/>
          <w:szCs w:val="17"/>
          <w:color w:val="auto"/>
        </w:rPr>
      </w:pPr>
    </w:p>
    <w:p>
      <w:pPr>
        <w:ind w:left="460" w:firstLine="421"/>
        <w:spacing w:after="0" w:line="253" w:lineRule="auto"/>
        <w:tabs>
          <w:tab w:leader="none" w:pos="117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89" w:lineRule="exact"/>
        <w:rPr>
          <w:rFonts w:ascii="Arial" w:cs="Arial" w:eastAsia="Arial" w:hAnsi="Arial"/>
          <w:sz w:val="18"/>
          <w:szCs w:val="18"/>
          <w:color w:val="auto"/>
        </w:rPr>
      </w:pPr>
    </w:p>
    <w:p>
      <w:pPr>
        <w:ind w:right="80" w:firstLine="443"/>
        <w:spacing w:after="0" w:line="264" w:lineRule="auto"/>
        <w:tabs>
          <w:tab w:leader="none" w:pos="75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700" w:top="274" w:right="239" w:bottom="1440" w:gutter="0" w:footer="0" w:header="0"/>
        </w:sectPr>
      </w:pPr>
    </w:p>
    <w:bookmarkStart w:id="259" w:name="page260"/>
    <w:bookmarkEnd w:id="259"/>
    <w:p>
      <w:pPr>
        <w:ind w:right="20" w:firstLine="464"/>
        <w:spacing w:after="0" w:line="286" w:lineRule="auto"/>
        <w:tabs>
          <w:tab w:leader="none" w:pos="681"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an L/C Issuer, or have any obligation to pay to any Lender or an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available its Tax returns (or any other information relating to its Taxes that it deems confidential) to the Borrower or any other Person.</w:t>
      </w:r>
    </w:p>
    <w:p>
      <w:pPr>
        <w:spacing w:after="0" w:line="171" w:lineRule="exact"/>
        <w:rPr>
          <w:rFonts w:ascii="Arial" w:cs="Arial" w:eastAsia="Arial" w:hAnsi="Arial"/>
          <w:sz w:val="16"/>
          <w:szCs w:val="16"/>
          <w:color w:val="auto"/>
        </w:rPr>
      </w:pPr>
    </w:p>
    <w:p>
      <w:pPr>
        <w:ind w:left="720" w:hanging="256"/>
        <w:spacing w:after="0"/>
        <w:tabs>
          <w:tab w:leader="none" w:pos="72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Each party’s obligations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shall survive the resignation or replacement of the Administrative Agent or any</w:t>
      </w:r>
    </w:p>
    <w:p>
      <w:pPr>
        <w:spacing w:after="0" w:line="34"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assignment of rights by, or the replacement of, a Lender or an L/C Issuer, the termination of the Commitments and the repayment, satisfaction or discharge of all other Obligations.</w:t>
      </w:r>
    </w:p>
    <w:p>
      <w:pPr>
        <w:spacing w:after="0" w:line="1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260" w:name="page261"/>
    <w:bookmarkEnd w:id="26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clause (a) (i)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Notwithstanding the foregoing, if the Administrative Agent has made the determination described in clause (a) (i) of this section, the Administrative Agent, in consultation with the Borrower and the affected Lenders, may establish an alternative interest rate for the Impacted Loans</w:t>
      </w:r>
      <w:r>
        <w:rPr>
          <w:rFonts w:ascii="Arial" w:cs="Arial" w:eastAsia="Arial" w:hAnsi="Arial"/>
          <w:sz w:val="16"/>
          <w:szCs w:val="16"/>
          <w:b w:val="1"/>
          <w:bCs w:val="1"/>
          <w:color w:val="auto"/>
        </w:rPr>
        <w:t>,</w:t>
      </w:r>
      <w:r>
        <w:rPr>
          <w:rFonts w:ascii="Arial" w:cs="Arial" w:eastAsia="Arial" w:hAnsi="Arial"/>
          <w:sz w:val="16"/>
          <w:szCs w:val="16"/>
          <w:color w:val="auto"/>
        </w:rPr>
        <w:t xml:space="preserve">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74" w:right="299" w:bottom="1440" w:gutter="0" w:footer="0" w:header="0"/>
        </w:sectPr>
      </w:pPr>
    </w:p>
    <w:bookmarkStart w:id="261" w:name="page262"/>
    <w:bookmarkEnd w:id="261"/>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 (a) Increased Costs Generally. If any Change in Law shall:</w:t>
      </w:r>
    </w:p>
    <w:p>
      <w:pPr>
        <w:spacing w:after="0" w:line="117" w:lineRule="exact"/>
        <w:rPr>
          <w:sz w:val="20"/>
          <w:szCs w:val="20"/>
          <w:color w:val="auto"/>
        </w:rPr>
      </w:pPr>
    </w:p>
    <w:p>
      <w:pPr>
        <w:ind w:left="460" w:right="180" w:firstLine="443"/>
        <w:spacing w:after="0" w:line="291" w:lineRule="auto"/>
        <w:tabs>
          <w:tab w:leader="none" w:pos="1113"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02" w:lineRule="exact"/>
        <w:rPr>
          <w:rFonts w:ascii="Arial" w:cs="Arial" w:eastAsia="Arial" w:hAnsi="Arial"/>
          <w:sz w:val="16"/>
          <w:szCs w:val="16"/>
          <w:color w:val="auto"/>
        </w:rPr>
      </w:pPr>
    </w:p>
    <w:p>
      <w:pPr>
        <w:jc w:val="both"/>
        <w:ind w:left="460" w:right="360" w:firstLine="443"/>
        <w:spacing w:after="0" w:line="264" w:lineRule="auto"/>
        <w:tabs>
          <w:tab w:leader="none" w:pos="116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right="260" w:firstLine="443"/>
        <w:spacing w:after="0" w:line="277" w:lineRule="auto"/>
        <w:tabs>
          <w:tab w:leader="none" w:pos="121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the interest on which is determined by reference to the Eurodollar Rate (or, in the case of clause (ii) above,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89" w:lineRule="exact"/>
        <w:rPr>
          <w:sz w:val="20"/>
          <w:szCs w:val="20"/>
          <w:color w:val="auto"/>
        </w:rPr>
      </w:pPr>
    </w:p>
    <w:p>
      <w:pPr>
        <w:ind w:firstLine="464"/>
        <w:spacing w:after="0" w:line="255"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74" w:right="279" w:bottom="1440" w:gutter="0" w:footer="0" w:header="0"/>
        </w:sectPr>
      </w:pPr>
    </w:p>
    <w:bookmarkStart w:id="262" w:name="page263"/>
    <w:bookmarkEnd w:id="2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Law (taking into consideration such Lender’s or such L/C Issuer’s policies and the policies of such Lender’s or such L/C Issuer’s holding company with respect to capital adequacy or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87" w:lineRule="exact"/>
        <w:rPr>
          <w:sz w:val="20"/>
          <w:szCs w:val="20"/>
          <w:color w:val="auto"/>
        </w:rPr>
      </w:pPr>
    </w:p>
    <w:p>
      <w:pPr>
        <w:ind w:right="80" w:firstLine="464"/>
        <w:spacing w:after="0" w:line="259" w:lineRule="auto"/>
        <w:tabs>
          <w:tab w:leader="none" w:pos="701"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the Borrower shall be conclusive absent manifest error. The Borrower shall pay such Lender or such L/C Issuer, as the case may be, the amount shown as due on any such certificate within 10 days after receipt thereof.</w:t>
      </w:r>
    </w:p>
    <w:p>
      <w:pPr>
        <w:spacing w:after="0" w:line="186"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any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such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9" w:lineRule="exact"/>
        <w:rPr>
          <w:rFonts w:ascii="Arial" w:cs="Arial" w:eastAsia="Arial" w:hAnsi="Arial"/>
          <w:sz w:val="18"/>
          <w:szCs w:val="18"/>
          <w:color w:val="auto"/>
        </w:rPr>
      </w:pPr>
    </w:p>
    <w:p>
      <w:pPr>
        <w:ind w:right="40" w:firstLine="464"/>
        <w:spacing w:after="0" w:line="255" w:lineRule="auto"/>
        <w:tabs>
          <w:tab w:leader="none" w:pos="701"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70" w:lineRule="exact"/>
        <w:rPr>
          <w:sz w:val="20"/>
          <w:szCs w:val="20"/>
          <w:color w:val="auto"/>
        </w:rPr>
      </w:pPr>
    </w:p>
    <w:p>
      <w:pPr>
        <w:ind w:right="460" w:firstLine="464"/>
        <w:spacing w:after="0" w:line="277" w:lineRule="auto"/>
        <w:tabs>
          <w:tab w:leader="none" w:pos="70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74" w:right="279" w:bottom="1440" w:gutter="0" w:footer="0" w:header="0"/>
        </w:sectPr>
      </w:pPr>
    </w:p>
    <w:bookmarkStart w:id="263" w:name="page264"/>
    <w:bookmarkEnd w:id="263"/>
    <w:p>
      <w:pPr>
        <w:ind w:right="240" w:firstLine="464"/>
        <w:spacing w:after="0" w:line="277" w:lineRule="auto"/>
        <w:tabs>
          <w:tab w:leader="none" w:pos="7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failure by the Borrower (for a reason other than the failure of such Lender to make a Loan) to prepay, borrow, continue or convert any Loan other than a Base Rate Loan on the date or in the amount notified by the Borrower; or</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9" w:lineRule="auto"/>
        <w:tabs>
          <w:tab w:leader="none" w:pos="701"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fund any Borrowing through any Lending Office, provided that the exercise of this option shall not affect the obligation of the Borrower to repay the Borrowing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3.04,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82" w:lineRule="exact"/>
        <w:rPr>
          <w:rFonts w:ascii="Arial" w:cs="Arial" w:eastAsia="Arial" w:hAnsi="Arial"/>
          <w:sz w:val="17"/>
          <w:szCs w:val="17"/>
          <w:color w:val="auto"/>
        </w:rPr>
      </w:pPr>
    </w:p>
    <w:p>
      <w:pPr>
        <w:jc w:val="both"/>
        <w:ind w:right="80" w:firstLine="464"/>
        <w:spacing w:after="0" w:line="259" w:lineRule="auto"/>
        <w:tabs>
          <w:tab w:leader="none" w:pos="711"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274" w:right="339" w:bottom="1440" w:gutter="0" w:footer="0" w:header="0"/>
        </w:sectPr>
      </w:pPr>
    </w:p>
    <w:bookmarkStart w:id="264" w:name="page265"/>
    <w:bookmarkEnd w:id="264"/>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CLOSING AND BORROWING</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of Closing and Initial Borrowing</w:t>
      </w:r>
      <w:r>
        <w:rPr>
          <w:rFonts w:ascii="Arial" w:cs="Arial" w:eastAsia="Arial" w:hAnsi="Arial"/>
          <w:sz w:val="18"/>
          <w:szCs w:val="18"/>
          <w:color w:val="auto"/>
        </w:rPr>
        <w:t>. The effectiveness of this Agreement and the obligation of each Lender and each L/C Issuer to make its Loans on the Closing Date are subject to satisfaction of the following conditions precedent:</w:t>
      </w:r>
    </w:p>
    <w:p>
      <w:pPr>
        <w:spacing w:after="0" w:line="170" w:lineRule="exact"/>
        <w:rPr>
          <w:sz w:val="20"/>
          <w:szCs w:val="20"/>
          <w:color w:val="auto"/>
        </w:rPr>
      </w:pPr>
    </w:p>
    <w:p>
      <w:pPr>
        <w:ind w:firstLine="464"/>
        <w:spacing w:after="0" w:line="259" w:lineRule="auto"/>
        <w:tabs>
          <w:tab w:leader="none" w:pos="70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 a Revolving Credit Note executed by the Borrower in favor of each Revolving Credit Lender requesting a Revolving Credit Note, and</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 a Term Note executed by the Borrower in favor of each Term Lender requesting a Term Note;</w:t>
      </w:r>
    </w:p>
    <w:p>
      <w:pPr>
        <w:spacing w:after="0" w:line="102" w:lineRule="exact"/>
        <w:rPr>
          <w:rFonts w:ascii="Arial" w:cs="Arial" w:eastAsia="Arial" w:hAnsi="Arial"/>
          <w:sz w:val="17"/>
          <w:szCs w:val="17"/>
          <w:color w:val="auto"/>
        </w:rPr>
      </w:pPr>
    </w:p>
    <w:p>
      <w:pPr>
        <w:ind w:left="460" w:right="100" w:firstLine="443"/>
        <w:spacing w:after="0" w:line="277" w:lineRule="auto"/>
        <w:tabs>
          <w:tab w:leader="none" w:pos="121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a security agreement (together with each other security agreement and security agreement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each Loan Party, together with:</w:t>
      </w:r>
    </w:p>
    <w:p>
      <w:pPr>
        <w:spacing w:after="0" w:line="62" w:lineRule="exact"/>
        <w:rPr>
          <w:rFonts w:ascii="Arial" w:cs="Arial" w:eastAsia="Arial" w:hAnsi="Arial"/>
          <w:sz w:val="18"/>
          <w:szCs w:val="18"/>
          <w:color w:val="auto"/>
        </w:rPr>
      </w:pPr>
    </w:p>
    <w:p>
      <w:pPr>
        <w:ind w:left="920" w:right="160" w:firstLine="421"/>
        <w:spacing w:after="0" w:line="277" w:lineRule="auto"/>
        <w:tabs>
          <w:tab w:leader="none" w:pos="1635" w:val="left"/>
        </w:tabs>
        <w:numPr>
          <w:ilvl w:val="2"/>
          <w:numId w:val="328"/>
        </w:numPr>
        <w:rPr>
          <w:rFonts w:ascii="Arial" w:cs="Arial" w:eastAsia="Arial" w:hAnsi="Arial"/>
          <w:sz w:val="18"/>
          <w:szCs w:val="18"/>
          <w:color w:val="auto"/>
        </w:rPr>
      </w:pPr>
      <w:r>
        <w:rPr>
          <w:rFonts w:ascii="Arial" w:cs="Arial" w:eastAsia="Arial" w:hAnsi="Arial"/>
          <w:sz w:val="18"/>
          <w:szCs w:val="18"/>
          <w:color w:val="auto"/>
        </w:rPr>
        <w:t>certificates and instruments representing the Collateral consisting of Certificated Securities or Instruments (each such term as defined in the UCC) accompanied by undated stock powers, allonges or instruments of transfer executed in blank;</w:t>
      </w:r>
    </w:p>
    <w:p>
      <w:pPr>
        <w:spacing w:after="0" w:line="62" w:lineRule="exact"/>
        <w:rPr>
          <w:rFonts w:ascii="Arial" w:cs="Arial" w:eastAsia="Arial" w:hAnsi="Arial"/>
          <w:sz w:val="18"/>
          <w:szCs w:val="18"/>
          <w:color w:val="auto"/>
        </w:rPr>
      </w:pPr>
    </w:p>
    <w:p>
      <w:pPr>
        <w:ind w:left="920" w:right="540" w:firstLine="421"/>
        <w:spacing w:after="0" w:line="264" w:lineRule="auto"/>
        <w:tabs>
          <w:tab w:leader="none" w:pos="1625" w:val="left"/>
        </w:tabs>
        <w:numPr>
          <w:ilvl w:val="2"/>
          <w:numId w:val="328"/>
        </w:numPr>
        <w:rPr>
          <w:rFonts w:ascii="Arial" w:cs="Arial" w:eastAsia="Arial" w:hAnsi="Arial"/>
          <w:sz w:val="18"/>
          <w:szCs w:val="18"/>
          <w:color w:val="auto"/>
        </w:rPr>
      </w:pPr>
      <w:r>
        <w:rPr>
          <w:rFonts w:ascii="Arial" w:cs="Arial" w:eastAsia="Arial" w:hAnsi="Arial"/>
          <w:sz w:val="18"/>
          <w:szCs w:val="18"/>
          <w:color w:val="auto"/>
        </w:rPr>
        <w:t>proper UCC financing statements in form appropriate for filing under the Uniform Commercial Code of all jurisdictions that the Administrative Agent may deem necessary or desirable in order to perfect the Liens created under the Security Agreement, covering the Collateral described in the Security Agreement;</w:t>
      </w:r>
    </w:p>
    <w:p>
      <w:pPr>
        <w:spacing w:after="0" w:line="73" w:lineRule="exact"/>
        <w:rPr>
          <w:rFonts w:ascii="Arial" w:cs="Arial" w:eastAsia="Arial" w:hAnsi="Arial"/>
          <w:sz w:val="18"/>
          <w:szCs w:val="18"/>
          <w:color w:val="auto"/>
        </w:rPr>
      </w:pPr>
    </w:p>
    <w:p>
      <w:pPr>
        <w:ind w:left="920" w:firstLine="421"/>
        <w:spacing w:after="0" w:line="255" w:lineRule="auto"/>
        <w:tabs>
          <w:tab w:leader="none" w:pos="1625" w:val="left"/>
        </w:tabs>
        <w:numPr>
          <w:ilvl w:val="2"/>
          <w:numId w:val="328"/>
        </w:numPr>
        <w:rPr>
          <w:rFonts w:ascii="Arial" w:cs="Arial" w:eastAsia="Arial" w:hAnsi="Arial"/>
          <w:sz w:val="18"/>
          <w:szCs w:val="18"/>
          <w:color w:val="auto"/>
        </w:rPr>
      </w:pPr>
      <w:r>
        <w:rPr>
          <w:rFonts w:ascii="Arial" w:cs="Arial" w:eastAsia="Arial" w:hAnsi="Arial"/>
          <w:sz w:val="18"/>
          <w:szCs w:val="18"/>
          <w:color w:val="auto"/>
        </w:rPr>
        <w:t xml:space="preserve">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deems necessary or appropriate, none of which encumber the Collateral covered or intended to be covered by the Collateral Documents (other than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265" w:name="page266"/>
    <w:bookmarkEnd w:id="265"/>
    <w:p>
      <w:pPr>
        <w:ind w:left="460" w:right="340" w:firstLine="421"/>
        <w:spacing w:after="0" w:line="277" w:lineRule="auto"/>
        <w:tabs>
          <w:tab w:leader="none" w:pos="1175" w:val="left"/>
        </w:tabs>
        <w:numPr>
          <w:ilvl w:val="1"/>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 Account Control Agreements and the Securities Account Control Agreement, in each case as referred to in the Security Agreement and duly executed by the appropriate parties; and</w:t>
      </w:r>
    </w:p>
    <w:p>
      <w:pPr>
        <w:spacing w:after="0" w:line="62" w:lineRule="exact"/>
        <w:rPr>
          <w:rFonts w:ascii="Arial" w:cs="Arial" w:eastAsia="Arial" w:hAnsi="Arial"/>
          <w:sz w:val="18"/>
          <w:szCs w:val="18"/>
          <w:color w:val="auto"/>
        </w:rPr>
      </w:pPr>
    </w:p>
    <w:p>
      <w:pPr>
        <w:ind w:left="460" w:right="40" w:firstLine="421"/>
        <w:spacing w:after="0" w:line="286" w:lineRule="auto"/>
        <w:tabs>
          <w:tab w:leader="none" w:pos="1155" w:val="left"/>
        </w:tabs>
        <w:numPr>
          <w:ilvl w:val="1"/>
          <w:numId w:val="329"/>
        </w:numPr>
        <w:rPr>
          <w:rFonts w:ascii="Arial" w:cs="Arial" w:eastAsia="Arial" w:hAnsi="Arial"/>
          <w:sz w:val="17"/>
          <w:szCs w:val="17"/>
          <w:color w:val="auto"/>
        </w:rPr>
      </w:pPr>
      <w:r>
        <w:rPr>
          <w:rFonts w:ascii="Arial" w:cs="Arial" w:eastAsia="Arial" w:hAnsi="Arial"/>
          <w:sz w:val="17"/>
          <w:szCs w:val="17"/>
          <w:color w:val="auto"/>
        </w:rPr>
        <w:t>evidence that all other actions, recordings and filings that the Administrative Agent may deem necessary or desirable in order to perfect or protect the Liens created under the Security Agreement has been taken (including receipt of duly executed payoff letters, UCC-3 termination statements, evidence and endorsement of insurance policies and landlords’ and bailees’ waiver and consent agreements);</w:t>
      </w:r>
    </w:p>
    <w:p>
      <w:pPr>
        <w:spacing w:after="0" w:line="57" w:lineRule="exact"/>
        <w:rPr>
          <w:rFonts w:ascii="Arial" w:cs="Arial" w:eastAsia="Arial" w:hAnsi="Arial"/>
          <w:sz w:val="17"/>
          <w:szCs w:val="17"/>
          <w:color w:val="auto"/>
        </w:rPr>
      </w:pPr>
    </w:p>
    <w:p>
      <w:pPr>
        <w:ind w:firstLine="443"/>
        <w:spacing w:after="0" w:line="257" w:lineRule="auto"/>
        <w:tabs>
          <w:tab w:leader="none" w:pos="74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 Copyright Security Agreement, Patent Security Agreement and Trademark Security Agreement (as each such term is defined in Security Agreement and to the extent applicable) (together with each other intellectual property security agreement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and each, individually, an “</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duly executed by each Loan Party, together with evidence that all action that the Administrative Agent may deem necessary or desirable in order to perfect the Liens created under the Intellectual Property Security Agreement has been taken;</w:t>
      </w:r>
    </w:p>
    <w:p>
      <w:pPr>
        <w:spacing w:after="0" w:line="80" w:lineRule="exact"/>
        <w:rPr>
          <w:rFonts w:ascii="Arial" w:cs="Arial" w:eastAsia="Arial" w:hAnsi="Arial"/>
          <w:sz w:val="18"/>
          <w:szCs w:val="18"/>
          <w:color w:val="auto"/>
        </w:rPr>
      </w:pPr>
    </w:p>
    <w:p>
      <w:pPr>
        <w:ind w:firstLine="443"/>
        <w:spacing w:after="0" w:line="286" w:lineRule="auto"/>
        <w:tabs>
          <w:tab w:leader="none" w:pos="693"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such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57" w:lineRule="exact"/>
        <w:rPr>
          <w:rFonts w:ascii="Arial" w:cs="Arial" w:eastAsia="Arial" w:hAnsi="Arial"/>
          <w:sz w:val="17"/>
          <w:szCs w:val="17"/>
          <w:color w:val="auto"/>
        </w:rPr>
      </w:pPr>
    </w:p>
    <w:p>
      <w:pPr>
        <w:ind w:right="80" w:firstLine="443"/>
        <w:spacing w:after="0" w:line="259" w:lineRule="auto"/>
        <w:tabs>
          <w:tab w:leader="none" w:pos="74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78" w:lineRule="exact"/>
        <w:rPr>
          <w:rFonts w:ascii="Arial" w:cs="Arial" w:eastAsia="Arial" w:hAnsi="Arial"/>
          <w:sz w:val="18"/>
          <w:szCs w:val="18"/>
          <w:color w:val="auto"/>
        </w:rPr>
      </w:pPr>
    </w:p>
    <w:p>
      <w:pPr>
        <w:ind w:right="180" w:firstLine="443"/>
        <w:spacing w:after="0" w:line="312" w:lineRule="auto"/>
        <w:tabs>
          <w:tab w:leader="none" w:pos="79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 favorable opinion of (A) Husch Blackwell LLP, counsel to the Loan Parties, and (B) appropriate local counsel to the Loan Parties (which counsel shall be reasonably satisfactory to the Administrative Agent), in each case addressed to the Administrative Agent, each L/C Issuer and each Lender, as to such matters concerning the Loan Parties and the Loan Documents as the Administrative Agent may reasonably request;</w:t>
      </w:r>
    </w:p>
    <w:p>
      <w:pPr>
        <w:spacing w:after="0" w:line="38" w:lineRule="exact"/>
        <w:rPr>
          <w:rFonts w:ascii="Arial" w:cs="Arial" w:eastAsia="Arial" w:hAnsi="Arial"/>
          <w:sz w:val="16"/>
          <w:szCs w:val="16"/>
          <w:color w:val="auto"/>
        </w:rPr>
      </w:pPr>
    </w:p>
    <w:p>
      <w:pPr>
        <w:ind w:right="120" w:firstLine="443"/>
        <w:spacing w:after="0" w:line="277" w:lineRule="auto"/>
        <w:tabs>
          <w:tab w:leader="none" w:pos="84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(A) certifying that (1) each of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in each other Loan Document and in any document furnished at any time under or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700" w:top="274" w:right="239" w:bottom="1440" w:gutter="0" w:footer="0" w:header="0"/>
        </w:sectPr>
      </w:pPr>
    </w:p>
    <w:bookmarkStart w:id="266" w:name="page267"/>
    <w:bookmarkEnd w:id="26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Company and its Subsidiaries, the only such representations and warranties the accuracy of which shall be a condition to the availability of the Loans on the Closing Date shall be the Specified Representations; (2) each of the Specified Purchase Agreement Representations shall be true and correct to the extent provided in, and subject to,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of the Closing Date Acquisition Agreement; and (3) since May 31, 2015, there shall not have been any Company Material Adverse Effect, nor shall any event or events have occurred that, individually or in the aggregate, with or without the lapse of time, would reasonably be expected to result in a Company Material Adverse Effect and (B) either (1) attaching copies of all consents, licenses and approvals required in connection with the consummation by such Loan Party of the Transaction and the execution, delivery and performance by such Loan Party and the validity against such Loan Party of the Loan Documents to which it is a party, and such consents, licenses and approvals shall be in full force and effect, or (2) stating that no such consents, licenses or approvals are so required;</w:t>
      </w:r>
    </w:p>
    <w:p>
      <w:pPr>
        <w:spacing w:after="0" w:line="75" w:lineRule="exact"/>
        <w:rPr>
          <w:sz w:val="20"/>
          <w:szCs w:val="20"/>
          <w:color w:val="auto"/>
        </w:rPr>
      </w:pPr>
    </w:p>
    <w:p>
      <w:pPr>
        <w:ind w:right="120" w:firstLine="443"/>
        <w:spacing w:after="0" w:line="259" w:lineRule="auto"/>
        <w:tabs>
          <w:tab w:leader="none" w:pos="74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unaudited consolidated balance sheets and related consolidated statements of income and cash flows for the fiscal quarter ended June 30, 2015 and each fiscal quarter ended after June 30, 2015 and at least 45 days prior to the Closing Date (if any) of (A) the Borrower and its Subsidiaries, on a consolidated basis (collectively, the “</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and (B) the Company and its Subsidiaries, on a consolidated basis (the “</w:t>
      </w:r>
      <w:r>
        <w:rPr>
          <w:rFonts w:ascii="Arial" w:cs="Arial" w:eastAsia="Arial" w:hAnsi="Arial"/>
          <w:sz w:val="18"/>
          <w:szCs w:val="18"/>
          <w:u w:val="single" w:color="auto"/>
          <w:color w:val="auto"/>
        </w:rPr>
        <w:t>Company Interim Financial Statements</w:t>
      </w:r>
      <w:r>
        <w:rPr>
          <w:rFonts w:ascii="Arial" w:cs="Arial" w:eastAsia="Arial" w:hAnsi="Arial"/>
          <w:sz w:val="18"/>
          <w:szCs w:val="18"/>
          <w:color w:val="auto"/>
        </w:rPr>
        <w:t>”) and the Audited Financial Statements;</w:t>
      </w:r>
    </w:p>
    <w:p>
      <w:pPr>
        <w:spacing w:after="0" w:line="78" w:lineRule="exact"/>
        <w:rPr>
          <w:rFonts w:ascii="Arial" w:cs="Arial" w:eastAsia="Arial" w:hAnsi="Arial"/>
          <w:sz w:val="18"/>
          <w:szCs w:val="18"/>
          <w:color w:val="auto"/>
        </w:rPr>
      </w:pPr>
    </w:p>
    <w:p>
      <w:pPr>
        <w:ind w:right="100" w:firstLine="443"/>
        <w:spacing w:after="0" w:line="273" w:lineRule="auto"/>
        <w:tabs>
          <w:tab w:leader="none" w:pos="693"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consolidated balance sheet as of the last day of the most recent fiscal quarter ended June 30, 2015 and related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consolidated statements of income and cash flows of the Borrower and its Subsidiaries as of and for the most recent four fiscal quarter period ended June 30, 2015,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Arial" w:cs="Arial" w:eastAsia="Arial" w:hAnsi="Arial"/>
          <w:sz w:val="17"/>
          <w:szCs w:val="17"/>
          <w:u w:val="single" w:color="auto"/>
          <w:color w:val="auto"/>
        </w:rPr>
        <w:t>Borrower Pro Forma Financial Statements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right="80" w:firstLine="443"/>
        <w:spacing w:after="0" w:line="286" w:lineRule="auto"/>
        <w:tabs>
          <w:tab w:leader="none" w:pos="743"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57" w:lineRule="exact"/>
        <w:rPr>
          <w:rFonts w:ascii="Arial" w:cs="Arial" w:eastAsia="Arial" w:hAnsi="Arial"/>
          <w:sz w:val="17"/>
          <w:szCs w:val="17"/>
          <w:color w:val="auto"/>
        </w:rPr>
      </w:pPr>
    </w:p>
    <w:p>
      <w:pPr>
        <w:ind w:firstLine="443"/>
        <w:spacing w:after="0" w:line="277" w:lineRule="auto"/>
        <w:tabs>
          <w:tab w:leader="none" w:pos="79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 certificate of a Financial Officer of the Borrower attesting (A) to the Solvency of the Borrower and its Subsidiaries on a consolidated basis (after giving effect to the Transactions and the incurrence and repayment of Indebtedness related thereto) and</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00"/>
          </w:cols>
          <w:pgMar w:left="700" w:top="274" w:right="299" w:bottom="1440" w:gutter="0" w:footer="0" w:header="0"/>
        </w:sectPr>
      </w:pPr>
    </w:p>
    <w:bookmarkStart w:id="267" w:name="page268"/>
    <w:bookmarkEnd w:id="267"/>
    <w:p>
      <w:pPr>
        <w:ind w:left="420" w:firstLine="4"/>
        <w:spacing w:after="0" w:line="264" w:lineRule="auto"/>
        <w:tabs>
          <w:tab w:leader="none" w:pos="705"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the Borrower Pro Forma Financial Statements and forecasts required under this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accurately present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73" w:lineRule="exact"/>
        <w:rPr>
          <w:rFonts w:ascii="Arial" w:cs="Arial" w:eastAsia="Arial" w:hAnsi="Arial"/>
          <w:sz w:val="18"/>
          <w:szCs w:val="18"/>
          <w:color w:val="auto"/>
        </w:rPr>
      </w:pPr>
    </w:p>
    <w:p>
      <w:pPr>
        <w:ind w:left="420" w:firstLine="443"/>
        <w:spacing w:after="0" w:line="264" w:lineRule="auto"/>
        <w:tabs>
          <w:tab w:leader="none" w:pos="1263"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evidence (including customary payoff letters) that all Existing Indebtedness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w:t>
      </w:r>
    </w:p>
    <w:p>
      <w:pPr>
        <w:spacing w:after="0" w:line="73" w:lineRule="exact"/>
        <w:rPr>
          <w:rFonts w:ascii="Arial" w:cs="Arial" w:eastAsia="Arial" w:hAnsi="Arial"/>
          <w:sz w:val="18"/>
          <w:szCs w:val="18"/>
          <w:color w:val="auto"/>
        </w:rPr>
      </w:pPr>
    </w:p>
    <w:p>
      <w:pPr>
        <w:ind w:left="1260" w:hanging="397"/>
        <w:spacing w:after="0"/>
        <w:tabs>
          <w:tab w:leader="none" w:pos="126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the Borrower selects the Eurodollar Rate for the Borrowing on the Closing Date, a Funding Indemnity Letter;</w:t>
      </w:r>
    </w:p>
    <w:p>
      <w:pPr>
        <w:spacing w:after="0" w:line="117" w:lineRule="exact"/>
        <w:rPr>
          <w:rFonts w:ascii="Arial" w:cs="Arial" w:eastAsia="Arial" w:hAnsi="Arial"/>
          <w:sz w:val="18"/>
          <w:szCs w:val="18"/>
          <w:color w:val="auto"/>
        </w:rPr>
      </w:pPr>
    </w:p>
    <w:p>
      <w:pPr>
        <w:ind w:left="1200" w:hanging="337"/>
        <w:spacing w:after="0"/>
        <w:tabs>
          <w:tab w:leader="none" w:pos="12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Committed Loan Notice in accordance with the requirements hereof; and</w:t>
      </w:r>
    </w:p>
    <w:p>
      <w:pPr>
        <w:spacing w:after="0" w:line="117" w:lineRule="exact"/>
        <w:rPr>
          <w:rFonts w:ascii="Arial" w:cs="Arial" w:eastAsia="Arial" w:hAnsi="Arial"/>
          <w:sz w:val="18"/>
          <w:szCs w:val="18"/>
          <w:color w:val="auto"/>
        </w:rPr>
      </w:pPr>
    </w:p>
    <w:p>
      <w:pPr>
        <w:ind w:left="420" w:right="240" w:firstLine="443"/>
        <w:spacing w:after="0" w:line="277" w:lineRule="auto"/>
        <w:tabs>
          <w:tab w:leader="none" w:pos="1253"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 executed funds flow statement with respect to all Loans to be advanced on the Closing Date and all other Transactions to occur on the Closing Date.</w:t>
      </w:r>
    </w:p>
    <w:p>
      <w:pPr>
        <w:spacing w:after="0" w:line="62" w:lineRule="exact"/>
        <w:rPr>
          <w:sz w:val="20"/>
          <w:szCs w:val="20"/>
          <w:color w:val="auto"/>
        </w:rPr>
      </w:pPr>
    </w:p>
    <w:p>
      <w:pPr>
        <w:ind w:left="880" w:right="100"/>
        <w:spacing w:after="0" w:line="270" w:lineRule="auto"/>
        <w:rPr>
          <w:sz w:val="20"/>
          <w:szCs w:val="20"/>
          <w:color w:val="auto"/>
        </w:rPr>
      </w:pPr>
      <w:r>
        <w:rPr>
          <w:rFonts w:ascii="Arial" w:cs="Arial" w:eastAsia="Arial" w:hAnsi="Arial"/>
          <w:sz w:val="17"/>
          <w:szCs w:val="17"/>
          <w:color w:val="auto"/>
        </w:rPr>
        <w:t xml:space="preserve">Notwithstanding anything to the contrary in this clause (a),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182" w:lineRule="exact"/>
        <w:rPr>
          <w:sz w:val="20"/>
          <w:szCs w:val="20"/>
          <w:color w:val="auto"/>
        </w:rPr>
      </w:pPr>
    </w:p>
    <w:p>
      <w:pPr>
        <w:ind w:left="-40" w:right="340" w:firstLine="464"/>
        <w:spacing w:after="0" w:line="286" w:lineRule="auto"/>
        <w:tabs>
          <w:tab w:leader="none" w:pos="67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PATRIOT Act, applicable “know your customer” and anti-money laundering rules and regulations;</w:t>
      </w:r>
    </w:p>
    <w:p>
      <w:pPr>
        <w:spacing w:after="0" w:line="165" w:lineRule="exact"/>
        <w:rPr>
          <w:rFonts w:ascii="Arial" w:cs="Arial" w:eastAsia="Arial" w:hAnsi="Arial"/>
          <w:sz w:val="17"/>
          <w:szCs w:val="17"/>
          <w:color w:val="auto"/>
        </w:rPr>
      </w:pPr>
    </w:p>
    <w:p>
      <w:pPr>
        <w:ind w:left="-40" w:right="100" w:firstLine="464"/>
        <w:spacing w:after="0" w:line="259" w:lineRule="auto"/>
        <w:tabs>
          <w:tab w:leader="none" w:pos="66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shall have paid (i) all fees required to be paid to the Administrative Agent and the Arrangers on or before the Closing Date (including, without limitation, all fees, charges and disbursements of counsel to the Administrative Agent (directly to such counsel if requested by the Administrative Agent), plus such additional amounts of such fees, charges and disbursements as shall constitute its reasonable estimate of such fees, charges and disbursements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80" w:top="274" w:right="279" w:bottom="1440" w:gutter="0" w:footer="0" w:header="0"/>
        </w:sectPr>
      </w:pPr>
    </w:p>
    <w:bookmarkStart w:id="268" w:name="page269"/>
    <w:bookmarkEnd w:id="268"/>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147" w:lineRule="exact"/>
        <w:rPr>
          <w:sz w:val="20"/>
          <w:szCs w:val="20"/>
          <w:color w:val="auto"/>
        </w:rPr>
      </w:pPr>
    </w:p>
    <w:p>
      <w:pPr>
        <w:ind w:right="340" w:firstLine="464"/>
        <w:spacing w:after="0" w:line="277" w:lineRule="auto"/>
        <w:tabs>
          <w:tab w:leader="none" w:pos="71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The Related Documents shall each be in full force and effect and the Arrangers shall have received a true, correct and fully executed copy of each of the Related Documents (certified by a Responsible Officer of the Borrower to be true, correct and complete);</w:t>
      </w:r>
    </w:p>
    <w:p>
      <w:pPr>
        <w:spacing w:after="0" w:line="62" w:lineRule="exact"/>
        <w:rPr>
          <w:rFonts w:ascii="Arial" w:cs="Arial" w:eastAsia="Arial" w:hAnsi="Arial"/>
          <w:sz w:val="18"/>
          <w:szCs w:val="18"/>
          <w:color w:val="auto"/>
        </w:rPr>
      </w:pPr>
    </w:p>
    <w:p>
      <w:pPr>
        <w:ind w:left="460" w:firstLine="443"/>
        <w:spacing w:after="0" w:line="257" w:lineRule="auto"/>
        <w:tabs>
          <w:tab w:leader="none" w:pos="116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Closing Date Acquisition shall have been consummated in accordance with the terms of the Closing Date Acquisition Agreement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 and in compliance with applicable Laws and regulatory and required third party approvals;</w:t>
      </w:r>
    </w:p>
    <w:p>
      <w:pPr>
        <w:spacing w:after="0" w:line="188" w:lineRule="exact"/>
        <w:rPr>
          <w:rFonts w:ascii="Arial" w:cs="Arial" w:eastAsia="Arial" w:hAnsi="Arial"/>
          <w:sz w:val="18"/>
          <w:szCs w:val="18"/>
          <w:color w:val="auto"/>
        </w:rPr>
      </w:pPr>
    </w:p>
    <w:p>
      <w:pPr>
        <w:ind w:firstLine="464"/>
        <w:spacing w:after="0" w:line="276" w:lineRule="auto"/>
        <w:tabs>
          <w:tab w:leader="none" w:pos="70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Company and its Subsidiaries, the only such representations and warranties the accuracy of which shall be a condition to the availability of the Loans on the Closing Date shall be the Specified Representations;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Each of the Specified Closing Date Acquisition Agreement Representations shall be true and correct;</w:t>
      </w:r>
    </w:p>
    <w:p>
      <w:pPr>
        <w:spacing w:after="0" w:line="225" w:lineRule="exact"/>
        <w:rPr>
          <w:rFonts w:ascii="Arial" w:cs="Arial" w:eastAsia="Arial" w:hAnsi="Arial"/>
          <w:sz w:val="18"/>
          <w:szCs w:val="18"/>
          <w:color w:val="auto"/>
        </w:rPr>
      </w:pPr>
    </w:p>
    <w:p>
      <w:pPr>
        <w:ind w:right="40" w:firstLine="464"/>
        <w:spacing w:after="0" w:line="308" w:lineRule="auto"/>
        <w:tabs>
          <w:tab w:leader="none" w:pos="71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Since May 31, 2015, there shall not have been any Company Material Adverse Effect, nor shall any event or events have occurred that, individually or in the aggregate, with or without the lapse of time, would reasonably be expected to result in a Company Material Adverse Effect; and</w:t>
      </w:r>
    </w:p>
    <w:p>
      <w:pPr>
        <w:spacing w:after="0" w:line="146" w:lineRule="exact"/>
        <w:rPr>
          <w:rFonts w:ascii="Arial" w:cs="Arial" w:eastAsia="Arial" w:hAnsi="Arial"/>
          <w:sz w:val="17"/>
          <w:szCs w:val="17"/>
          <w:color w:val="auto"/>
        </w:rPr>
      </w:pPr>
    </w:p>
    <w:p>
      <w:pPr>
        <w:ind w:right="660" w:firstLine="464"/>
        <w:spacing w:after="0" w:line="277" w:lineRule="auto"/>
        <w:tabs>
          <w:tab w:leader="none" w:pos="71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detailed calculation, in form satisfactory to the Administrative Agent, of the Consolidated Net Leverage Ratio and Consolidated Secured Leverage Ratio, in each case, on a Pro Forma Basis after giving effect to the Transactions.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269" w:name="page270"/>
    <w:bookmarkEnd w:id="269"/>
    <w:p>
      <w:pPr>
        <w:ind w:right="10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4.02 </w:t>
      </w:r>
      <w:r>
        <w:rPr>
          <w:rFonts w:ascii="Arial" w:cs="Arial" w:eastAsia="Arial" w:hAnsi="Arial"/>
          <w:sz w:val="16"/>
          <w:szCs w:val="16"/>
          <w:u w:val="single" w:color="auto"/>
          <w:color w:val="auto"/>
        </w:rPr>
        <w:t>Conditions to All Credit Extensions</w:t>
      </w:r>
      <w:r>
        <w:rPr>
          <w:rFonts w:ascii="Arial" w:cs="Arial" w:eastAsia="Arial" w:hAnsi="Arial"/>
          <w:sz w:val="16"/>
          <w:szCs w:val="16"/>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24" w:lineRule="exact"/>
        <w:rPr>
          <w:sz w:val="20"/>
          <w:szCs w:val="20"/>
          <w:color w:val="auto"/>
        </w:rPr>
      </w:pPr>
    </w:p>
    <w:p>
      <w:pPr>
        <w:ind w:firstLine="464"/>
        <w:spacing w:after="0" w:line="254" w:lineRule="auto"/>
        <w:tabs>
          <w:tab w:leader="none" w:pos="70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Except with respect to Credit Extensions on the Closing Date, the representations and warranties of the Borrower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720" w:hanging="256"/>
        <w:spacing w:after="0"/>
        <w:tabs>
          <w:tab w:leader="none" w:pos="7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right="560" w:firstLine="464"/>
        <w:spacing w:after="0" w:line="277" w:lineRule="auto"/>
        <w:tabs>
          <w:tab w:leader="none" w:pos="70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Issuers or the Swing Line Lender shall have received a Request for Credit Extension in accordance with the requirements hereof.</w:t>
      </w:r>
    </w:p>
    <w:p>
      <w:pPr>
        <w:spacing w:after="0" w:line="17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w:t>
      </w:r>
    </w:p>
    <w:p>
      <w:pPr>
        <w:ind w:left="260" w:hanging="252"/>
        <w:spacing w:after="0"/>
        <w:tabs>
          <w:tab w:leader="none" w:pos="260" w:val="left"/>
        </w:tabs>
        <w:numPr>
          <w:ilvl w:val="0"/>
          <w:numId w:val="336"/>
        </w:numPr>
        <w:rPr>
          <w:rFonts w:ascii="Arial" w:cs="Arial" w:eastAsia="Arial" w:hAnsi="Arial"/>
          <w:sz w:val="18"/>
          <w:szCs w:val="18"/>
          <w:u w:val="single" w:color="auto"/>
          <w:color w:val="auto"/>
        </w:rPr>
      </w:pPr>
      <w:r>
        <w:rPr>
          <w:rFonts w:ascii="Arial" w:cs="Arial" w:eastAsia="Arial" w:hAnsi="Arial"/>
          <w:sz w:val="18"/>
          <w:szCs w:val="18"/>
          <w:color w:val="auto"/>
        </w:rPr>
        <w:t>have been satisfied on and as of the date of the applicable Credit Extension.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Administrative Agent, the L/C Issuers and the Lenders that:</w:t>
      </w:r>
    </w:p>
    <w:p>
      <w:pPr>
        <w:spacing w:after="0" w:line="22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Corporate Existence; Subsidiaries; Foreign Qualification</w:t>
      </w:r>
      <w:r>
        <w:rPr>
          <w:rFonts w:ascii="Arial" w:cs="Arial" w:eastAsia="Arial" w:hAnsi="Arial"/>
          <w:sz w:val="17"/>
          <w:szCs w:val="17"/>
          <w:color w:val="auto"/>
        </w:rPr>
        <w:t xml:space="preserve">.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hereto, which are all of the states or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hereto sets forth, as of the Closing Date, each Subsidiary of each Loan Party (and whether such Subsidiary is an Inactive Subsidiary, Immaterial Subsidiary, Foreign Subsidiary or Loan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270" w:name="page271"/>
    <w:bookmarkEnd w:id="270"/>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state (or jurisdiction) of formation, its registered office or similar concept if a foreign organization, its relationship to such Loan Party, including the percentage of each class of stock or other Equity Interest owned, directly or indirectly, by a Loan Party, each Person that owns the stock or other Equity Interest of each Loan Party, the location of its chief executive office and its principal place of business. The Borrower, directly or indirectly, owns all of the Equity Interests of each of its Subsidiaries (excluding directors’ qualifying shares and, in the case of Foreign Subsidiaries, other nominal amounts of shares held by a Person other than a Loan Party).</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Corporate Authority</w:t>
      </w:r>
      <w:r>
        <w:rPr>
          <w:rFonts w:ascii="Arial" w:cs="Arial" w:eastAsia="Arial" w:hAnsi="Arial"/>
          <w:sz w:val="17"/>
          <w:szCs w:val="17"/>
          <w:color w:val="auto"/>
        </w:rPr>
        <w:t xml:space="preserve">. Each Loan Party has the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The execution, delivery and performance of the Loan Documents do not conflict with, result in a breach in any of the provisions of, constitute a default under, or result in the creation of a Lien (other than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hereof) upon any assets or property of any Loan Party under the provisions of, (a) such Loan Party’s Organization Documents, (b) the New Notes Documents, (c) any material agreement to which any Loan Party is a party, (d) any order, injunction, writ or decree of any Governmental Authority or (e) any Law, except with respect to any conflict, breach, default or violation referred to in clauses (d) and (e) above, solely to the extent that such conflicts, breaches, defaults or violations, either individually or in the aggregate, would not reasonably be expected to have a Material Adverse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Each Loan Party and each of their Subsidiaries:</w:t>
      </w:r>
    </w:p>
    <w:p>
      <w:pPr>
        <w:spacing w:after="0" w:line="225" w:lineRule="exact"/>
        <w:rPr>
          <w:sz w:val="20"/>
          <w:szCs w:val="20"/>
          <w:color w:val="auto"/>
        </w:rPr>
      </w:pPr>
    </w:p>
    <w:p>
      <w:pPr>
        <w:ind w:left="700" w:hanging="236"/>
        <w:spacing w:after="0"/>
        <w:tabs>
          <w:tab w:leader="none" w:pos="70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holds permits, certificates, licenses, orders, registrations, franchises, authorizations, and other approvals from any Governmental Authority</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necessary for the conduct of its business and is in compliance with all applicable laws relating thereto, except where the failure to do so, either individually or in the aggregate, would not have a Material Adverse Effect;</w:t>
      </w:r>
    </w:p>
    <w:p>
      <w:pPr>
        <w:spacing w:after="0" w:line="183"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181" w:lineRule="exact"/>
        <w:rPr>
          <w:rFonts w:ascii="Arial" w:cs="Arial" w:eastAsia="Arial" w:hAnsi="Arial"/>
          <w:sz w:val="18"/>
          <w:szCs w:val="18"/>
          <w:color w:val="auto"/>
        </w:rPr>
      </w:pPr>
    </w:p>
    <w:p>
      <w:pPr>
        <w:ind w:right="180" w:firstLine="464"/>
        <w:spacing w:after="0" w:line="277" w:lineRule="auto"/>
        <w:tabs>
          <w:tab w:leader="none" w:pos="70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is not in violation of or in default under any agreement to which it is a party or by which its assets are subject or bound, except with respect to any violation or default that, either individually or in the aggregate, would not have a Material Adverse Effect;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is in material compliance with all applicable Bank Secrecy Act (“</w:t>
      </w:r>
      <w:r>
        <w:rPr>
          <w:rFonts w:ascii="Arial" w:cs="Arial" w:eastAsia="Arial" w:hAnsi="Arial"/>
          <w:sz w:val="18"/>
          <w:szCs w:val="18"/>
          <w:u w:val="single" w:color="auto"/>
          <w:color w:val="auto"/>
        </w:rPr>
        <w:t>BSA</w:t>
      </w:r>
      <w:r>
        <w:rPr>
          <w:rFonts w:ascii="Arial" w:cs="Arial" w:eastAsia="Arial" w:hAnsi="Arial"/>
          <w:sz w:val="18"/>
          <w:szCs w:val="18"/>
          <w:color w:val="auto"/>
        </w:rPr>
        <w:t>”) and anti-money laundering laws and regulations.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271" w:name="page272"/>
    <w:bookmarkEnd w:id="27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5.04 </w:t>
      </w:r>
      <w:r>
        <w:rPr>
          <w:rFonts w:ascii="Arial" w:cs="Arial" w:eastAsia="Arial" w:hAnsi="Arial"/>
          <w:sz w:val="16"/>
          <w:szCs w:val="16"/>
          <w:u w:val="single" w:color="auto"/>
          <w:color w:val="auto"/>
        </w:rPr>
        <w:t>Litigation and Administrative Proceedings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5.04</w:t>
      </w:r>
      <w:r>
        <w:rPr>
          <w:rFonts w:ascii="Arial" w:cs="Arial" w:eastAsia="Arial" w:hAnsi="Arial"/>
          <w:sz w:val="16"/>
          <w:szCs w:val="16"/>
          <w:color w:val="auto"/>
        </w:rPr>
        <w:t xml:space="preserve"> hereto, there are (a) no lawsuits, actions, investigations, examinations or other proceedings pending or threatened against any Loan Party or any of their Subsidiaries, or in respect of which any Loan Party or any of their Subsidiaries may have any liability, in any court or before or by any Governmental Authority, arbitration board or other tribunal, (b) no orders, writs, injunctions, judgments, or decrees of any court or Governmental Authority to which any Loan Party or any of their Subsidiaries is a party or by which the property or assets of any Loan Party or any of their Subsidiaries are bound, and (c) no grievances, disputes, or controversies outstanding with any union or other organization of the employees of any Loan Party or any of their Subsidiaries, or threats of work stoppage, strike, or pending demands for collective bargaining, that, as to (a) through (c) above, if violated or determined adversely, either individually or in the aggregate, would have a Material Adverse Effect.</w:t>
      </w:r>
    </w:p>
    <w:p>
      <w:pPr>
        <w:spacing w:after="0" w:line="16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Title to Assets</w:t>
      </w:r>
      <w:r>
        <w:rPr>
          <w:rFonts w:ascii="Arial" w:cs="Arial" w:eastAsia="Arial" w:hAnsi="Arial"/>
          <w:sz w:val="18"/>
          <w:szCs w:val="18"/>
          <w:color w:val="auto"/>
        </w:rPr>
        <w:t xml:space="preserve">. Each Loan Party and each of their Subsidiaries has good title to and ownership of all material property it purports to own, which property is free and clear of all Liens, except those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 As of the Closing Date, the Loan Parties and their Subsidiaries own the real property listed on </w:t>
      </w:r>
      <w:r>
        <w:rPr>
          <w:rFonts w:ascii="Arial" w:cs="Arial" w:eastAsia="Arial" w:hAnsi="Arial"/>
          <w:sz w:val="18"/>
          <w:szCs w:val="18"/>
          <w:u w:val="single" w:color="auto"/>
          <w:color w:val="auto"/>
        </w:rPr>
        <w:t>Schedule 5.05</w:t>
      </w:r>
      <w:r>
        <w:rPr>
          <w:rFonts w:ascii="Arial" w:cs="Arial" w:eastAsia="Arial" w:hAnsi="Arial"/>
          <w:sz w:val="18"/>
          <w:szCs w:val="18"/>
          <w:color w:val="auto"/>
        </w:rPr>
        <w:t xml:space="preserve"> hereto.</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Liens and Security Interests</w:t>
      </w:r>
      <w:r>
        <w:rPr>
          <w:rFonts w:ascii="Arial" w:cs="Arial" w:eastAsia="Arial" w:hAnsi="Arial"/>
          <w:sz w:val="16"/>
          <w:szCs w:val="16"/>
          <w:color w:val="auto"/>
        </w:rPr>
        <w:t xml:space="preserve">. On and after the Closing Date, except for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valid and enforceable and, subject to the last paragraph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perfected first-priority Lien on the Collateral (subject to the priority of any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No Loan Party or any Subsidiary thereof has entered into any contract or agreement (other than a contract or agreement entered into in connection with the purchase or lease of fixed assets that prohibits Liens on such fixed assets) that exists on or after the Closing Date that would prohibit the Administrative Agent or the Lenders from acquiring a Lien on, or a collateral assignment of, any of the property or assets of any Loan Party or any Subsidiary thereof.</w:t>
      </w:r>
    </w:p>
    <w:p>
      <w:pPr>
        <w:spacing w:after="0" w:line="166"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Tax Returns</w:t>
      </w:r>
      <w:r>
        <w:rPr>
          <w:rFonts w:ascii="Arial" w:cs="Arial" w:eastAsia="Arial" w:hAnsi="Arial"/>
          <w:sz w:val="17"/>
          <w:szCs w:val="17"/>
          <w:color w:val="auto"/>
        </w:rPr>
        <w: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7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Except where non-compliance, individually or in the aggregate, would not reasonably be expected to have a Material Adverse Effect, each Loan Party and each Subsidiary is in compliance with all applicable Environmental Laws, including, without limitation, all Environmental Laws in all jurisdictions in which any Loan Party or any Subsidiary thereof owns or operates, or has owned or operated, a facility or site, arranges or has arranged for disposal or treatment of hazardous substances, solid waste or other wastes, accepts or has accepted for transport any hazardous substances, solid waste or other wastes or holds or has held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272" w:name="page273"/>
    <w:bookmarkEnd w:id="272"/>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interest in real property or otherwise. No material litigation or proceeding arising under, relating to or in connection with any Environmental Law or Environmental Permit is pending or, to the knowledge of each Loan Party and each Subsidiary thereof, threatened, against any Loan Party or any Subsidiary thereof, any real property in which any Loan Party or any Subsidiary thereof holds or has held an interest or any past or present operation of any Loan Party or any Subsidiary thereof. No release, threatened release or disposal of hazardous waste, solid waste or other wastes is occurring, or has occurred (other than those that are currently being remediated in accordance with Environmental Laws), on, under or to any real property in which any Loan Party or any Subsidiary thereof holds any interest or performs any of its operations, in material violation of or which result in material liability under any Environmental Law. As used in this </w:t>
      </w:r>
      <w:r>
        <w:rPr>
          <w:rFonts w:ascii="Arial" w:cs="Arial" w:eastAsia="Arial" w:hAnsi="Arial"/>
          <w:sz w:val="17"/>
          <w:szCs w:val="17"/>
          <w:u w:val="single" w:color="auto"/>
          <w:color w:val="auto"/>
        </w:rPr>
        <w:t>Section 5.08</w:t>
      </w:r>
      <w:r>
        <w:rPr>
          <w:rFonts w:ascii="Arial" w:cs="Arial" w:eastAsia="Arial" w:hAnsi="Arial"/>
          <w:sz w:val="17"/>
          <w:szCs w:val="17"/>
          <w:color w:val="auto"/>
        </w:rPr>
        <w:t>, “litigation or proceeding” means any demand, claim, notice, suit, suit in equity, action, administrative action, investigation or inquiry whether brought by any Governmental Authority or private Person, or otherwise.</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As of the Closing Date, the Loan Parties have places of business or maintain their accounts, inventory and equipment at the locations (including third party locations)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and each Loan Party’s chief executive office is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5.09</w:t>
      </w:r>
      <w:r>
        <w:rPr>
          <w:rFonts w:ascii="Arial" w:cs="Arial" w:eastAsia="Arial" w:hAnsi="Arial"/>
          <w:sz w:val="16"/>
          <w:szCs w:val="16"/>
          <w:color w:val="auto"/>
        </w:rPr>
        <w:t xml:space="preserve"> hereto further specifies whether each location, as of the Closing Date, (a) is owned by the Loan Parties, or (b) is leased by a Loan Party from a third party, and, if leased by a Loan Party from a third party, if a landlord’s waiver has been requested. As of the Closing Date,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correctly identifies the name and address of each third party location where a material portion of the assets of the Loan Parties are located.</w:t>
      </w:r>
    </w:p>
    <w:p>
      <w:pPr>
        <w:spacing w:after="0" w:line="15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Continued Business</w:t>
      </w:r>
      <w:r>
        <w:rPr>
          <w:rFonts w:ascii="Arial" w:cs="Arial" w:eastAsia="Arial" w:hAnsi="Arial"/>
          <w:sz w:val="16"/>
          <w:szCs w:val="16"/>
          <w:color w:val="auto"/>
        </w:rPr>
        <w:t>. There exists no actual, pending, or, to each Loan Party’s and each of their Subsidiaries’ knowledge, any threatened termination, cancellation or limitation of, or any modification or change in the business relationship of any Loan Party or any Subsidiary thereof and any customer or supplier, or any group of customers or suppliers, whose purchases or supplies, individually or in the aggregate, are material to the business of any Loan Party or any Subsidiary, and there exists no present condition or state of facts or circumstances that would prevent a Loan Party or a Subsidiary from conducting such business or the transactions contemplated by this Agreement in substantially the same manner in which it was previously conducted.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Employee Benefits Plans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1" w:lineRule="auto"/>
        <w:tabs>
          <w:tab w:leader="none" w:pos="701"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US Employee Benefit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hereto identifies each Plan as of the Closing Date. No ERISA Event has occurred or is expected to occur with respect to a Plan. Full payment has been made of all amounts that the Borrower and each ERISA Affiliate is required, under applicable Laws or under the governing documents, to have paid as a contribution to or a benefit under each Plan. The liability of the Borrower and each ERISA Affiliate with respect to each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any Plan. With respect to each Plan that is intended to be qualified under Code Section 401(a), (a) the Plan and any associated trust operationally comply with the applicable requirements of Code Section 401(a); (b) the Plan and any associated trust have been amended to</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273" w:name="page274"/>
    <w:bookmarkEnd w:id="27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Plan and any associated trust have received a favorable determination letter or opinion letter from the IRS stating that the Plan qualifies under Code Section 401(a), that the associated trust qualifies under Code Section 501(a) and, if applicable, that any cash or deferred arrangement under the Plan qualifies under Code Section 401(k), unless the Plan was first adopted at a time for which the above-described “remedial amendment period” has not yet expired; (d) the Plan currently satisfies the requirements of Code Section 410(b), subject to any retroactive amendment that may be made within the above-described “remedial amendment period”; and (e) no contribution made to the Plan is subject to an excise tax under Code Section 4972. With respect to any Pension Plan, the “accumulated benefit obligation” of the Borrower or any ERISA Affiliate with respect to the Pension Plan (as determined in accordance with Statement of Accounting Standards No. 87, “Employers’ Accounting for Pensions”) does not exceed the fair market value of Pension Plan assets. Neither the Borrower nor any ERISA Affiliate has engaged in a transaction that could be subject to Section 4069 or Section 4212(c) of ERISA. Except as could not reasonably be expected to result in a Material Adverse Effect, (i) each Plan is in compliance with applicable provisions of ERISA, the Code, and other applicable Laws, (ii) there are no pending or, to the best knowledge of the Borrower, threatened claims, actions or lawsuits, or action by any Governmental Authority, with respect to any Plan and (iii) there has been no prohibited transaction or violation of the fiduciary responsibility rules with respect to any Plan.</w:t>
      </w:r>
    </w:p>
    <w:p>
      <w:pPr>
        <w:spacing w:after="0" w:line="185" w:lineRule="exact"/>
        <w:rPr>
          <w:sz w:val="20"/>
          <w:szCs w:val="20"/>
          <w:color w:val="auto"/>
        </w:rPr>
      </w:pPr>
    </w:p>
    <w:p>
      <w:pPr>
        <w:ind w:firstLine="464"/>
        <w:spacing w:after="0" w:line="287" w:lineRule="auto"/>
        <w:tabs>
          <w:tab w:leader="none" w:pos="711"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Foreign Pension Plan and Benefit Plans</w:t>
      </w:r>
      <w:r>
        <w:rPr>
          <w:rFonts w:ascii="Arial" w:cs="Arial" w:eastAsia="Arial" w:hAnsi="Arial"/>
          <w:sz w:val="16"/>
          <w:szCs w:val="16"/>
          <w:color w:val="auto"/>
        </w:rPr>
        <w:t xml:space="preserve">. As of the Closing Date,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hereto lists all Foreign Benefit Plans and Foreign Pension Plans currently maintained or contributed to by a Loan Party, any Subsidiary thereof or any Foreign Subsidiaries. The Foreign Pension Plans are duly registered under all applicable Laws which require registration and are approved for tax purposes by the relevant tax authorities in the jurisdiction in which such Foreign Pension Plans are registered. Each Loan Party, Subsidiary thereof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either individually or in the aggregate,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either individually or in the aggregate,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Consents or Approvals</w:t>
      </w:r>
      <w:r>
        <w:rPr>
          <w:rFonts w:ascii="Arial" w:cs="Arial" w:eastAsia="Arial" w:hAnsi="Arial"/>
          <w:sz w:val="18"/>
          <w:szCs w:val="18"/>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4" w:right="259" w:bottom="1440" w:gutter="0" w:footer="0" w:header="0"/>
        </w:sectPr>
      </w:pPr>
    </w:p>
    <w:bookmarkStart w:id="274" w:name="page275"/>
    <w:bookmarkEnd w:id="274"/>
    <w:p>
      <w:pPr>
        <w:ind w:right="1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w:t>
      </w:r>
      <w:r>
        <w:rPr>
          <w:rFonts w:ascii="Arial" w:cs="Arial" w:eastAsia="Arial" w:hAnsi="Arial"/>
          <w:sz w:val="16"/>
          <w:szCs w:val="16"/>
          <w:u w:val="single" w:color="auto"/>
          <w:color w:val="auto"/>
        </w:rPr>
        <w:t>Solvency</w:t>
      </w:r>
      <w:r>
        <w:rPr>
          <w:rFonts w:ascii="Arial" w:cs="Arial" w:eastAsia="Arial" w:hAnsi="Arial"/>
          <w:sz w:val="16"/>
          <w:szCs w:val="16"/>
          <w:color w:val="auto"/>
        </w:rPr>
        <w:t>. The Borrower has received consideration that is the reasonable equivalent value of the obligations and liabilities that the Borrower has incurred to Administrative Agent and the Lenders. Each Loan Party is, individually and collectively with its Subsidiaries on a consolidated basis, Solvent.</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 The Audited Financial Statements, the Borrower Interim Financial Statements and the Company Interim Financial Statements, furnished to the Administrative Agent and the Lenders, are true and complete, have been prepared in accordance with GAAP, and fairly present the financial condition of the Borrower and its Subsidiaries and the Company and its Subsidiaries, as applicable, as of the dates of such financial statements and the results of their operations for the periods then ending. Since the dates of such Borrower Interim Financial Statements, there has been no material adverse change in the Borrower’s or any of its Subsidiary’s financial condition, properties or business or any change in any Borrower’s or any of its Subsidiary’s accounting procedures. Since the dates of such Company Interim Financial Statements, there has been no material adverse change in the Company’s or any of its Subsidiary’s financial condition, properties or business or any change in any Company’s or any of its Subsidiary’s accounting procedures. Since December 31, 2014, there has been no event or circumstance either individually or in the aggregate that has had or would reasonably be expected to have a Material Adverse Effect.</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Regulations</w:t>
      </w:r>
      <w:r>
        <w:rPr>
          <w:rFonts w:ascii="Arial" w:cs="Arial" w:eastAsia="Arial" w:hAnsi="Arial"/>
          <w:sz w:val="17"/>
          <w:szCs w:val="17"/>
          <w:color w:val="auto"/>
        </w:rPr>
        <w:t xml:space="preserve">. No Loan Party or Subsidiary thereof is engaged principally or as one of its important activities, in the business of extending credit for the purpose of purchasing or carrying any “margin stock” (within the meaning of Regulation U of the Board of Governors of the Federal Reserve System of the United States). Neither the granting of the Loans (or any conversion thereof) nor the use of the proceeds of the Loans will violate, or be inconsistent with, the provisions of Regulation T, U or X or any other Regulation of such Board of Governors. Following the application of the proceeds of the Loans, not more than 25% of the value of the assets (either of the Borrower only or of the Borrower and its Subsidiaries on a consolidated basis) subject to the provisions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or subject to any restriction contained in any agreement or instrument between the Borrower and any Lender or Affiliate of a Lender relating to Indebtedness within the scope of </w:t>
      </w:r>
      <w:r>
        <w:rPr>
          <w:rFonts w:ascii="Arial" w:cs="Arial" w:eastAsia="Arial" w:hAnsi="Arial"/>
          <w:sz w:val="17"/>
          <w:szCs w:val="17"/>
          <w:u w:val="single" w:color="auto"/>
          <w:color w:val="auto"/>
        </w:rPr>
        <w:t>Section 8.01(e)</w:t>
      </w:r>
      <w:r>
        <w:rPr>
          <w:rFonts w:ascii="Arial" w:cs="Arial" w:eastAsia="Arial" w:hAnsi="Arial"/>
          <w:sz w:val="17"/>
          <w:szCs w:val="17"/>
          <w:color w:val="auto"/>
        </w:rPr>
        <w:t xml:space="preserve"> will be margin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hereto, as of the Closing Date, no Loan Party or Subsidiary thereof is a party to any</w:t>
      </w:r>
    </w:p>
    <w:p>
      <w:pPr>
        <w:spacing w:after="0" w:line="46" w:lineRule="exact"/>
        <w:rPr>
          <w:sz w:val="20"/>
          <w:szCs w:val="20"/>
          <w:color w:val="auto"/>
        </w:rPr>
      </w:pPr>
    </w:p>
    <w:p>
      <w:pPr>
        <w:ind w:right="80" w:firstLine="8"/>
        <w:spacing w:after="0" w:line="288" w:lineRule="auto"/>
        <w:tabs>
          <w:tab w:leader="none" w:pos="24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debt instrument (excluding the Loan Documents and the New Notes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Loan Party or a Subsidiary thereof;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above, if violated, breached, or terminated for any reason, either individually or in the aggregate, would have or would be reasonably expected to have a Material Adverse Effect.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275" w:name="page276"/>
    <w:bookmarkEnd w:id="275"/>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5.17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Loan Party and each Subsidiary thereof owns, or has the right to use, all of the material patents, patent applications, industrial designs, designs, trademarks, service marks, copyrights</w:t>
      </w:r>
      <w:r>
        <w:rPr>
          <w:rFonts w:ascii="Arial" w:cs="Arial" w:eastAsia="Arial" w:hAnsi="Arial"/>
          <w:sz w:val="16"/>
          <w:szCs w:val="16"/>
          <w:b w:val="1"/>
          <w:bCs w:val="1"/>
          <w:color w:val="auto"/>
        </w:rPr>
        <w:t>,</w:t>
      </w:r>
      <w:r>
        <w:rPr>
          <w:rFonts w:ascii="Arial" w:cs="Arial" w:eastAsia="Arial" w:hAnsi="Arial"/>
          <w:sz w:val="16"/>
          <w:szCs w:val="16"/>
          <w:color w:val="auto"/>
        </w:rPr>
        <w:t xml:space="preserve"> trade secrets, software and rights with respect to the foregoing necessary for the conduct of its business without any known conflict with the rights of others. </w:t>
      </w:r>
      <w:r>
        <w:rPr>
          <w:rFonts w:ascii="Arial" w:cs="Arial" w:eastAsia="Arial" w:hAnsi="Arial"/>
          <w:sz w:val="16"/>
          <w:szCs w:val="16"/>
          <w:u w:val="single" w:color="auto"/>
          <w:color w:val="auto"/>
        </w:rPr>
        <w:t>Schedule 5.17</w:t>
      </w:r>
      <w:r>
        <w:rPr>
          <w:rFonts w:ascii="Arial" w:cs="Arial" w:eastAsia="Arial" w:hAnsi="Arial"/>
          <w:sz w:val="16"/>
          <w:szCs w:val="16"/>
          <w:color w:val="auto"/>
        </w:rPr>
        <w:t xml:space="preserve"> hereto sets forth all patents, trademarks, registered copyrights, service marks, and material license agreements owned by each Loan Party or Subsidiary or to which a Loan Party or Subsidiary is a party.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hereto sets forth all insurance carried by the Loan Parties and their Subsidiaries on the Closing Date, setting forth in detail the amount and type of such insurance.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Casualty, Etc</w:t>
      </w:r>
      <w:r>
        <w:rPr>
          <w:rFonts w:ascii="Arial" w:cs="Arial" w:eastAsia="Arial" w:hAnsi="Arial"/>
          <w:sz w:val="18"/>
          <w:szCs w:val="18"/>
          <w:color w:val="auto"/>
        </w:rPr>
        <w:t>. Neither the businesses nor the properties of any Loan Party or any Subsidiary thereof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years.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OFAC; Anti-Money Laundering; FCPA</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2" w:lineRule="auto"/>
        <w:tabs>
          <w:tab w:leader="none" w:pos="70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No Loan Party, nor any of their Subsidiaries, nor, to the knowledge of any Loan Party, any Related Party, (i) is currently the subject of any Sanctions, (ii) is located, organized or residing in any Designated Jurisdiction or (iii) is or has been (within the previous five (5) years) engaged in any transaction with any Person who is now or was then the subject of Sanctions or who is located, organized or residing in any Designated Jurisdiction. No Loan or Letter of Credit, nor the proceeds from any Loan or Letter of Credit, has been used, directly or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the Arrangers, the Administrative Agent, any L/C Issuer or the Swing Line Lender) of Sanctions.</w:t>
      </w:r>
    </w:p>
    <w:p>
      <w:pPr>
        <w:spacing w:after="0" w:line="177" w:lineRule="exact"/>
        <w:rPr>
          <w:rFonts w:ascii="Arial" w:cs="Arial" w:eastAsia="Arial" w:hAnsi="Arial"/>
          <w:sz w:val="17"/>
          <w:szCs w:val="17"/>
          <w:color w:val="auto"/>
        </w:rPr>
      </w:pPr>
    </w:p>
    <w:p>
      <w:pPr>
        <w:ind w:right="140" w:firstLine="464"/>
        <w:spacing w:after="0" w:line="277" w:lineRule="auto"/>
        <w:tabs>
          <w:tab w:leader="none" w:pos="71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the Borrower’s knowledge after making due inquiry, no Loan Party or Subsidiary (i) is under investigation by any Governmental Authority for, or has been charged with, or convicted of, money laundering or terrorist-related activities under any applicable Laws,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74" w:right="279" w:bottom="1440" w:gutter="0" w:footer="0" w:header="0"/>
        </w:sectPr>
      </w:pPr>
    </w:p>
    <w:bookmarkStart w:id="276" w:name="page277"/>
    <w:bookmarkEnd w:id="27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the PATRIOT Act (collectively, “</w:t>
      </w:r>
      <w:r>
        <w:rPr>
          <w:rFonts w:ascii="Arial" w:cs="Arial" w:eastAsia="Arial" w:hAnsi="Arial"/>
          <w:sz w:val="18"/>
          <w:szCs w:val="18"/>
          <w:u w:val="single" w:color="auto"/>
          <w:color w:val="auto"/>
        </w:rPr>
        <w:t>AML / Terrorist Laws</w:t>
      </w:r>
      <w:r>
        <w:rPr>
          <w:rFonts w:ascii="Arial" w:cs="Arial" w:eastAsia="Arial" w:hAnsi="Arial"/>
          <w:sz w:val="18"/>
          <w:szCs w:val="18"/>
          <w:color w:val="auto"/>
        </w:rPr>
        <w:t>”), (ii) has been assessed civil penalties under any AML / Terrorist Laws or (iii) has had any of its funds seized or forfeited in an action under any AML / Terrorist Laws. Each Loan Party has taken reasonable measures appropriate to the circumstances (in any event as required by applicable Laws) to seek to ensure that such Loan Party and each of its Subsidiaries is in compliance with all AML / Terrorist Laws applicable to it.</w:t>
      </w:r>
    </w:p>
    <w:p>
      <w:pPr>
        <w:spacing w:after="0" w:line="187" w:lineRule="exact"/>
        <w:rPr>
          <w:sz w:val="20"/>
          <w:szCs w:val="20"/>
          <w:color w:val="auto"/>
        </w:rPr>
      </w:pPr>
    </w:p>
    <w:p>
      <w:pPr>
        <w:ind w:right="20" w:firstLine="464"/>
        <w:spacing w:after="0" w:line="257" w:lineRule="auto"/>
        <w:tabs>
          <w:tab w:leader="none" w:pos="70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None of the Borrower or any of its Subsidiaries (or, to the knowledge of the Borrower, any director, officer, agent, employee, Affiliate of, or other person associated with or acting on behalf of the Borrower or any of their respective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188"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Certain Treasury Regulation Matters</w:t>
      </w:r>
      <w:r>
        <w:rPr>
          <w:rFonts w:ascii="Arial" w:cs="Arial" w:eastAsia="Arial" w:hAnsi="Arial"/>
          <w:sz w:val="17"/>
          <w:szCs w:val="17"/>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73"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Deposit Accounts; Securities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lists all banks and other financial institutions at which any Loan Party maintains deposit, securities or other accounts as of the Closing Date, and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5.24 </w:t>
      </w:r>
      <w:r>
        <w:rPr>
          <w:rFonts w:ascii="Arial" w:cs="Arial" w:eastAsia="Arial" w:hAnsi="Arial"/>
          <w:sz w:val="17"/>
          <w:szCs w:val="17"/>
          <w:u w:val="single" w:color="auto"/>
          <w:color w:val="auto"/>
        </w:rPr>
        <w:t>Accurate and Complete Statements</w:t>
      </w:r>
      <w:r>
        <w:rPr>
          <w:rFonts w:ascii="Arial" w:cs="Arial" w:eastAsia="Arial" w:hAnsi="Arial"/>
          <w:sz w:val="17"/>
          <w:szCs w:val="17"/>
          <w:color w:val="auto"/>
        </w:rPr>
        <w:t xml:space="preserve">. No report, financial statement, certificate or other information furnished by or on behalf of any Loan Party or any Subsidiary to the Administrative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representation is made with respect to general economic or industry information and (b) with respect to projected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277" w:name="page278"/>
    <w:bookmarkEnd w:id="277"/>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5.26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Loan Party or Subsidiary thereof is an “investment company” or a company “controlled” by an “investment company” within the meaning of the Investment Company Act of 1940, as amended.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Defaults</w:t>
      </w:r>
      <w:r>
        <w:rPr>
          <w:rFonts w:ascii="Arial" w:cs="Arial" w:eastAsia="Arial" w:hAnsi="Arial"/>
          <w:sz w:val="18"/>
          <w:szCs w:val="18"/>
          <w:color w:val="auto"/>
        </w:rPr>
        <w:t>. No Default exists hereunder, nor will any begin to exist immediately after the execution and delivery hereof.</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Senior Debt Status</w:t>
      </w:r>
      <w:r>
        <w:rPr>
          <w:rFonts w:ascii="Arial" w:cs="Arial" w:eastAsia="Arial" w:hAnsi="Arial"/>
          <w:sz w:val="18"/>
          <w:szCs w:val="18"/>
          <w:color w:val="auto"/>
        </w:rPr>
        <w:t>. The Obligations (a) rank at least pari passu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obligations not then due) or any Letter of Credit shall remain outstanding,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Subsidiary 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the Administrative Agent and each Lender, in form and detail satisfactory to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211" w:lineRule="exact"/>
        <w:rPr>
          <w:sz w:val="20"/>
          <w:szCs w:val="20"/>
          <w:color w:val="auto"/>
        </w:rPr>
      </w:pPr>
    </w:p>
    <w:p>
      <w:pPr>
        <w:ind w:right="20" w:firstLine="464"/>
        <w:spacing w:after="0" w:line="259" w:lineRule="auto"/>
        <w:tabs>
          <w:tab w:leader="none" w:pos="70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within ninety-five (95) days after the end of each fiscal year of the Borrower (commencing with the fiscal year ending December 31, 2015), an annual audit report of the Borrower and its Subsidiaries for that year prepared on a consolidated basis, in accordance with GAAP, and certified by an unqualified opinion of an independent public accountant satisfactory to the Administrative Agent, which report shall include balance sheets and statements of income (loss), stockholders’ equity and cash-flow for that period;</w:t>
      </w:r>
    </w:p>
    <w:p>
      <w:pPr>
        <w:spacing w:after="0" w:line="186" w:lineRule="exact"/>
        <w:rPr>
          <w:rFonts w:ascii="Arial" w:cs="Arial" w:eastAsia="Arial" w:hAnsi="Arial"/>
          <w:sz w:val="18"/>
          <w:szCs w:val="18"/>
          <w:color w:val="auto"/>
        </w:rPr>
      </w:pPr>
    </w:p>
    <w:p>
      <w:pPr>
        <w:ind w:right="160" w:firstLine="464"/>
        <w:spacing w:after="0" w:line="257" w:lineRule="auto"/>
        <w:tabs>
          <w:tab w:leader="none" w:pos="71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within fifty (50) days after the end of each of the first three fiscal quarter periods of each fiscal year of the Borrower (commencing with the fiscal quarter ending September 30, 2015),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and certified by a Responsible Officer of the Borrower; and</w:t>
      </w:r>
    </w:p>
    <w:p>
      <w:pPr>
        <w:spacing w:after="0" w:line="188" w:lineRule="exact"/>
        <w:rPr>
          <w:rFonts w:ascii="Arial" w:cs="Arial" w:eastAsia="Arial" w:hAnsi="Arial"/>
          <w:sz w:val="18"/>
          <w:szCs w:val="18"/>
          <w:color w:val="auto"/>
        </w:rPr>
      </w:pPr>
    </w:p>
    <w:p>
      <w:pPr>
        <w:ind w:firstLine="464"/>
        <w:spacing w:after="0" w:line="259" w:lineRule="auto"/>
        <w:tabs>
          <w:tab w:leader="none" w:pos="70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within forty-five (45) days after the end of each fiscal year of the Borrower, an annual business plan and budget of the Borrower and its Subsidiaries on a consolidated basis, including forecasts prepared by management of the Borrower, of consolidated balance sheets and statements of income or operations and cash flows of the Borrower and its Subsidiaries on a quarterly basis for the immediately following fiscal year (including the fiscal year in which the Maturity Date occurs).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74" w:right="279" w:bottom="1440" w:gutter="0" w:footer="0" w:header="0"/>
        </w:sectPr>
      </w:pPr>
    </w:p>
    <w:bookmarkStart w:id="278" w:name="page279"/>
    <w:bookmarkEnd w:id="27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170" w:lineRule="exact"/>
        <w:rPr>
          <w:sz w:val="20"/>
          <w:szCs w:val="20"/>
          <w:color w:val="auto"/>
        </w:rPr>
      </w:pPr>
    </w:p>
    <w:p>
      <w:pPr>
        <w:ind w:right="200" w:firstLine="464"/>
        <w:spacing w:after="0" w:line="342" w:lineRule="auto"/>
        <w:tabs>
          <w:tab w:leader="none" w:pos="70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(commencing with the delivery of the financial statements for the fiscal year ended December 31, 2015), a certificate of its independent certified public accountants certifying such financial statements;</w:t>
      </w:r>
    </w:p>
    <w:p>
      <w:pPr>
        <w:spacing w:after="0" w:line="123" w:lineRule="exact"/>
        <w:rPr>
          <w:rFonts w:ascii="Arial" w:cs="Arial" w:eastAsia="Arial" w:hAnsi="Arial"/>
          <w:sz w:val="16"/>
          <w:szCs w:val="16"/>
          <w:color w:val="auto"/>
        </w:rPr>
      </w:pPr>
    </w:p>
    <w:p>
      <w:pPr>
        <w:ind w:right="100" w:firstLine="464"/>
        <w:spacing w:after="0" w:line="270" w:lineRule="auto"/>
        <w:tabs>
          <w:tab w:leader="none" w:pos="711"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(commencing with the delivery of the financial statements for the fiscal quarter ended September 30, 2015), a duly completed Compliance Certificate signed by a Financial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 (x) provide that no Default exists or, if a Default exists, specifying the nature and extent thereof and (y) set forth (i) any change in the identity of any of the Immaterial Subsidiaries or Inactive Subsidiaries during such period and (ii) a detailed calculation of the Consolidated Leverage Ratio, the Consolidated Net Leverage Ratio, the Consolidated Secured Leverage Ratio and the amount available for Investments and Restricted Payments under Sections 7.03(a)(xiv) and 7.06(d), in each case as of the last day of such period, and solely with respect to the delivery concurrently with the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a calculation of Excess Cash Flow for such fiscal year);</w:t>
      </w:r>
    </w:p>
    <w:p>
      <w:pPr>
        <w:spacing w:after="0" w:line="181" w:lineRule="exact"/>
        <w:rPr>
          <w:rFonts w:ascii="Arial" w:cs="Arial" w:eastAsia="Arial" w:hAnsi="Arial"/>
          <w:sz w:val="17"/>
          <w:szCs w:val="17"/>
          <w:color w:val="auto"/>
        </w:rPr>
      </w:pPr>
    </w:p>
    <w:p>
      <w:pPr>
        <w:ind w:right="300" w:firstLine="464"/>
        <w:spacing w:after="0" w:line="342" w:lineRule="auto"/>
        <w:tabs>
          <w:tab w:leader="none" w:pos="70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promptly after the same are available, copies of any detailed audit reports or management letters submitted to the board of directors (or the audit committee of the board of directors) of the Borrower by independent accountants in connection with any audit of the Borrower or any Subsidiary;</w:t>
      </w:r>
    </w:p>
    <w:p>
      <w:pPr>
        <w:spacing w:after="0" w:line="123" w:lineRule="exact"/>
        <w:rPr>
          <w:rFonts w:ascii="Arial" w:cs="Arial" w:eastAsia="Arial" w:hAnsi="Arial"/>
          <w:sz w:val="16"/>
          <w:szCs w:val="16"/>
          <w:color w:val="auto"/>
        </w:rPr>
      </w:pPr>
    </w:p>
    <w:p>
      <w:pPr>
        <w:ind w:firstLine="464"/>
        <w:spacing w:after="0" w:line="255" w:lineRule="auto"/>
        <w:tabs>
          <w:tab w:leader="none" w:pos="71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notices, reports, definitive proxy or other statements and other documents (other than any routine ministerial notices, reports or other documents) sent by the Borrower to its shareholders, to the holders of any of its debentures or bonds or the trustee of any indenture securing the same or pursuant to which they are issued, or sent by the Borrower (in final form) to any securities exchange or over the counter authority or system, or to the SEC or any similar federal agency having regulatory jurisdiction over the issuance of the Borrower’s securities, including, without limitation, a transcript and summary (in form and substance satisfactory to the Administrative Agent) of any earnings calls or similar calls with respect to the Borrower;</w:t>
      </w:r>
    </w:p>
    <w:p>
      <w:pPr>
        <w:spacing w:after="0" w:line="193" w:lineRule="exact"/>
        <w:rPr>
          <w:rFonts w:ascii="Arial" w:cs="Arial" w:eastAsia="Arial" w:hAnsi="Arial"/>
          <w:sz w:val="18"/>
          <w:szCs w:val="18"/>
          <w:color w:val="auto"/>
        </w:rPr>
      </w:pPr>
    </w:p>
    <w:p>
      <w:pPr>
        <w:ind w:right="280" w:firstLine="464"/>
        <w:spacing w:after="0" w:line="277" w:lineRule="auto"/>
        <w:tabs>
          <w:tab w:leader="none" w:pos="70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statement or report (other than any routine ministerial statements or reports) furnished to any holder of debt securities, including, without limitation, any holders of Indebtedness governed by any Material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279" w:name="page280"/>
    <w:bookmarkEnd w:id="279"/>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Agreement, of any Loan Party or of any of its Subsidiaries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0" w:lineRule="exact"/>
        <w:rPr>
          <w:sz w:val="20"/>
          <w:szCs w:val="20"/>
          <w:color w:val="auto"/>
        </w:rPr>
      </w:pPr>
    </w:p>
    <w:p>
      <w:pPr>
        <w:ind w:right="80" w:firstLine="464"/>
        <w:spacing w:after="0" w:line="264" w:lineRule="auto"/>
        <w:tabs>
          <w:tab w:leader="none" w:pos="68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within 30 days of the written request of the Administrative Agent,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181" w:lineRule="exact"/>
        <w:rPr>
          <w:rFonts w:ascii="Arial" w:cs="Arial" w:eastAsia="Arial" w:hAnsi="Arial"/>
          <w:sz w:val="18"/>
          <w:szCs w:val="18"/>
          <w:color w:val="auto"/>
        </w:rPr>
      </w:pPr>
    </w:p>
    <w:p>
      <w:pPr>
        <w:ind w:right="280" w:firstLine="464"/>
        <w:spacing w:after="0" w:line="312" w:lineRule="auto"/>
        <w:tabs>
          <w:tab w:leader="none" w:pos="71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146" w:lineRule="exact"/>
        <w:rPr>
          <w:rFonts w:ascii="Arial" w:cs="Arial" w:eastAsia="Arial" w:hAnsi="Arial"/>
          <w:sz w:val="16"/>
          <w:szCs w:val="16"/>
          <w:color w:val="auto"/>
        </w:rPr>
      </w:pPr>
    </w:p>
    <w:p>
      <w:pPr>
        <w:ind w:firstLine="464"/>
        <w:spacing w:after="0" w:line="302" w:lineRule="auto"/>
        <w:tabs>
          <w:tab w:leader="none" w:pos="71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not later than five Business Days after receipt thereof by any Loan Party or any Subsidiary thereof, copies of all material notices, requests and other documents (including amendments, waivers and other modifications) so received under or pursuant to any Related Document, any New Notes Document or any Material Indebtedness Agreement and, from time to time upon request by the Administrative Agent, such information and reports regarding any Related Document, any New Notes Document or any Material Indebtedness Agreement as the Administrative Agent may reasonably request;</w:t>
      </w:r>
    </w:p>
    <w:p>
      <w:pPr>
        <w:spacing w:after="0" w:line="154" w:lineRule="exact"/>
        <w:rPr>
          <w:rFonts w:ascii="Arial" w:cs="Arial" w:eastAsia="Arial" w:hAnsi="Arial"/>
          <w:sz w:val="16"/>
          <w:szCs w:val="16"/>
          <w:color w:val="auto"/>
        </w:rPr>
      </w:pPr>
    </w:p>
    <w:p>
      <w:pPr>
        <w:jc w:val="both"/>
        <w:ind w:right="60" w:firstLine="464"/>
        <w:spacing w:after="0" w:line="279" w:lineRule="auto"/>
        <w:tabs>
          <w:tab w:leader="none" w:pos="67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promptly after the assertion or occurrence thereof, notice of any action or proceeding against or of any noncompliance by any Loan Party or any of its Subsidiaries under or with any Environmental Law or Environmental Permit that would (i) either individually or in the aggregate, reasonably be expected to have a Material Adverse Effect or (ii) cause any property described in the Mortgages to be subject to any restrictions on ownership, occupancy, use or transferability under any Environmental Law (other than Liens permitted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464"/>
        <w:spacing w:after="0" w:line="271" w:lineRule="auto"/>
        <w:tabs>
          <w:tab w:leader="none" w:pos="67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as soon as available, but in any event within 30 days after the end of each fiscal year of the Borrower, (i) a report supplementing </w:t>
      </w:r>
      <w:r>
        <w:rPr>
          <w:rFonts w:ascii="Arial" w:cs="Arial" w:eastAsia="Arial" w:hAnsi="Arial"/>
          <w:sz w:val="17"/>
          <w:szCs w:val="17"/>
          <w:u w:val="single" w:color="auto"/>
          <w:color w:val="auto"/>
        </w:rPr>
        <w:t>Schedules 5.05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Arial" w:cs="Arial" w:eastAsia="Arial" w:hAnsi="Arial"/>
          <w:sz w:val="17"/>
          <w:szCs w:val="17"/>
          <w:u w:val="single" w:color="auto"/>
          <w:color w:val="auto"/>
        </w:rPr>
        <w:t>Schedules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178" w:lineRule="exact"/>
        <w:rPr>
          <w:rFonts w:ascii="Arial" w:cs="Arial" w:eastAsia="Arial" w:hAnsi="Arial"/>
          <w:sz w:val="17"/>
          <w:szCs w:val="17"/>
          <w:color w:val="auto"/>
        </w:rPr>
      </w:pPr>
    </w:p>
    <w:p>
      <w:pPr>
        <w:ind w:right="340" w:firstLine="464"/>
        <w:spacing w:after="0" w:line="308" w:lineRule="auto"/>
        <w:tabs>
          <w:tab w:leader="none" w:pos="71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promptly after any Loan Party or any Subsidiary thereof obtains knowledge that any Loan Party or any Subsidiary thereof or any Person which owns, directly or indirectly, any Equity Interest of any Loan Party or any Subsidiary thereof, or any other holder at any time of</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274" w:right="299" w:bottom="1440" w:gutter="0" w:footer="0" w:header="0"/>
        </w:sectPr>
      </w:pPr>
    </w:p>
    <w:bookmarkStart w:id="280" w:name="page281"/>
    <w:bookmarkEnd w:id="280"/>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direct or indirect equitable, legal or beneficial interest therein is in violation or breach of any of </w:t>
      </w:r>
      <w:r>
        <w:rPr>
          <w:rFonts w:ascii="Arial" w:cs="Arial" w:eastAsia="Arial" w:hAnsi="Arial"/>
          <w:sz w:val="16"/>
          <w:szCs w:val="16"/>
          <w:u w:val="single" w:color="auto"/>
          <w:color w:val="auto"/>
        </w:rPr>
        <w:t>Sections 6.08(b)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7.10</w:t>
      </w:r>
      <w:r>
        <w:rPr>
          <w:rFonts w:ascii="Arial" w:cs="Arial" w:eastAsia="Arial" w:hAnsi="Arial"/>
          <w:sz w:val="16"/>
          <w:szCs w:val="16"/>
          <w:color w:val="auto"/>
        </w:rPr>
        <w:t>, such Loan Party or Subsidiary will deliver reasonably prompt notice to the Administrative Agent and the Lenders of such violation. Upon the request of any Lender, such Loan Party or Subsidiary, as applicable, will provide any information such Lender believes is reasonably necessary to be delivered to comply with the PATRIOT Act;</w:t>
      </w:r>
    </w:p>
    <w:p>
      <w:pPr>
        <w:spacing w:after="0" w:line="147" w:lineRule="exact"/>
        <w:rPr>
          <w:sz w:val="20"/>
          <w:szCs w:val="20"/>
          <w:color w:val="auto"/>
        </w:rPr>
      </w:pPr>
    </w:p>
    <w:p>
      <w:pPr>
        <w:ind w:right="260" w:firstLine="464"/>
        <w:spacing w:after="0" w:line="342" w:lineRule="auto"/>
        <w:tabs>
          <w:tab w:leader="none" w:pos="671" w:val="left"/>
        </w:tabs>
        <w:numPr>
          <w:ilvl w:val="1"/>
          <w:numId w:val="346"/>
        </w:numPr>
        <w:rPr>
          <w:rFonts w:ascii="Arial" w:cs="Arial" w:eastAsia="Arial" w:hAnsi="Arial"/>
          <w:sz w:val="16"/>
          <w:szCs w:val="16"/>
          <w:color w:val="auto"/>
        </w:rPr>
      </w:pPr>
      <w:r>
        <w:rPr>
          <w:rFonts w:ascii="Arial" w:cs="Arial" w:eastAsia="Arial" w:hAnsi="Arial"/>
          <w:sz w:val="16"/>
          <w:szCs w:val="16"/>
          <w:color w:val="auto"/>
        </w:rPr>
        <w:t>concurrently with the delivery thereof to the New Notes Trustee or any holder of the New Notes, any other notices or information provided to the New Notes Trustee or the holders of the New Notes under the New Notes Documents not otherwise provided to the Administrative Agent or the Lenders;</w:t>
      </w:r>
    </w:p>
    <w:p>
      <w:pPr>
        <w:spacing w:after="0" w:line="123" w:lineRule="exact"/>
        <w:rPr>
          <w:rFonts w:ascii="Arial" w:cs="Arial" w:eastAsia="Arial" w:hAnsi="Arial"/>
          <w:sz w:val="16"/>
          <w:szCs w:val="16"/>
          <w:color w:val="auto"/>
        </w:rPr>
      </w:pPr>
    </w:p>
    <w:p>
      <w:pPr>
        <w:ind w:firstLine="464"/>
        <w:spacing w:after="0" w:line="259" w:lineRule="auto"/>
        <w:tabs>
          <w:tab w:leader="none" w:pos="761" w:val="left"/>
        </w:tabs>
        <w:numPr>
          <w:ilvl w:val="1"/>
          <w:numId w:val="346"/>
        </w:numPr>
        <w:rPr>
          <w:rFonts w:ascii="Arial" w:cs="Arial" w:eastAsia="Arial" w:hAnsi="Arial"/>
          <w:sz w:val="18"/>
          <w:szCs w:val="18"/>
          <w:color w:val="auto"/>
        </w:rPr>
      </w:pPr>
      <w:r>
        <w:rPr>
          <w:rFonts w:ascii="Arial" w:cs="Arial" w:eastAsia="Arial" w:hAnsi="Arial"/>
          <w:sz w:val="18"/>
          <w:szCs w:val="18"/>
          <w:color w:val="auto"/>
        </w:rPr>
        <w:t>within ten days of the written request of the Administrative Agent or any Lender, such other information about the financial condition, properties and operations of the Borrower or any of its Subsidiaries as may from time to time be reasonably requested, which information shall be submitted in form and detail satisfactory to the Administrative Agent and the Lenders and certified by a Responsible Officer of the Borrower or such Subsidiary, as case may be, in question; and</w:t>
      </w:r>
    </w:p>
    <w:p>
      <w:pPr>
        <w:spacing w:after="0" w:line="186" w:lineRule="exact"/>
        <w:rPr>
          <w:rFonts w:ascii="Arial" w:cs="Arial" w:eastAsia="Arial" w:hAnsi="Arial"/>
          <w:sz w:val="18"/>
          <w:szCs w:val="18"/>
          <w:color w:val="auto"/>
        </w:rPr>
      </w:pPr>
    </w:p>
    <w:p>
      <w:pPr>
        <w:ind w:right="120" w:firstLine="464"/>
        <w:spacing w:after="0" w:line="291" w:lineRule="auto"/>
        <w:tabs>
          <w:tab w:leader="none" w:pos="711"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concurrently with the making of an Investment pursuant to </w:t>
      </w: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or a Restricted Payment pursuant to </w:t>
      </w:r>
      <w:r>
        <w:rPr>
          <w:rFonts w:ascii="Arial" w:cs="Arial" w:eastAsia="Arial" w:hAnsi="Arial"/>
          <w:sz w:val="16"/>
          <w:szCs w:val="16"/>
          <w:u w:val="single" w:color="auto"/>
          <w:color w:val="auto"/>
        </w:rPr>
        <w:t>Section 7.06(d)</w:t>
      </w:r>
      <w:r>
        <w:rPr>
          <w:rFonts w:ascii="Arial" w:cs="Arial" w:eastAsia="Arial" w:hAnsi="Arial"/>
          <w:sz w:val="16"/>
          <w:szCs w:val="16"/>
          <w:color w:val="auto"/>
        </w:rPr>
        <w:t>, as the case may be, a certificate executed by a Financial Officer of the Borrower in form and substance reasonably satisfactory to the Administrative Agent setting forth</w:t>
      </w:r>
    </w:p>
    <w:p>
      <w:pPr>
        <w:jc w:val="both"/>
        <w:ind w:right="280" w:firstLine="8"/>
        <w:spacing w:after="0" w:line="273" w:lineRule="auto"/>
        <w:tabs>
          <w:tab w:leader="none" w:pos="21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the Cumulative Retained Excess Cash Flow Amount, the cumulative initial amount of Investments made to date pursuant to </w:t>
      </w:r>
      <w:r>
        <w:rPr>
          <w:rFonts w:ascii="Arial" w:cs="Arial" w:eastAsia="Arial" w:hAnsi="Arial"/>
          <w:sz w:val="17"/>
          <w:szCs w:val="17"/>
          <w:u w:val="single" w:color="auto"/>
          <w:color w:val="auto"/>
        </w:rPr>
        <w:t>Section 7.03(a)(xiv)</w:t>
      </w:r>
      <w:r>
        <w:rPr>
          <w:rFonts w:ascii="Arial" w:cs="Arial" w:eastAsia="Arial" w:hAnsi="Arial"/>
          <w:sz w:val="17"/>
          <w:szCs w:val="17"/>
          <w:color w:val="auto"/>
        </w:rPr>
        <w:t xml:space="preserve">, the cumulative amount of Restricted Payments made to date pursuant to </w:t>
      </w:r>
      <w:r>
        <w:rPr>
          <w:rFonts w:ascii="Arial" w:cs="Arial" w:eastAsia="Arial" w:hAnsi="Arial"/>
          <w:sz w:val="17"/>
          <w:szCs w:val="17"/>
          <w:u w:val="single" w:color="auto"/>
          <w:color w:val="auto"/>
        </w:rPr>
        <w:t>Section 7.06(d)</w:t>
      </w:r>
      <w:r>
        <w:rPr>
          <w:rFonts w:ascii="Arial" w:cs="Arial" w:eastAsia="Arial" w:hAnsi="Arial"/>
          <w:sz w:val="17"/>
          <w:szCs w:val="17"/>
          <w:color w:val="auto"/>
        </w:rPr>
        <w:t xml:space="preserve"> and the remaining amount available for Investments and Restricted Payments under </w:t>
      </w:r>
      <w:r>
        <w:rPr>
          <w:rFonts w:ascii="Arial" w:cs="Arial" w:eastAsia="Arial" w:hAnsi="Arial"/>
          <w:sz w:val="17"/>
          <w:szCs w:val="17"/>
          <w:u w:val="single" w:color="auto"/>
          <w:color w:val="auto"/>
        </w:rPr>
        <w:t>Sections 7.03(a)(xiv)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7.06(d)</w:t>
      </w:r>
      <w:r>
        <w:rPr>
          <w:rFonts w:ascii="Arial" w:cs="Arial" w:eastAsia="Arial" w:hAnsi="Arial"/>
          <w:sz w:val="17"/>
          <w:szCs w:val="17"/>
          <w:color w:val="auto"/>
        </w:rPr>
        <w:t xml:space="preserve"> and (ii) the Consolidated Net Leverage Ratio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such Investment or Restricted Payment and any Indebtedness incurred or repaid in connection therewith).</w:t>
      </w:r>
    </w:p>
    <w:p>
      <w:pPr>
        <w:spacing w:after="0" w:line="177"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or</w:t>
      </w:r>
    </w:p>
    <w:p>
      <w:pPr>
        <w:ind w:right="60" w:firstLine="8"/>
        <w:spacing w:after="0" w:line="252" w:lineRule="auto"/>
        <w:tabs>
          <w:tab w:leader="none" w:pos="26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281" w:name="page282"/>
    <w:bookmarkEnd w:id="28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acknowledges that (a) the Administrative Agent and/or one or more of the Arrangers will make available to the Lenders and the L/C Issuers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and (b) certain of the Lenders (each, a “Public Lender”)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that are to be made available to Public Lenders shall be clearly and conspicuously marked “PUBLIC” which, at a minimum, means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Borrower or its securities for purposes of United States federal and state securities laws (provided, however,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a Responsible Officer of the Borrower or any of its Subsidiaries has knowledge thereof, notify the Administrative Agent and each Lender:</w:t>
      </w:r>
    </w:p>
    <w:p>
      <w:pPr>
        <w:spacing w:after="0" w:line="170" w:lineRule="exact"/>
        <w:rPr>
          <w:sz w:val="20"/>
          <w:szCs w:val="20"/>
          <w:color w:val="auto"/>
        </w:rPr>
      </w:pPr>
    </w:p>
    <w:p>
      <w:pPr>
        <w:ind w:left="700" w:hanging="236"/>
        <w:spacing w:after="0"/>
        <w:tabs>
          <w:tab w:leader="none" w:pos="7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whenever a Default may occur hereunder;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of any matter that has resulted, or, either individually or in the aggregate, would reasonably be expected to result, in a Material Adverse Effect;</w:t>
      </w:r>
    </w:p>
    <w:p>
      <w:pPr>
        <w:spacing w:after="0" w:line="236" w:lineRule="exact"/>
        <w:rPr>
          <w:rFonts w:ascii="Arial" w:cs="Arial" w:eastAsia="Arial" w:hAnsi="Arial"/>
          <w:sz w:val="17"/>
          <w:szCs w:val="17"/>
          <w:color w:val="auto"/>
        </w:rPr>
      </w:pPr>
    </w:p>
    <w:p>
      <w:pPr>
        <w:ind w:left="700" w:hanging="236"/>
        <w:spacing w:after="0"/>
        <w:tabs>
          <w:tab w:leader="none" w:pos="7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225" w:lineRule="exact"/>
        <w:rPr>
          <w:rFonts w:ascii="Arial" w:cs="Arial" w:eastAsia="Arial" w:hAnsi="Arial"/>
          <w:sz w:val="18"/>
          <w:szCs w:val="18"/>
          <w:color w:val="auto"/>
        </w:rPr>
      </w:pPr>
    </w:p>
    <w:p>
      <w:pPr>
        <w:ind w:right="480" w:firstLine="464"/>
        <w:spacing w:after="0" w:line="259" w:lineRule="auto"/>
        <w:tabs>
          <w:tab w:leader="none" w:pos="70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of the (i) occurrence of any Disposition of property or assets for which the Borrower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(ii) incurrence or issuance of any Indebtedness for which the Borrower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and (iii) receipt of any Extraordinary Receipt for which the Borrower is required to make a mandatory prepayment pursuant to </w:t>
      </w:r>
      <w:r>
        <w:rPr>
          <w:rFonts w:ascii="Arial" w:cs="Arial" w:eastAsia="Arial" w:hAnsi="Arial"/>
          <w:sz w:val="18"/>
          <w:szCs w:val="18"/>
          <w:u w:val="single" w:color="auto"/>
          <w:color w:val="auto"/>
        </w:rPr>
        <w:t>Section 2.05(b)(iv)</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282" w:name="page283"/>
    <w:bookmarkEnd w:id="282"/>
    <w:p>
      <w:pPr>
        <w:ind w:right="120" w:firstLine="464"/>
        <w:spacing w:after="0" w:line="277" w:lineRule="auto"/>
        <w:tabs>
          <w:tab w:leader="none" w:pos="681"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occurrence of any default or event of default or any event that requires the Borrower to redeem or otherwise acquire, or to make any offer to purchase, any New Notes, in each case, under or with respect to the New Notes or any other New Notes Document);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possible change in any Debt Rating.</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6.03(g)</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 Each notice pursuant to </w:t>
      </w:r>
      <w:r>
        <w:rPr>
          <w:rFonts w:ascii="Arial" w:cs="Arial" w:eastAsia="Arial" w:hAnsi="Arial"/>
          <w:sz w:val="16"/>
          <w:szCs w:val="16"/>
          <w:u w:val="single" w:color="auto"/>
          <w:color w:val="auto"/>
        </w:rPr>
        <w:t>Section 6.03(f)</w:t>
      </w:r>
      <w:r>
        <w:rPr>
          <w:rFonts w:ascii="Arial" w:cs="Arial" w:eastAsia="Arial" w:hAnsi="Arial"/>
          <w:sz w:val="16"/>
          <w:szCs w:val="16"/>
          <w:color w:val="auto"/>
        </w:rPr>
        <w:t xml:space="preserve"> shall describe with particularity any and all provisions of the New Notes Documents that have been breached.</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Payment of Taxes and Other Obligations</w:t>
      </w:r>
      <w:r>
        <w:rPr>
          <w:rFonts w:ascii="Arial" w:cs="Arial" w:eastAsia="Arial" w:hAnsi="Arial"/>
          <w:sz w:val="16"/>
          <w:szCs w:val="16"/>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67" w:lineRule="exact"/>
        <w:rPr>
          <w:sz w:val="20"/>
          <w:szCs w:val="20"/>
          <w:color w:val="auto"/>
        </w:rPr>
      </w:pPr>
    </w:p>
    <w:p>
      <w:pPr>
        <w:jc w:val="both"/>
        <w:ind w:right="260" w:firstLine="456"/>
        <w:spacing w:after="0" w:line="291" w:lineRule="auto"/>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Other than any Inactive Subsidiary or Immaterial Subsidiary (a) 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w:t>
      </w:r>
    </w:p>
    <w:p>
      <w:pPr>
        <w:ind w:right="200" w:firstLine="8"/>
        <w:spacing w:after="0" w:line="281" w:lineRule="auto"/>
        <w:tabs>
          <w:tab w:leader="none" w:pos="25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w:t>
      </w:r>
    </w:p>
    <w:p>
      <w:pPr>
        <w:spacing w:after="0" w:line="1" w:lineRule="exact"/>
        <w:rPr>
          <w:rFonts w:ascii="Arial" w:cs="Arial" w:eastAsia="Arial" w:hAnsi="Arial"/>
          <w:sz w:val="16"/>
          <w:szCs w:val="16"/>
          <w:color w:val="auto"/>
        </w:rPr>
      </w:pPr>
    </w:p>
    <w:p>
      <w:pPr>
        <w:ind w:right="380" w:firstLine="8"/>
        <w:spacing w:after="0" w:line="261" w:lineRule="auto"/>
        <w:tabs>
          <w:tab w:leader="none" w:pos="24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preserve or renew all of its registered patents, trademarks, trade names and service marks, the non-preservation of which, either individually or in the aggregate, would reasonably be expected to have a Material Adverse Effect.</w:t>
      </w:r>
    </w:p>
    <w:p>
      <w:pPr>
        <w:spacing w:after="0" w:line="18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Except where the failure to do so, either individually or in the aggregate, would not reasonably be expected to have a Material Adverse Effect, (a) maintain, preserve and protect all of its material properties and equipment necessary in the operation of its business in good working order and condition, ordinary wear and tear excepted, (b) make all necessary repairs thereto and renewals and replacements thereof and (c) use the standard of care typical in the industry in the operation and maintenance of its facilities.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274" w:right="299" w:bottom="1440" w:gutter="0" w:footer="0" w:header="0"/>
        </w:sectPr>
      </w:pPr>
    </w:p>
    <w:bookmarkStart w:id="283" w:name="page284"/>
    <w:bookmarkEnd w:id="283"/>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w:t>
      </w:r>
    </w:p>
    <w:p>
      <w:pPr>
        <w:spacing w:after="0" w:line="225" w:lineRule="exact"/>
        <w:rPr>
          <w:sz w:val="20"/>
          <w:szCs w:val="20"/>
          <w:color w:val="auto"/>
        </w:rPr>
      </w:pPr>
    </w:p>
    <w:p>
      <w:pPr>
        <w:ind w:left="-8" w:right="20" w:firstLine="464"/>
        <w:spacing w:after="0" w:line="284" w:lineRule="auto"/>
        <w:tabs>
          <w:tab w:leader="none" w:pos="693" w:val="left"/>
        </w:tabs>
        <w:numPr>
          <w:ilvl w:val="1"/>
          <w:numId w:val="352"/>
        </w:numPr>
        <w:rPr>
          <w:rFonts w:ascii="Arial" w:cs="Arial" w:eastAsia="Arial" w:hAnsi="Arial"/>
          <w:sz w:val="16"/>
          <w:szCs w:val="16"/>
          <w:color w:val="auto"/>
        </w:rPr>
      </w:pPr>
      <w:r>
        <w:rPr>
          <w:rFonts w:ascii="Arial" w:cs="Arial" w:eastAsia="Arial" w:hAnsi="Arial"/>
          <w:sz w:val="16"/>
          <w:szCs w:val="16"/>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 (30) days’ prior written notice of cancellation to the Administrative Agent and the Lenders. The Administrative Agent is hereby authorized to act as attorney-in-fact for the Loan Parties in (after the occurrence and during the continuation of an Event of Default) obtaining, adjusting, settling and canceling such insurance and indorsing any drafts. Within ten</w:t>
      </w:r>
    </w:p>
    <w:p>
      <w:pPr>
        <w:spacing w:after="0" w:line="2" w:lineRule="exact"/>
        <w:rPr>
          <w:rFonts w:ascii="Arial" w:cs="Arial" w:eastAsia="Arial" w:hAnsi="Arial"/>
          <w:sz w:val="16"/>
          <w:szCs w:val="16"/>
          <w:color w:val="auto"/>
        </w:rPr>
      </w:pPr>
    </w:p>
    <w:p>
      <w:pPr>
        <w:ind w:left="-8" w:right="20" w:firstLine="8"/>
        <w:spacing w:after="0" w:line="254" w:lineRule="auto"/>
        <w:tabs>
          <w:tab w:leader="none" w:pos="33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 which information shall be prepared in form and detail satisfactory to the Administrative Agent and certified by a Responsible Officer.</w:t>
      </w:r>
    </w:p>
    <w:p>
      <w:pPr>
        <w:spacing w:after="0" w:line="189" w:lineRule="exact"/>
        <w:rPr>
          <w:rFonts w:ascii="Arial" w:cs="Arial" w:eastAsia="Arial" w:hAnsi="Arial"/>
          <w:sz w:val="18"/>
          <w:szCs w:val="18"/>
          <w:color w:val="auto"/>
        </w:rPr>
      </w:pPr>
    </w:p>
    <w:p>
      <w:pPr>
        <w:ind w:left="-8" w:firstLine="464"/>
        <w:spacing w:after="0" w:line="255" w:lineRule="auto"/>
        <w:tabs>
          <w:tab w:leader="none" w:pos="703"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19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ind w:left="-8" w:right="160" w:firstLine="464"/>
        <w:spacing w:after="0" w:line="259" w:lineRule="auto"/>
        <w:tabs>
          <w:tab w:leader="none" w:pos="69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Comply in all material respects with the requirements of all Laws (including, without limitation,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6" w:lineRule="exact"/>
        <w:rPr>
          <w:rFonts w:ascii="Arial" w:cs="Arial" w:eastAsia="Arial" w:hAnsi="Arial"/>
          <w:sz w:val="18"/>
          <w:szCs w:val="18"/>
          <w:color w:val="auto"/>
        </w:rPr>
      </w:pPr>
    </w:p>
    <w:p>
      <w:pPr>
        <w:ind w:left="-8" w:right="60" w:firstLine="464"/>
        <w:spacing w:after="0" w:line="277" w:lineRule="auto"/>
        <w:tabs>
          <w:tab w:leader="none" w:pos="70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Conduct its businesses in compliance with applicable Anti-Corruption Laws and maintain policies and procedures designed to promote and achieve compliance with such laws.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92"/>
          </w:cols>
          <w:pgMar w:left="248" w:top="274" w:right="259" w:bottom="1440" w:gutter="0" w:footer="0" w:header="0"/>
        </w:sectPr>
      </w:pPr>
    </w:p>
    <w:bookmarkStart w:id="284" w:name="page285"/>
    <w:bookmarkEnd w:id="2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7" w:lineRule="auto"/>
        <w:tabs>
          <w:tab w:leader="none" w:pos="70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spacing w:after="0" w:line="170" w:lineRule="exact"/>
        <w:rPr>
          <w:rFonts w:ascii="Arial" w:cs="Arial" w:eastAsia="Arial" w:hAnsi="Arial"/>
          <w:sz w:val="18"/>
          <w:szCs w:val="18"/>
          <w:color w:val="auto"/>
        </w:rPr>
      </w:pPr>
    </w:p>
    <w:p>
      <w:pPr>
        <w:ind w:right="720" w:firstLine="464"/>
        <w:spacing w:after="0" w:line="277" w:lineRule="auto"/>
        <w:tabs>
          <w:tab w:leader="none" w:pos="71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Inspection Rights</w:t>
      </w:r>
      <w:r>
        <w:rPr>
          <w:rFonts w:ascii="Arial" w:cs="Arial" w:eastAsia="Arial" w:hAnsi="Arial"/>
          <w:sz w:val="17"/>
          <w:szCs w:val="17"/>
          <w:color w:val="auto"/>
        </w:rPr>
        <w:t xml:space="preserv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(b) arrange for verification of any Loan Party’s or any Subsidiary’s accounts, under reasonable procedures, directly with account debtors or by other methods, and (iii) examine and inspect any Loan Party’s or Subsidiary’s properties, inventory and equipment, wherever located, in each case, at the expense of the Borrower and upon reasonable advance notice to such Loan Party or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an Event of Default does not exist, such examinations and inspections shall be limited to not more than two times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Use the proceeds of the Loans solely for (a) the funding of the Closing Date Acquisition, (b) the refinancing of Existing Indebtedness, (c) the payment of fees, commissions and expenses in connection with the Transactions (including the payment of make whole premiums in connection with the payment of the Existing Note Purchase Agreement Indebtedness) and (d) to the extent any portion of the Loans is remaining after giving effect to the items specified in clauses (a) through (c)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working capital and other general corporate purposes of the Borrower and its Subsidiaries.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 to Guarantee Obligations and Give Security</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2" w:lineRule="auto"/>
        <w:tabs>
          <w:tab w:leader="none" w:pos="701"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Guaranties and Security Documents</w:t>
      </w:r>
      <w:r>
        <w:rPr>
          <w:rFonts w:ascii="Arial" w:cs="Arial" w:eastAsia="Arial" w:hAnsi="Arial"/>
          <w:sz w:val="17"/>
          <w:szCs w:val="17"/>
          <w:color w:val="auto"/>
        </w:rPr>
        <w:t xml:space="preserve">. Each Domestic Subsidiary (other than any Inactive Subsidiary or an Immaterial Subsidiary) created, acquired or held subsequent to the Closing Date, and each Domestic Subsidiary that at any time ceases to be an Inactive Subsidiary or an Immaterial Subsidiary (including by virtue of clause (g) of this </w:t>
      </w:r>
      <w:r>
        <w:rPr>
          <w:rFonts w:ascii="Arial" w:cs="Arial" w:eastAsia="Arial" w:hAnsi="Arial"/>
          <w:sz w:val="17"/>
          <w:szCs w:val="17"/>
          <w:u w:val="single" w:color="auto"/>
          <w:color w:val="auto"/>
        </w:rPr>
        <w:t>Section 6.12</w:t>
      </w:r>
      <w:r>
        <w:rPr>
          <w:rFonts w:ascii="Arial" w:cs="Arial" w:eastAsia="Arial" w:hAnsi="Arial"/>
          <w:sz w:val="17"/>
          <w:szCs w:val="17"/>
          <w:color w:val="auto"/>
        </w:rPr>
        <w:t>), shall within thirty (30)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be deemed necessary or advisable by the Administrative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285" w:name="page286"/>
    <w:bookmarkEnd w:id="285"/>
    <w:p>
      <w:pPr>
        <w:ind w:left="-60" w:right="20" w:firstLine="464"/>
        <w:spacing w:after="0" w:line="271" w:lineRule="auto"/>
        <w:tabs>
          <w:tab w:leader="none" w:pos="651"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 of Equity Interests</w:t>
      </w:r>
      <w:r>
        <w:rPr>
          <w:rFonts w:ascii="Arial" w:cs="Arial" w:eastAsia="Arial" w:hAnsi="Arial"/>
          <w:sz w:val="17"/>
          <w:szCs w:val="17"/>
          <w:color w:val="auto"/>
        </w:rPr>
        <w:t xml:space="preserve">. With respect to the creation or acquisition of a Subsidiary, the appropriate Loan Party shall within thirty (30) days (or such longer period as the Administrative Agent shall approve in its sole discretion) after such creation or acquisition execute a Security Agreement (or a Security Joinder Agreement) and, in connection therewith, pledge all of its Equity Interests in such Subsidiary to the Administrative Agent as security for the Obligations; provided that (i) no Foreign Subsidiary shall be required to pledge any of its Equity Interests in any other Foreign Subsidiary, (ii) the Borrower or any Domestic Subsidiary shall not be required to pledge more than sixty-five percent (65%) of the voting Equity Interests of any first-tier Foreign Subsidiary, and (iii) such pledge shall be legally available and shall not result in materially adverse tax consequences on such Loan Party. The Borrower shall deliver to the Administrative Agent the share certificates (or other evidence of equity) evidencing any of the Equity Interests pledged pursuant to this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if such Equity Interests are certificated or so evidenced.</w:t>
      </w:r>
    </w:p>
    <w:p>
      <w:pPr>
        <w:spacing w:after="0" w:line="178" w:lineRule="exact"/>
        <w:rPr>
          <w:rFonts w:ascii="Arial" w:cs="Arial" w:eastAsia="Arial" w:hAnsi="Arial"/>
          <w:sz w:val="17"/>
          <w:szCs w:val="17"/>
          <w:color w:val="auto"/>
        </w:rPr>
      </w:pPr>
    </w:p>
    <w:p>
      <w:pPr>
        <w:ind w:left="-60" w:right="60" w:firstLine="464"/>
        <w:spacing w:after="0" w:line="257" w:lineRule="auto"/>
        <w:tabs>
          <w:tab w:leader="none" w:pos="641"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Perfection or Registration of Interest in Foreign Equity Interests</w:t>
      </w:r>
      <w:r>
        <w:rPr>
          <w:rFonts w:ascii="Arial" w:cs="Arial" w:eastAsia="Arial" w:hAnsi="Arial"/>
          <w:sz w:val="18"/>
          <w:szCs w:val="18"/>
          <w:color w:val="auto"/>
        </w:rPr>
        <w:t>. With respect to any foreign Equity Interests pledged to the Administrative Agent by the Borrower or any Domestic Subsidiary,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88" w:lineRule="exact"/>
        <w:rPr>
          <w:rFonts w:ascii="Arial" w:cs="Arial" w:eastAsia="Arial" w:hAnsi="Arial"/>
          <w:sz w:val="18"/>
          <w:szCs w:val="18"/>
          <w:color w:val="auto"/>
        </w:rPr>
      </w:pPr>
    </w:p>
    <w:p>
      <w:pPr>
        <w:ind w:left="-60" w:right="140" w:firstLine="464"/>
        <w:spacing w:after="0" w:line="264" w:lineRule="auto"/>
        <w:tabs>
          <w:tab w:leader="none" w:pos="651"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Pledged Intercompany Notes</w:t>
      </w:r>
      <w:r>
        <w:rPr>
          <w:rFonts w:ascii="Arial" w:cs="Arial" w:eastAsia="Arial" w:hAnsi="Arial"/>
          <w:sz w:val="18"/>
          <w:szCs w:val="18"/>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w:t>
      </w:r>
    </w:p>
    <w:p>
      <w:pPr>
        <w:spacing w:after="0" w:line="181" w:lineRule="exact"/>
        <w:rPr>
          <w:rFonts w:ascii="Arial" w:cs="Arial" w:eastAsia="Arial" w:hAnsi="Arial"/>
          <w:sz w:val="18"/>
          <w:szCs w:val="18"/>
          <w:color w:val="auto"/>
        </w:rPr>
      </w:pPr>
    </w:p>
    <w:p>
      <w:pPr>
        <w:ind w:left="640" w:hanging="236"/>
        <w:spacing w:after="0"/>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Collateral Generally</w:t>
      </w:r>
      <w:r>
        <w:rPr>
          <w:rFonts w:ascii="Arial" w:cs="Arial" w:eastAsia="Arial" w:hAnsi="Arial"/>
          <w:sz w:val="18"/>
          <w:szCs w:val="18"/>
          <w:color w:val="auto"/>
        </w:rPr>
        <w:t>. The Borrower shall:</w:t>
      </w:r>
    </w:p>
    <w:p>
      <w:pPr>
        <w:spacing w:after="0" w:line="117" w:lineRule="exact"/>
        <w:rPr>
          <w:rFonts w:ascii="Arial" w:cs="Arial" w:eastAsia="Arial" w:hAnsi="Arial"/>
          <w:sz w:val="18"/>
          <w:szCs w:val="18"/>
          <w:color w:val="auto"/>
        </w:rPr>
      </w:pPr>
    </w:p>
    <w:p>
      <w:pPr>
        <w:ind w:left="400" w:firstLine="443"/>
        <w:spacing w:after="0" w:line="259" w:lineRule="auto"/>
        <w:tabs>
          <w:tab w:leader="none" w:pos="1053"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78" w:lineRule="exact"/>
        <w:rPr>
          <w:rFonts w:ascii="Arial" w:cs="Arial" w:eastAsia="Arial" w:hAnsi="Arial"/>
          <w:sz w:val="18"/>
          <w:szCs w:val="18"/>
          <w:color w:val="auto"/>
        </w:rPr>
      </w:pPr>
    </w:p>
    <w:p>
      <w:pPr>
        <w:ind w:left="400" w:right="40" w:firstLine="443"/>
        <w:spacing w:after="0" w:line="277" w:lineRule="auto"/>
        <w:tabs>
          <w:tab w:leader="none" w:pos="1103"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62" w:lineRule="exact"/>
        <w:rPr>
          <w:rFonts w:ascii="Arial" w:cs="Arial" w:eastAsia="Arial" w:hAnsi="Arial"/>
          <w:sz w:val="18"/>
          <w:szCs w:val="18"/>
          <w:color w:val="auto"/>
        </w:rPr>
      </w:pPr>
    </w:p>
    <w:p>
      <w:pPr>
        <w:ind w:left="400" w:firstLine="443"/>
        <w:spacing w:after="0" w:line="259" w:lineRule="auto"/>
        <w:tabs>
          <w:tab w:leader="none" w:pos="1153" w:val="left"/>
        </w:tabs>
        <w:numPr>
          <w:ilvl w:val="1"/>
          <w:numId w:val="357"/>
        </w:numPr>
        <w:rPr>
          <w:rFonts w:ascii="Arial" w:cs="Arial" w:eastAsia="Arial" w:hAnsi="Arial"/>
          <w:sz w:val="18"/>
          <w:szCs w:val="18"/>
          <w:color w:val="auto"/>
        </w:rPr>
      </w:pPr>
      <w:r>
        <w:rPr>
          <w:rFonts w:ascii="Arial" w:cs="Arial" w:eastAsia="Arial" w:hAnsi="Arial"/>
          <w:sz w:val="18"/>
          <w:szCs w:val="18"/>
          <w:color w:val="auto"/>
        </w:rPr>
        <w:t xml:space="preserve">promptly notify the Administrative Agent in writing upon the creation by any Loan Party of a deposit account or securities account not listed on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300" w:top="274" w:right="299" w:bottom="1440" w:gutter="0" w:footer="0" w:header="0"/>
        </w:sectPr>
      </w:pPr>
    </w:p>
    <w:bookmarkStart w:id="286" w:name="page287"/>
    <w:bookmarkEnd w:id="286"/>
    <w:p>
      <w:pPr>
        <w:ind w:right="20" w:firstLine="443"/>
        <w:spacing w:after="0" w:line="259" w:lineRule="auto"/>
        <w:tabs>
          <w:tab w:leader="none" w:pos="743"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notify the Administrative Agent in writing whenever a material amount of assets of a Loan Party is located at a location of a third party (other than another Loan Party) that is not listed on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hereto and use commercially reasonable efforts to cause to be executed any bailee’s waiver, processor’s waiver, consignee’s waiver or similar document or notice that may be required by the Administrative Agent or the Required Lenders;</w:t>
      </w:r>
    </w:p>
    <w:p>
      <w:pPr>
        <w:spacing w:after="0" w:line="78" w:lineRule="exact"/>
        <w:rPr>
          <w:rFonts w:ascii="Arial" w:cs="Arial" w:eastAsia="Arial" w:hAnsi="Arial"/>
          <w:sz w:val="18"/>
          <w:szCs w:val="18"/>
          <w:color w:val="auto"/>
        </w:rPr>
      </w:pPr>
    </w:p>
    <w:p>
      <w:pPr>
        <w:jc w:val="both"/>
        <w:ind w:right="280" w:firstLine="443"/>
        <w:spacing w:after="0" w:line="264" w:lineRule="auto"/>
        <w:tabs>
          <w:tab w:leader="none" w:pos="69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promptly notify the Administrative Agent and the Lenders in writing of any information that the Borrower or any of its Subsidiaries has or may receive with respect to the Collateral that would reasonably be expected to materially and adversely affect the value thereof or the rights of the Administrative Agent and the Lenders with respect thereto;</w:t>
      </w:r>
    </w:p>
    <w:p>
      <w:pPr>
        <w:spacing w:after="0" w:line="73" w:lineRule="exact"/>
        <w:rPr>
          <w:rFonts w:ascii="Arial" w:cs="Arial" w:eastAsia="Arial" w:hAnsi="Arial"/>
          <w:sz w:val="18"/>
          <w:szCs w:val="18"/>
          <w:color w:val="auto"/>
        </w:rPr>
      </w:pPr>
    </w:p>
    <w:p>
      <w:pPr>
        <w:ind w:firstLine="443"/>
        <w:spacing w:after="0" w:line="255" w:lineRule="auto"/>
        <w:tabs>
          <w:tab w:leader="none" w:pos="74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promptly deliver to the Administrative Agent, to hold as security for the Obligations, within ten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85" w:lineRule="exact"/>
        <w:rPr>
          <w:rFonts w:ascii="Arial" w:cs="Arial" w:eastAsia="Arial" w:hAnsi="Arial"/>
          <w:sz w:val="18"/>
          <w:szCs w:val="18"/>
          <w:color w:val="auto"/>
        </w:rPr>
      </w:pPr>
    </w:p>
    <w:p>
      <w:pPr>
        <w:ind w:right="500" w:firstLine="443"/>
        <w:spacing w:after="0" w:line="264" w:lineRule="auto"/>
        <w:tabs>
          <w:tab w:leader="none" w:pos="79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promptly provide to the Administrative Agent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73" w:lineRule="exact"/>
        <w:rPr>
          <w:rFonts w:ascii="Arial" w:cs="Arial" w:eastAsia="Arial" w:hAnsi="Arial"/>
          <w:sz w:val="18"/>
          <w:szCs w:val="18"/>
          <w:color w:val="auto"/>
        </w:rPr>
      </w:pPr>
    </w:p>
    <w:p>
      <w:pPr>
        <w:ind w:right="60" w:firstLine="443"/>
        <w:spacing w:after="0" w:line="279" w:lineRule="auto"/>
        <w:tabs>
          <w:tab w:leader="none" w:pos="843" w:val="left"/>
        </w:tabs>
        <w:numPr>
          <w:ilvl w:val="0"/>
          <w:numId w:val="358"/>
        </w:numPr>
        <w:rPr>
          <w:rFonts w:ascii="Arial" w:cs="Arial" w:eastAsia="Arial" w:hAnsi="Arial"/>
          <w:sz w:val="17"/>
          <w:szCs w:val="17"/>
          <w:color w:val="auto"/>
        </w:rPr>
      </w:pPr>
      <w:r>
        <w:rPr>
          <w:rFonts w:ascii="Arial" w:cs="Arial" w:eastAsia="Arial" w:hAnsi="Arial"/>
          <w:sz w:val="17"/>
          <w:szCs w:val="17"/>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63" w:lineRule="exact"/>
        <w:rPr>
          <w:sz w:val="20"/>
          <w:szCs w:val="20"/>
          <w:color w:val="auto"/>
        </w:rPr>
      </w:pPr>
    </w:p>
    <w:p>
      <w:pPr>
        <w:ind w:left="460" w:right="360"/>
        <w:spacing w:after="0" w:line="273" w:lineRule="auto"/>
        <w:rPr>
          <w:sz w:val="20"/>
          <w:szCs w:val="20"/>
          <w:color w:val="auto"/>
        </w:rPr>
      </w:pPr>
      <w:r>
        <w:rPr>
          <w:rFonts w:ascii="Arial" w:cs="Arial" w:eastAsia="Arial" w:hAnsi="Arial"/>
          <w:sz w:val="17"/>
          <w:szCs w:val="17"/>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700" w:top="274" w:right="239" w:bottom="1440" w:gutter="0" w:footer="0" w:header="0"/>
        </w:sectPr>
      </w:pPr>
    </w:p>
    <w:bookmarkStart w:id="287" w:name="page288"/>
    <w:bookmarkEnd w:id="287"/>
    <w:p>
      <w:pPr>
        <w:jc w:val="both"/>
        <w:ind w:left="912"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agent (but without obligation by the Administrative Agent to do so) to incur expenses with respect to the foregoing (whether prior to, upon, or subsequent to any Default), and the Borrower shall promptly repay, reimburse, and indemnify the Administrative Agent and the Lenders for any and all such expenses.</w:t>
      </w:r>
    </w:p>
    <w:p>
      <w:pPr>
        <w:spacing w:after="0" w:line="181" w:lineRule="exact"/>
        <w:rPr>
          <w:sz w:val="20"/>
          <w:szCs w:val="20"/>
          <w:color w:val="auto"/>
        </w:rPr>
      </w:pPr>
    </w:p>
    <w:p>
      <w:pPr>
        <w:ind w:left="-8" w:firstLine="464"/>
        <w:spacing w:after="0" w:line="268" w:lineRule="auto"/>
        <w:tabs>
          <w:tab w:leader="none" w:pos="673"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Property Acquired Subsequent to the Closing Date and Right to Take Additional Collateral</w:t>
      </w:r>
      <w:r>
        <w:rPr>
          <w:rFonts w:ascii="Arial" w:cs="Arial" w:eastAsia="Arial" w:hAnsi="Arial"/>
          <w:sz w:val="17"/>
          <w:szCs w:val="17"/>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(including, in the case of Material Real Property, leased)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first-priority Lien on any Material Real Property or personal property of each Loan Party (other than for leased equipment or equipment subject to a purchase money security interest in which the lessor or purchase money lender of such equipment holds a first priority security interest, in which case, the Administrative Agent shall have the right to obtain a security interest junior only to such lessor or purchase money lender),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60 days (or such later time as may be specified by the Administrative Agent in its sole discretion), and (ii) in all other cases, within ten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require. The Borrower shall pay all recordation, legal and other expenses in connection therewith.</w:t>
      </w:r>
    </w:p>
    <w:p>
      <w:pPr>
        <w:spacing w:after="0" w:line="183" w:lineRule="exact"/>
        <w:rPr>
          <w:rFonts w:ascii="Arial" w:cs="Arial" w:eastAsia="Arial" w:hAnsi="Arial"/>
          <w:sz w:val="17"/>
          <w:szCs w:val="17"/>
          <w:color w:val="auto"/>
        </w:rPr>
      </w:pPr>
    </w:p>
    <w:p>
      <w:pPr>
        <w:ind w:left="712" w:hanging="256"/>
        <w:spacing w:after="0"/>
        <w:tabs>
          <w:tab w:leader="none" w:pos="712"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Designation of Immaterial Subsidiaries</w:t>
      </w:r>
      <w:r>
        <w:rPr>
          <w:rFonts w:ascii="Arial" w:cs="Arial" w:eastAsia="Arial" w:hAnsi="Arial"/>
          <w:sz w:val="17"/>
          <w:szCs w:val="17"/>
          <w:color w:val="auto"/>
        </w:rPr>
        <w:t>. In the event that the Immaterial Subsidiaries and Inactive Subsidiaries, when taken as a whole,</w:t>
      </w:r>
    </w:p>
    <w:p>
      <w:pPr>
        <w:spacing w:after="0" w:line="34" w:lineRule="exact"/>
        <w:rPr>
          <w:rFonts w:ascii="Arial" w:cs="Arial" w:eastAsia="Arial" w:hAnsi="Arial"/>
          <w:sz w:val="17"/>
          <w:szCs w:val="17"/>
          <w:color w:val="auto"/>
        </w:rPr>
      </w:pPr>
    </w:p>
    <w:p>
      <w:pPr>
        <w:ind w:left="-8" w:right="20" w:firstLine="8"/>
        <w:spacing w:after="0" w:line="251" w:lineRule="auto"/>
        <w:tabs>
          <w:tab w:leader="none" w:pos="20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or Inactive Subsidiaries to be Loan Parties hereunder (at which time such Subsidiaries shall cease to be Immaterial Subsidiaries or Inactive Subsidiaries, as applicable) such that the resulting EBITDA attributable to, and net book value of the assets held by, the remaining Immaterial Subsidiaries and Inactive Subsidiaries, when taken as a whole, shall be less than the required percentages set forth in clauses (i) and (ii) of this clause (g). Notwithstanding anything contained herein to the contrary and for the avoidance of doubt, no Subsidiary shall constitute either an Immaterial Subsidiary or Inactive Subsidiary if such Subsidiary guarantees or provides a Lien on its assets or otherwise provide credit support with respect to the New Notes or any other Indebtedness of any Loan Party.</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92"/>
          </w:cols>
          <w:pgMar w:left="248" w:top="274" w:right="259" w:bottom="1440" w:gutter="0" w:footer="0" w:header="0"/>
        </w:sectPr>
      </w:pPr>
    </w:p>
    <w:bookmarkStart w:id="288" w:name="page289"/>
    <w:bookmarkEnd w:id="288"/>
    <w:p>
      <w:pPr>
        <w:jc w:val="both"/>
        <w:ind w:right="20" w:firstLine="464"/>
        <w:spacing w:after="0" w:line="276" w:lineRule="auto"/>
        <w:tabs>
          <w:tab w:leader="none" w:pos="711"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Designation of Material Real Property</w:t>
      </w:r>
      <w:r>
        <w:rPr>
          <w:rFonts w:ascii="Arial" w:cs="Arial" w:eastAsia="Arial" w:hAnsi="Arial"/>
          <w:sz w:val="17"/>
          <w:szCs w:val="17"/>
          <w:color w:val="auto"/>
        </w:rPr>
        <w:t>. In the event that the aggregate fair market value of (i) the real property owned in fee simple by the Loan Parties that is not subject to a Mortgage and (ii) the leasehold real property of the Loan Parties that is not subject to a Mortgage exceeds $30,000,000, the Borrower shall promptly designate one or more of such owned or leased real property locations to be Material Real Property (at which time such real property shall constitute Material Real Property for all purposes hereunder and under the other Loan Documents). Notwithstanding the foregoing, in no event shall real property with a fair market value of less than $4,000,000 be required to be subject to a Mortgage.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no Loan Party shall be required to pledge or grant a Lien on any Excluded Assets (as defined in the Security Agreement).</w:t>
      </w:r>
    </w:p>
    <w:p>
      <w:pPr>
        <w:spacing w:after="0" w:line="24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xml:space="preserve">. Except where non-compliance, either individually or in the aggregate, would not reasonably be expected to have a Material Adverse Effect, comply in all respects with any and all applicable Environmental Laws and Environmental Permits including, without limitation, all Environmental Laws in jurisdictions in which such Person owns or operates a facility or site, arranges for disposal or treatment of hazardous substances, solid waste or other wastes, accepts for transport any hazardous substances, solid waste or other wastes or holds any interest in real property or otherwise.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Arial" w:cs="Arial" w:eastAsia="Arial" w:hAnsi="Arial"/>
          <w:sz w:val="16"/>
          <w:szCs w:val="16"/>
          <w:u w:val="single" w:color="auto"/>
          <w:color w:val="auto"/>
        </w:rPr>
        <w:t>Section 6.13</w:t>
      </w:r>
      <w:r>
        <w:rPr>
          <w:rFonts w:ascii="Arial" w:cs="Arial" w:eastAsia="Arial" w:hAnsi="Arial"/>
          <w:sz w:val="16"/>
          <w:szCs w:val="16"/>
          <w:color w:val="auto"/>
        </w:rPr>
        <w:t>, “litigation or proceeding” means any demand, claim, notice, suit, suit in equity action, administrative action, investigation or inquiry whether brought by any Governmental Authority or private Person, or otherwise.</w:t>
      </w:r>
    </w:p>
    <w:p>
      <w:pPr>
        <w:spacing w:after="0" w:line="16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Provide the Administrative Agent and the Lenders with at least thirty (30) days’ prior written notice before any change its legal name, organizational structure or its state, province or other jurisdiction of organization. The Borrower shall promptly notify the Administrative Agent of (a) any change in any location where a material portion of any Loan Party’s assets are maintained, and any new locations where any material portion of any Loan Party’s assets are to be maintained; (b) any change in the location of the office where any Loan Party’s records pertaining to its accounts are kept; (c) the location of any new places of business and the changing or closing of any of its existing places of business; and (d) any change in the location of any Loan Party’s chief executive office.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Maintenance of Debt Ratings</w:t>
      </w:r>
      <w:r>
        <w:rPr>
          <w:rFonts w:ascii="Arial" w:cs="Arial" w:eastAsia="Arial" w:hAnsi="Arial"/>
          <w:sz w:val="18"/>
          <w:szCs w:val="18"/>
          <w:color w:val="auto"/>
        </w:rPr>
        <w:t>. Use commercially reasonable efforts to maintain Debt Ratings from both Moody’s and S&amp;P.</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289" w:name="page290"/>
    <w:bookmarkEnd w:id="2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sz w:val="20"/>
          <w:szCs w:val="20"/>
          <w:color w:val="auto"/>
        </w:rPr>
      </w:pPr>
    </w:p>
    <w:p>
      <w:pPr>
        <w:ind w:right="280" w:firstLine="464"/>
        <w:spacing w:after="0" w:line="257" w:lineRule="auto"/>
        <w:tabs>
          <w:tab w:leader="none" w:pos="70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more effectively the purposes of the Loan Documents.</w:t>
      </w:r>
    </w:p>
    <w:p>
      <w:pPr>
        <w:spacing w:after="0" w:line="188" w:lineRule="exact"/>
        <w:rPr>
          <w:rFonts w:ascii="Arial" w:cs="Arial" w:eastAsia="Arial" w:hAnsi="Arial"/>
          <w:sz w:val="18"/>
          <w:szCs w:val="18"/>
          <w:color w:val="auto"/>
        </w:rPr>
      </w:pPr>
    </w:p>
    <w:p>
      <w:pPr>
        <w:ind w:right="20" w:firstLine="464"/>
        <w:spacing w:after="0" w:line="255" w:lineRule="auto"/>
        <w:tabs>
          <w:tab w:leader="none" w:pos="71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If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in each case within the time limits specified on such schedule.</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Lender Meeting</w:t>
      </w:r>
      <w:r>
        <w:rPr>
          <w:rFonts w:ascii="Arial" w:cs="Arial" w:eastAsia="Arial" w:hAnsi="Arial"/>
          <w:sz w:val="18"/>
          <w:szCs w:val="18"/>
          <w:color w:val="auto"/>
        </w:rPr>
        <w:t>. Within 95 days after the close of each fiscal year of the Borrower, at the request of the Administrative Agent or the Required Lenders, hold a meeting (at a mutually agreeable location and time) with all Lenders who choose to attend such meeting or conference call at which meeting or conference call shall be reviewed the financial results of the previous fiscal year and the financial condition of the Borrower and its Subsidiaries and the budgets presented for the current fiscal year of the Borrower and its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contingent indemnification obligations not then due) or any Letter of Credit shall remain outstanding, the Borrower shall not, nor shall it permit any Subsidiary to:</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incur, assume or suffer to exist (upon the happening of a contingency or otherwise) any Lien upon any of its property or assets,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not apply to the following:</w:t>
      </w:r>
    </w:p>
    <w:p>
      <w:pPr>
        <w:spacing w:after="0" w:line="170" w:lineRule="exact"/>
        <w:rPr>
          <w:sz w:val="20"/>
          <w:szCs w:val="20"/>
          <w:color w:val="auto"/>
        </w:rPr>
      </w:pPr>
    </w:p>
    <w:p>
      <w:pPr>
        <w:ind w:right="80" w:firstLine="464"/>
        <w:spacing w:after="0" w:line="277" w:lineRule="auto"/>
        <w:tabs>
          <w:tab w:leader="none" w:pos="70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290" w:name="page291"/>
    <w:bookmarkEnd w:id="290"/>
    <w:p>
      <w:pPr>
        <w:ind w:left="640" w:hanging="236"/>
        <w:spacing w:after="0"/>
        <w:tabs>
          <w:tab w:leader="none" w:pos="6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property or assets of a Subsidiary to secure obligations of such Subsidiary to a Loan Party;</w:t>
      </w:r>
    </w:p>
    <w:p>
      <w:pPr>
        <w:spacing w:after="0" w:line="225" w:lineRule="exact"/>
        <w:rPr>
          <w:rFonts w:ascii="Arial" w:cs="Arial" w:eastAsia="Arial" w:hAnsi="Arial"/>
          <w:sz w:val="18"/>
          <w:szCs w:val="18"/>
          <w:color w:val="auto"/>
        </w:rPr>
      </w:pPr>
    </w:p>
    <w:p>
      <w:pPr>
        <w:ind w:left="-60" w:right="180" w:firstLine="464"/>
        <w:spacing w:after="0" w:line="277" w:lineRule="auto"/>
        <w:tabs>
          <w:tab w:leader="none" w:pos="65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purchase money Liens on fixed assets securing the loans and Indebtedness under Capitalized Leases pursuant to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is limited to the purchase price and only attaches to the property being acquired or financed thereby;</w:t>
      </w:r>
    </w:p>
    <w:p>
      <w:pPr>
        <w:spacing w:after="0" w:line="170" w:lineRule="exact"/>
        <w:rPr>
          <w:rFonts w:ascii="Arial" w:cs="Arial" w:eastAsia="Arial" w:hAnsi="Arial"/>
          <w:sz w:val="18"/>
          <w:szCs w:val="18"/>
          <w:color w:val="auto"/>
        </w:rPr>
      </w:pPr>
    </w:p>
    <w:p>
      <w:pPr>
        <w:ind w:left="640" w:hanging="236"/>
        <w:spacing w:after="0"/>
        <w:tabs>
          <w:tab w:leader="none" w:pos="6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Lien of the Administrative Agent, for the benefit of the Secured Parties;</w:t>
      </w:r>
    </w:p>
    <w:p>
      <w:pPr>
        <w:spacing w:after="0" w:line="225" w:lineRule="exact"/>
        <w:rPr>
          <w:rFonts w:ascii="Arial" w:cs="Arial" w:eastAsia="Arial" w:hAnsi="Arial"/>
          <w:sz w:val="18"/>
          <w:szCs w:val="18"/>
          <w:color w:val="auto"/>
        </w:rPr>
      </w:pPr>
    </w:p>
    <w:p>
      <w:pPr>
        <w:ind w:left="-60" w:right="60" w:firstLine="464"/>
        <w:spacing w:after="0" w:line="302" w:lineRule="auto"/>
        <w:tabs>
          <w:tab w:leader="none" w:pos="621"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the Liens existing on the Closing Date as set forth in </w:t>
      </w:r>
      <w:r>
        <w:rPr>
          <w:rFonts w:ascii="Arial" w:cs="Arial" w:eastAsia="Arial" w:hAnsi="Arial"/>
          <w:sz w:val="16"/>
          <w:szCs w:val="16"/>
          <w:u w:val="single" w:color="auto"/>
          <w:color w:val="auto"/>
        </w:rPr>
        <w:t>Schedule 7.01</w:t>
      </w:r>
      <w:r>
        <w:rPr>
          <w:rFonts w:ascii="Arial" w:cs="Arial" w:eastAsia="Arial" w:hAnsi="Arial"/>
          <w:sz w:val="16"/>
          <w:szCs w:val="16"/>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154" w:lineRule="exact"/>
        <w:rPr>
          <w:rFonts w:ascii="Arial" w:cs="Arial" w:eastAsia="Arial" w:hAnsi="Arial"/>
          <w:sz w:val="16"/>
          <w:szCs w:val="16"/>
          <w:color w:val="auto"/>
        </w:rPr>
      </w:pPr>
    </w:p>
    <w:p>
      <w:pPr>
        <w:ind w:left="-60" w:right="80" w:firstLine="464"/>
        <w:spacing w:after="0" w:line="277" w:lineRule="auto"/>
        <w:tabs>
          <w:tab w:leader="none" w:pos="65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the Borrower or any of its Subsidiaries;</w:t>
      </w:r>
    </w:p>
    <w:p>
      <w:pPr>
        <w:spacing w:after="0" w:line="170" w:lineRule="exact"/>
        <w:rPr>
          <w:rFonts w:ascii="Arial" w:cs="Arial" w:eastAsia="Arial" w:hAnsi="Arial"/>
          <w:sz w:val="18"/>
          <w:szCs w:val="18"/>
          <w:color w:val="auto"/>
        </w:rPr>
      </w:pPr>
    </w:p>
    <w:p>
      <w:pPr>
        <w:ind w:left="660" w:hanging="256"/>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225" w:lineRule="exact"/>
        <w:rPr>
          <w:rFonts w:ascii="Arial" w:cs="Arial" w:eastAsia="Arial" w:hAnsi="Arial"/>
          <w:sz w:val="18"/>
          <w:szCs w:val="18"/>
          <w:color w:val="auto"/>
        </w:rPr>
      </w:pPr>
    </w:p>
    <w:p>
      <w:pPr>
        <w:ind w:left="-60" w:right="420" w:firstLine="464"/>
        <w:spacing w:after="0" w:line="277" w:lineRule="auto"/>
        <w:tabs>
          <w:tab w:leader="none" w:pos="61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Liens in respect of any writ of execution, attachment, garnishment, judgment or judicial award solely to the extent not constituting an Event of Default under </w:t>
      </w:r>
      <w:r>
        <w:rPr>
          <w:rFonts w:ascii="Arial" w:cs="Arial" w:eastAsia="Arial" w:hAnsi="Arial"/>
          <w:sz w:val="18"/>
          <w:szCs w:val="18"/>
          <w:u w:val="single" w:color="auto"/>
          <w:color w:val="auto"/>
        </w:rPr>
        <w:t>Section 8.01(h)(i)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0" w:firstLine="464"/>
        <w:spacing w:after="0" w:line="277" w:lineRule="auto"/>
        <w:tabs>
          <w:tab w:leader="none" w:pos="61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Liens arising solely from precautionary UCC financing statements filed with respect to any consignment agreement entered into by Borrower or any Subsidiary in the ordinary course of business;</w:t>
      </w:r>
    </w:p>
    <w:p>
      <w:pPr>
        <w:spacing w:after="0" w:line="170" w:lineRule="exact"/>
        <w:rPr>
          <w:rFonts w:ascii="Arial" w:cs="Arial" w:eastAsia="Arial" w:hAnsi="Arial"/>
          <w:sz w:val="18"/>
          <w:szCs w:val="18"/>
          <w:color w:val="auto"/>
        </w:rPr>
      </w:pPr>
    </w:p>
    <w:p>
      <w:pPr>
        <w:ind w:left="-60" w:right="500" w:firstLine="464"/>
        <w:spacing w:after="0" w:line="277" w:lineRule="auto"/>
        <w:tabs>
          <w:tab w:leader="none" w:pos="65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statutory or civil law Lien arising in the Netherlands under Netherland’s General Banking Conditions (other than arising under article 26 thereof) so long as such Lien does not secure Indebtedness;</w:t>
      </w:r>
    </w:p>
    <w:p>
      <w:pPr>
        <w:spacing w:after="0" w:line="170" w:lineRule="exact"/>
        <w:rPr>
          <w:rFonts w:ascii="Arial" w:cs="Arial" w:eastAsia="Arial" w:hAnsi="Arial"/>
          <w:sz w:val="18"/>
          <w:szCs w:val="18"/>
          <w:color w:val="auto"/>
        </w:rPr>
      </w:pPr>
    </w:p>
    <w:p>
      <w:pPr>
        <w:ind w:left="-60" w:right="180" w:firstLine="464"/>
        <w:spacing w:after="0" w:line="312" w:lineRule="auto"/>
        <w:tabs>
          <w:tab w:leader="none" w:pos="611"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Liens on tangible property of a Person existing at the time such Person is acquired by the Borrower or a Subsidiary pursuant to an Acquisition permitted under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Arial" w:cs="Arial" w:eastAsia="Arial" w:hAnsi="Arial"/>
          <w:sz w:val="16"/>
          <w:szCs w:val="16"/>
          <w:u w:val="single" w:color="auto"/>
          <w:color w:val="auto"/>
        </w:rPr>
        <w:t>Section 7.02(l)</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700" w:hanging="296"/>
        <w:spacing w:after="0"/>
        <w:tabs>
          <w:tab w:leader="none" w:pos="7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other Liens securing Indebtedness permitted by </w:t>
      </w:r>
      <w:r>
        <w:rPr>
          <w:rFonts w:ascii="Arial" w:cs="Arial" w:eastAsia="Arial" w:hAnsi="Arial"/>
          <w:sz w:val="18"/>
          <w:szCs w:val="18"/>
          <w:u w:val="single" w:color="auto"/>
          <w:color w:val="auto"/>
        </w:rPr>
        <w:t>Section 7.02(m)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Collateral;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00"/>
          </w:cols>
          <w:pgMar w:left="300" w:top="274" w:right="299" w:bottom="1440" w:gutter="0" w:footer="0" w:header="0"/>
        </w:sectPr>
      </w:pPr>
    </w:p>
    <w:bookmarkStart w:id="291" w:name="page292"/>
    <w:bookmarkEnd w:id="291"/>
    <w:p>
      <w:pPr>
        <w:ind w:right="20" w:firstLine="464"/>
        <w:spacing w:after="0" w:line="293" w:lineRule="auto"/>
        <w:tabs>
          <w:tab w:leader="none" w:pos="711" w:val="left"/>
        </w:tabs>
        <w:numPr>
          <w:ilvl w:val="0"/>
          <w:numId w:val="3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non-consensual Liens not securing Indebtedness, (i) the amount of which does not exceed $7,500,000 in the aggregate, and (ii) the existence of which, either individually or in the aggregate, will not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permitted by this clause (n) is permitted only for so long as is reasonably necessary for the affected Loan Party or the affected Subsidiary, using its best efforts, to remove or eliminate such Lien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Lien not otherwise permitted by this clause (n)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for the avoidance of doubt, any Lien on a Sold Account;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granted pursuant to the Precious Metal Consignment Agreements so long as such Lien does not secure Indebtedness.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Create, incur, assume or have outstanding any Indebtedness of any kind;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apply to the following:</w:t>
      </w:r>
    </w:p>
    <w:p>
      <w:pPr>
        <w:spacing w:after="0" w:line="170" w:lineRule="exact"/>
        <w:rPr>
          <w:sz w:val="20"/>
          <w:szCs w:val="20"/>
          <w:color w:val="auto"/>
        </w:rPr>
      </w:pPr>
    </w:p>
    <w:p>
      <w:pPr>
        <w:ind w:left="700" w:hanging="236"/>
        <w:spacing w:after="0"/>
        <w:tabs>
          <w:tab w:leader="none" w:pos="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Loans and any other Obligation under this Agreement or under any other Loan Document;</w:t>
      </w:r>
    </w:p>
    <w:p>
      <w:pPr>
        <w:spacing w:after="0" w:line="225"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loans granted to or Indebtedness under Capitalized Leases entered into by the Borrower or any of its Subsidiaries for the purchase or lease of fixed assets and any Refinancing Indebtedness in respect thereof, which loans and Indebtedness under Capitalized Leases shall only be secured by the fixed assets being purchased or leased, so long as the aggregate principal amount of all such loans and Indebtedness under Capitalized Leases for the Borrower and all of its Subsidiaries shall not exceed $40,000,000 at any time outstanding;</w:t>
      </w:r>
    </w:p>
    <w:p>
      <w:pPr>
        <w:spacing w:after="0" w:line="186" w:lineRule="exact"/>
        <w:rPr>
          <w:rFonts w:ascii="Arial" w:cs="Arial" w:eastAsia="Arial" w:hAnsi="Arial"/>
          <w:sz w:val="18"/>
          <w:szCs w:val="18"/>
          <w:color w:val="auto"/>
        </w:rPr>
      </w:pPr>
    </w:p>
    <w:p>
      <w:pPr>
        <w:ind w:right="340" w:firstLine="464"/>
        <w:spacing w:after="0" w:line="277" w:lineRule="auto"/>
        <w:tabs>
          <w:tab w:leader="none" w:pos="70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the Indebtedness existing on the Closing Date, in addition to the other Indebtedness permitted to be incurred pursuant to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hereto and any Refinancing Indebtedness in respect thereof;</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loans to a Loan Party from another Loan Party;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loans to a Foreign Subsidiary from another Foreign Subsidiary;</w:t>
      </w:r>
    </w:p>
    <w:p>
      <w:pPr>
        <w:spacing w:after="0" w:line="225" w:lineRule="exact"/>
        <w:rPr>
          <w:rFonts w:ascii="Arial" w:cs="Arial" w:eastAsia="Arial" w:hAnsi="Arial"/>
          <w:sz w:val="18"/>
          <w:szCs w:val="18"/>
          <w:color w:val="auto"/>
        </w:rPr>
      </w:pPr>
    </w:p>
    <w:p>
      <w:pPr>
        <w:ind w:right="260" w:firstLine="464"/>
        <w:spacing w:after="0" w:line="277" w:lineRule="auto"/>
        <w:tabs>
          <w:tab w:leader="none" w:pos="68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Indebtedness under any Swap Contract, so long as such Swap Contract shall have been entered into in the ordinary course of business and not for speculative purposes;</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Permitted Foreign Subsidiary and other Loans and Investments, so long as (i) no Default shall exist immediately prior to or immediately after giving effect thereto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thereto (and to any Indebtedness incurred in connection therewith), the Borrower and its Subsidiaries shall be in compliance with the Pro Forma Leverage Test;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74" w:right="239" w:bottom="1440" w:gutter="0" w:footer="0" w:header="0"/>
        </w:sectPr>
      </w:pPr>
    </w:p>
    <w:bookmarkStart w:id="292" w:name="page293"/>
    <w:bookmarkEnd w:id="292"/>
    <w:p>
      <w:pPr>
        <w:ind w:right="560" w:firstLine="464"/>
        <w:spacing w:after="0" w:line="277" w:lineRule="auto"/>
        <w:tabs>
          <w:tab w:leader="none" w:pos="711"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incurred in connection with the financing of insurance premiums, in an aggregate amount not to exceed $5,000,000 at any time outstanding;</w:t>
      </w:r>
    </w:p>
    <w:p>
      <w:pPr>
        <w:spacing w:after="0" w:line="170" w:lineRule="exact"/>
        <w:rPr>
          <w:rFonts w:ascii="Arial" w:cs="Arial" w:eastAsia="Arial" w:hAnsi="Arial"/>
          <w:sz w:val="18"/>
          <w:szCs w:val="18"/>
          <w:color w:val="auto"/>
        </w:rPr>
      </w:pPr>
    </w:p>
    <w:p>
      <w:pPr>
        <w:ind w:right="100" w:firstLine="464"/>
        <w:spacing w:after="0" w:line="308" w:lineRule="auto"/>
        <w:tabs>
          <w:tab w:leader="none" w:pos="671" w:val="left"/>
        </w:tabs>
        <w:numPr>
          <w:ilvl w:val="0"/>
          <w:numId w:val="367"/>
        </w:numPr>
        <w:rPr>
          <w:rFonts w:ascii="Arial" w:cs="Arial" w:eastAsia="Arial" w:hAnsi="Arial"/>
          <w:sz w:val="17"/>
          <w:szCs w:val="17"/>
          <w:color w:val="auto"/>
        </w:rPr>
      </w:pPr>
      <w:r>
        <w:rPr>
          <w:rFonts w:ascii="Arial" w:cs="Arial" w:eastAsia="Arial" w:hAnsi="Arial"/>
          <w:sz w:val="17"/>
          <w:szCs w:val="17"/>
          <w:color w:val="auto"/>
        </w:rPr>
        <w:t>contingent obligations consisting of Guarantees executed by (i) any Loan Party with respect to Indebtedness otherwise permitted by this Agreement and (ii) any Foreign Subsidiary with respect to any Indebtedness of a Foreign Subsidiary otherwise permitted by this Agreement;</w:t>
      </w:r>
    </w:p>
    <w:p>
      <w:pPr>
        <w:spacing w:after="0" w:line="146" w:lineRule="exact"/>
        <w:rPr>
          <w:rFonts w:ascii="Arial" w:cs="Arial" w:eastAsia="Arial" w:hAnsi="Arial"/>
          <w:sz w:val="17"/>
          <w:szCs w:val="17"/>
          <w:color w:val="auto"/>
        </w:rPr>
      </w:pPr>
    </w:p>
    <w:p>
      <w:pPr>
        <w:ind w:right="600" w:firstLine="464"/>
        <w:spacing w:after="0" w:line="277" w:lineRule="auto"/>
        <w:tabs>
          <w:tab w:leader="none" w:pos="67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other unsecured Indebtedness (including unsecured Subordinated Indebtedness), in addition to the Indebtedness listed above, in an aggregate principal amount for the Borrower and all of its Subsidiaries not to exceed $25,000,000 at any time outstanding;</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unsecured Indebtedness evidenced by the New Notes (and any Refinancing Indebtedness in respect thereof) in an aggregate outstanding principal amount not to exceed $300,000,000;</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Indebtedness of any Person that becomes a Subsidiary of the Borrower after the date hereof pursuant to an Acquisition permitted under</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existing at the time such Person becomes a Subsidiary of the Borrower (other than Indebtedness incurred solely in contemplation of such Person’s becoming a Subsidiary of the Borrower) and (ii) the aggregate principal amount of such Indebtedness shall not exceed $25,000,000 at any time;</w:t>
      </w:r>
    </w:p>
    <w:p>
      <w:pPr>
        <w:spacing w:after="0" w:line="190" w:lineRule="exact"/>
        <w:rPr>
          <w:sz w:val="20"/>
          <w:szCs w:val="20"/>
          <w:color w:val="auto"/>
        </w:rPr>
      </w:pPr>
    </w:p>
    <w:p>
      <w:pPr>
        <w:ind w:right="280" w:firstLine="464"/>
        <w:spacing w:after="0" w:line="286" w:lineRule="auto"/>
        <w:tabs>
          <w:tab w:leader="none" w:pos="761"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other secured Indebtedness in an aggregate principal amount for the Borrower and all of its Subsidiaries not to exceed $25,000,000 at any time outstanding, so long as (i) no Default shall exist prior to or after giving effect thereto and (ii) after giving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thereto (and to any Indebtedness incurred in connection therewith), the Borrower and its Subsidiaries shall be in compliance with the Pro Forma Leverage Test;</w:t>
      </w:r>
    </w:p>
    <w:p>
      <w:pPr>
        <w:spacing w:after="0" w:line="165" w:lineRule="exact"/>
        <w:rPr>
          <w:rFonts w:ascii="Arial" w:cs="Arial" w:eastAsia="Arial" w:hAnsi="Arial"/>
          <w:sz w:val="17"/>
          <w:szCs w:val="17"/>
          <w:color w:val="auto"/>
        </w:rPr>
      </w:pPr>
    </w:p>
    <w:p>
      <w:pPr>
        <w:ind w:firstLine="464"/>
        <w:spacing w:after="0" w:line="271" w:lineRule="auto"/>
        <w:tabs>
          <w:tab w:leader="none" w:pos="711"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 (iii) landlords, licensors, licensees and other parties pursuant to agreements entered into in the ordinary course of business by the Borrower or any of its Subsidiaries, and (iv) other Persons under agreements relating to Acquisitions permitted under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the foregoing is only permitted to the extent that such indemnity obligation is not incurred in connection with the borrowing of money or the extension of credit; and</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for the avoidance of doubt, any Indebtedness under any Qualified Receivables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7.03 </w:t>
      </w:r>
      <w:r>
        <w:rPr>
          <w:rFonts w:ascii="Arial" w:cs="Arial" w:eastAsia="Arial" w:hAnsi="Arial"/>
          <w:sz w:val="18"/>
          <w:szCs w:val="18"/>
          <w:u w:val="single" w:color="auto"/>
          <w:color w:val="auto"/>
        </w:rPr>
        <w:t>Investments and Acquisitions</w:t>
      </w:r>
      <w:r>
        <w:rPr>
          <w:rFonts w:ascii="Arial" w:cs="Arial" w:eastAsia="Arial" w:hAnsi="Arial"/>
          <w:sz w:val="18"/>
          <w:szCs w:val="18"/>
          <w:color w:val="auto"/>
        </w:rPr>
        <w:t>.</w:t>
      </w:r>
    </w:p>
    <w:p>
      <w:pPr>
        <w:spacing w:after="0" w:line="225" w:lineRule="exact"/>
        <w:rPr>
          <w:sz w:val="20"/>
          <w:szCs w:val="20"/>
          <w:color w:val="auto"/>
        </w:rPr>
      </w:pPr>
    </w:p>
    <w:p>
      <w:pPr>
        <w:ind w:left="240" w:hanging="236"/>
        <w:spacing w:after="0"/>
        <w:tabs>
          <w:tab w:leader="none" w:pos="2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Make or hold any Investments (other than Investments pursuant to the Closing Date Acquisition), except:</w:t>
      </w:r>
    </w:p>
    <w:p>
      <w:pPr>
        <w:spacing w:after="0" w:line="117" w:lineRule="exact"/>
        <w:rPr>
          <w:rFonts w:ascii="Arial" w:cs="Arial" w:eastAsia="Arial" w:hAnsi="Arial"/>
          <w:sz w:val="18"/>
          <w:szCs w:val="18"/>
          <w:color w:val="auto"/>
        </w:rPr>
      </w:pPr>
    </w:p>
    <w:p>
      <w:pPr>
        <w:ind w:right="200" w:firstLine="443"/>
        <w:spacing w:after="0" w:line="277" w:lineRule="auto"/>
        <w:tabs>
          <w:tab w:leader="none" w:pos="65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62" w:lineRule="exact"/>
        <w:rPr>
          <w:rFonts w:ascii="Arial" w:cs="Arial" w:eastAsia="Arial" w:hAnsi="Arial"/>
          <w:sz w:val="18"/>
          <w:szCs w:val="18"/>
          <w:color w:val="auto"/>
        </w:rPr>
      </w:pPr>
    </w:p>
    <w:p>
      <w:pPr>
        <w:jc w:val="both"/>
        <w:ind w:right="20" w:firstLine="443"/>
        <w:spacing w:after="0" w:line="264" w:lineRule="auto"/>
        <w:tabs>
          <w:tab w:leader="none" w:pos="70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investment in (A) direct obligations of the United States or in certificates of deposit issued by a member bank (having capital resources in excess of $100,000,000) of the Federal Reserve System or (B) commercial paper or securities that at the time of such investment is assigned the highest quality rating in accordance with the rating systems employed by either Moody’s or S&amp;P;</w:t>
      </w:r>
    </w:p>
    <w:p>
      <w:pPr>
        <w:spacing w:after="0" w:line="73" w:lineRule="exact"/>
        <w:rPr>
          <w:rFonts w:ascii="Arial" w:cs="Arial" w:eastAsia="Arial" w:hAnsi="Arial"/>
          <w:sz w:val="18"/>
          <w:szCs w:val="18"/>
          <w:color w:val="auto"/>
        </w:rPr>
      </w:pPr>
    </w:p>
    <w:p>
      <w:pPr>
        <w:ind w:right="280" w:firstLine="443"/>
        <w:spacing w:after="0" w:line="312" w:lineRule="auto"/>
        <w:tabs>
          <w:tab w:leader="none" w:pos="753"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the holding of each of the Subsidiaries listed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20" w:firstLine="443"/>
        <w:spacing w:after="0" w:line="264" w:lineRule="auto"/>
        <w:tabs>
          <w:tab w:leader="none" w:pos="74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any Permitted Foreign Subsidiary and other Loans and Investments, so long as (A) no Default shall exist prior to or after giving effect thereto and (B)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investments or loans (and to any Indebtedness incurred in connection therewith), the Borrower and its Subsidiaries shall be in compliance with the Pro Forma Leverage Test;</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loans to, investments in, and Guarantees of Indebtedness of, the Borrower or any other Loan Party from or by another Loan Party;</w:t>
      </w:r>
    </w:p>
    <w:p>
      <w:pPr>
        <w:spacing w:after="0" w:line="128" w:lineRule="exact"/>
        <w:rPr>
          <w:rFonts w:ascii="Arial" w:cs="Arial" w:eastAsia="Arial" w:hAnsi="Arial"/>
          <w:sz w:val="17"/>
          <w:szCs w:val="17"/>
          <w:color w:val="auto"/>
        </w:rPr>
      </w:pPr>
    </w:p>
    <w:p>
      <w:pPr>
        <w:ind w:left="740" w:hanging="297"/>
        <w:spacing w:after="0"/>
        <w:tabs>
          <w:tab w:leader="none" w:pos="74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loans to, investments in, and Guarantees of Indebtedness of, a Foreign Subsidiary from or by a another Foreign Subsidiary;</w:t>
      </w:r>
    </w:p>
    <w:p>
      <w:pPr>
        <w:spacing w:after="0" w:line="117" w:lineRule="exact"/>
        <w:rPr>
          <w:rFonts w:ascii="Arial" w:cs="Arial" w:eastAsia="Arial" w:hAnsi="Arial"/>
          <w:sz w:val="18"/>
          <w:szCs w:val="18"/>
          <w:color w:val="auto"/>
        </w:rPr>
      </w:pPr>
    </w:p>
    <w:p>
      <w:pPr>
        <w:jc w:val="both"/>
        <w:ind w:right="60" w:firstLine="443"/>
        <w:spacing w:after="0" w:line="264" w:lineRule="auto"/>
        <w:tabs>
          <w:tab w:leader="none" w:pos="79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73" w:lineRule="exact"/>
        <w:rPr>
          <w:rFonts w:ascii="Arial" w:cs="Arial" w:eastAsia="Arial" w:hAnsi="Arial"/>
          <w:sz w:val="18"/>
          <w:szCs w:val="18"/>
          <w:color w:val="auto"/>
        </w:rPr>
      </w:pPr>
    </w:p>
    <w:p>
      <w:pPr>
        <w:ind w:left="840" w:hanging="397"/>
        <w:spacing w:after="0"/>
        <w:tabs>
          <w:tab w:leader="none" w:pos="84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the holding of any Equity Interests that has been acquired pursuant to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443"/>
        <w:spacing w:after="0" w:line="264" w:lineRule="auto"/>
        <w:tabs>
          <w:tab w:leader="none" w:pos="74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the creation of a Subsidiary for the purpose of making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or the holding of any Subsidiary as a result of an Acquisition made pursuant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so long as, in each case, if required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 such Subsidiary becomes a Guarantor promptly following such Acquisition;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0"/>
          </w:cols>
          <w:pgMar w:left="700" w:top="274" w:right="239" w:bottom="1440" w:gutter="0" w:footer="0" w:header="0"/>
        </w:sectPr>
      </w:pPr>
    </w:p>
    <w:bookmarkStart w:id="294" w:name="page295"/>
    <w:bookmarkEnd w:id="294"/>
    <w:p>
      <w:pPr>
        <w:ind w:left="460" w:right="20" w:firstLine="443"/>
        <w:spacing w:after="0" w:line="277" w:lineRule="auto"/>
        <w:tabs>
          <w:tab w:leader="none" w:pos="1153"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Investments existing on the Closing Date, in addition to the other Investments permitted to be incurred pursuant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20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Guarantees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00" w:firstLine="443"/>
        <w:spacing w:after="0" w:line="308" w:lineRule="auto"/>
        <w:tabs>
          <w:tab w:leader="none" w:pos="130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Investments in Wuxi Weitu Autocam Precision Machinery Components Co., Ltd., so long as (A) no Default has occurred and is continuing or would result therefrom and (B) the aggregate amount of such Investments outstanding at any time shall not exceed $10,000,000;</w:t>
      </w:r>
    </w:p>
    <w:p>
      <w:pPr>
        <w:spacing w:after="0" w:line="38" w:lineRule="exact"/>
        <w:rPr>
          <w:rFonts w:ascii="Arial" w:cs="Arial" w:eastAsia="Arial" w:hAnsi="Arial"/>
          <w:sz w:val="17"/>
          <w:szCs w:val="17"/>
          <w:color w:val="auto"/>
        </w:rPr>
      </w:pPr>
    </w:p>
    <w:p>
      <w:pPr>
        <w:ind w:left="460" w:right="80" w:firstLine="443"/>
        <w:spacing w:after="0" w:line="255" w:lineRule="auto"/>
        <w:tabs>
          <w:tab w:leader="none" w:pos="129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Investments not otherwise permitted by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so long as (A) no Default has occurred and is continuing or would result therefrom, (B) after giving effect thereto the aggregate amount of all Investments made pursuant to this clause (a)(xiv) and Restricted Payments made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 xml:space="preserve">, shall not exceed sum of (1) $25,000,000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Cumulative Retained Excess Cash Flow Amount, (C) the Administrative Agent shall have received the certificate required by </w:t>
      </w:r>
      <w:r>
        <w:rPr>
          <w:rFonts w:ascii="Arial" w:cs="Arial" w:eastAsia="Arial" w:hAnsi="Arial"/>
          <w:sz w:val="18"/>
          <w:szCs w:val="18"/>
          <w:u w:val="single" w:color="auto"/>
          <w:color w:val="auto"/>
        </w:rPr>
        <w:t>Section 6.02(n)</w:t>
      </w:r>
      <w:r>
        <w:rPr>
          <w:rFonts w:ascii="Arial" w:cs="Arial" w:eastAsia="Arial" w:hAnsi="Arial"/>
          <w:sz w:val="18"/>
          <w:szCs w:val="18"/>
          <w:color w:val="auto"/>
        </w:rPr>
        <w:t xml:space="preserve"> and (D)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Investment (and to any Indebtedness incurred in connection therewith), the Borrower and its Subsidiaries shall be in compliance with the Pro Forma Leverage Test; and</w:t>
      </w:r>
    </w:p>
    <w:p>
      <w:pPr>
        <w:spacing w:after="0" w:line="85" w:lineRule="exact"/>
        <w:rPr>
          <w:rFonts w:ascii="Arial" w:cs="Arial" w:eastAsia="Arial" w:hAnsi="Arial"/>
          <w:sz w:val="18"/>
          <w:szCs w:val="18"/>
          <w:color w:val="auto"/>
        </w:rPr>
      </w:pPr>
    </w:p>
    <w:p>
      <w:pPr>
        <w:jc w:val="both"/>
        <w:ind w:left="460" w:right="160" w:firstLine="443"/>
        <w:spacing w:after="0" w:line="259" w:lineRule="auto"/>
        <w:tabs>
          <w:tab w:leader="none" w:pos="124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the amount of any Investment in Equity Interests shall be based upon the initial amount invested and shall not include any appreciation in value or return on such investment.</w:t>
      </w:r>
    </w:p>
    <w:p>
      <w:pPr>
        <w:spacing w:after="0" w:line="170" w:lineRule="exact"/>
        <w:rPr>
          <w:sz w:val="20"/>
          <w:szCs w:val="20"/>
          <w:color w:val="auto"/>
        </w:rPr>
      </w:pPr>
    </w:p>
    <w:p>
      <w:pPr>
        <w:ind w:firstLine="464"/>
        <w:spacing w:after="0" w:line="264" w:lineRule="auto"/>
        <w:tabs>
          <w:tab w:leader="none" w:pos="71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Effect an Acquisition (other than the Closing Date Acquisition or any Acquisition permitted under </w:t>
      </w:r>
      <w:r>
        <w:rPr>
          <w:rFonts w:ascii="Arial" w:cs="Arial" w:eastAsia="Arial" w:hAnsi="Arial"/>
          <w:sz w:val="18"/>
          <w:szCs w:val="18"/>
          <w:u w:val="single" w:color="auto"/>
          <w:color w:val="auto"/>
        </w:rPr>
        <w:t>Sections 7.04(a)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shall exist prior to or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Indebtedness incurred in connection therewith), the Borrower and its Subsidiaries may make an Acquisition so long as: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the Borrower, the Borrower shall be the surviving entity;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295" w:name="page296"/>
    <w:bookmarkEnd w:id="295"/>
    <w:p>
      <w:pPr>
        <w:ind w:left="460" w:right="500" w:firstLine="443"/>
        <w:spacing w:after="0" w:line="277" w:lineRule="auto"/>
        <w:tabs>
          <w:tab w:leader="none" w:pos="1163"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merger, amalgamation or other combination including a Loan Party (other than the Borrower), a Loan Party shall be the surviving entity;</w:t>
      </w:r>
    </w:p>
    <w:p>
      <w:pPr>
        <w:spacing w:after="0" w:line="62" w:lineRule="exact"/>
        <w:rPr>
          <w:rFonts w:ascii="Arial" w:cs="Arial" w:eastAsia="Arial" w:hAnsi="Arial"/>
          <w:sz w:val="18"/>
          <w:szCs w:val="18"/>
          <w:color w:val="auto"/>
        </w:rPr>
      </w:pPr>
    </w:p>
    <w:p>
      <w:pPr>
        <w:ind w:left="460" w:right="720" w:firstLine="443"/>
        <w:spacing w:after="0" w:line="277" w:lineRule="auto"/>
        <w:tabs>
          <w:tab w:leader="none" w:pos="121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business to be acquired shall be similar to the lines of business of the Borrower and its Subsidiaries or reasonably related and/or complementary or ancillary to such lines of business and reasonable extensions and expansions thereof;</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Borrower and its Subsidiaries shall be in full compliance with the Loan Documents both prior to and subsequent to the transaction;</w:t>
      </w:r>
    </w:p>
    <w:p>
      <w:pPr>
        <w:spacing w:after="0" w:line="128" w:lineRule="exact"/>
        <w:rPr>
          <w:rFonts w:ascii="Arial" w:cs="Arial" w:eastAsia="Arial" w:hAnsi="Arial"/>
          <w:sz w:val="17"/>
          <w:szCs w:val="17"/>
          <w:color w:val="auto"/>
        </w:rPr>
      </w:pPr>
    </w:p>
    <w:p>
      <w:pPr>
        <w:ind w:left="460" w:right="380" w:firstLine="443"/>
        <w:spacing w:after="0" w:line="277" w:lineRule="auto"/>
        <w:tabs>
          <w:tab w:leader="none" w:pos="115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w:t>
      </w:r>
    </w:p>
    <w:p>
      <w:pPr>
        <w:spacing w:after="0" w:line="62" w:lineRule="exact"/>
        <w:rPr>
          <w:rFonts w:ascii="Arial" w:cs="Arial" w:eastAsia="Arial" w:hAnsi="Arial"/>
          <w:sz w:val="18"/>
          <w:szCs w:val="18"/>
          <w:color w:val="auto"/>
        </w:rPr>
      </w:pPr>
    </w:p>
    <w:p>
      <w:pPr>
        <w:ind w:left="460" w:right="80" w:firstLine="443"/>
        <w:spacing w:after="0" w:line="257" w:lineRule="auto"/>
        <w:tabs>
          <w:tab w:leader="none" w:pos="120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the aggregate Consideration for all Acquisitions by Foreign Subsidiaries, Acquisitions of Persons or Equity Interests of Persons that do not become Loan Parties (including by way of merger into a Loan Party) and Acquisitions of assets that are not included in the Collateral, shall not exceed $100,000,000 during the term of this Agreement and Borrower shall have delivered evidence demonstrating that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each such Acquisition described in this clause (vi) (and to any Indebtedness incurred, assumed or acquired in connection therewith), the Borrower and its Subsidiaries shall be in compliance with the Pro Forma Leverage Test; and</w:t>
      </w:r>
    </w:p>
    <w:p>
      <w:pPr>
        <w:spacing w:after="0" w:line="80" w:lineRule="exact"/>
        <w:rPr>
          <w:rFonts w:ascii="Arial" w:cs="Arial" w:eastAsia="Arial" w:hAnsi="Arial"/>
          <w:sz w:val="18"/>
          <w:szCs w:val="18"/>
          <w:color w:val="auto"/>
        </w:rPr>
      </w:pPr>
    </w:p>
    <w:p>
      <w:pPr>
        <w:ind w:left="460" w:right="160" w:firstLine="443"/>
        <w:spacing w:after="0" w:line="276" w:lineRule="auto"/>
        <w:tabs>
          <w:tab w:leader="none" w:pos="1253"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the Borrower and its Subsidiaries shall be in compliance with the Pro Forma Leverage Test, and if the aggregate Consideration for any Acquisition permitted under this clause (b) is greater than or equal to $15,000,000, the Borrower shall have provided to the Administrative Agent and the Lenders, at least five (5) days prior to such Acquisition, a certificate of a Financial Officer of the Borrower showing that, both before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Acquisition (and to any Indebtedness incurred, assumed or acquired in connection therewith), the Borrower and its Subsidiaries shall be in compliance with the Pro Forma Leverage Test.</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Dissolve, liquidate, merge, amalgamate or consolidate with or into any other Person, except that, if no Default shall then exist or immediately thereafter shall begin to exist:</w:t>
      </w:r>
    </w:p>
    <w:p>
      <w:pPr>
        <w:spacing w:after="0" w:line="170" w:lineRule="exact"/>
        <w:rPr>
          <w:sz w:val="20"/>
          <w:szCs w:val="20"/>
          <w:color w:val="auto"/>
        </w:rPr>
      </w:pPr>
    </w:p>
    <w:p>
      <w:pPr>
        <w:ind w:right="160" w:firstLine="464"/>
        <w:spacing w:after="0" w:line="277" w:lineRule="auto"/>
        <w:tabs>
          <w:tab w:leader="none" w:pos="70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Domestic Subsidiary may merge, amalgamate or consolidate with or into (i) the Borrower (provided that the Borrower shall be the continuing or surviving Person), or (ii) any one or more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Guarantor shall be the continuing or surviving Person);</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Domestic Subsidiary (other than a Loan Party) may merge, amalgamate or consolidate with or into any other Domestic Subsidiary (other than a Loan Party);</w:t>
      </w:r>
    </w:p>
    <w:p>
      <w:pPr>
        <w:spacing w:after="0" w:line="170" w:lineRule="exact"/>
        <w:rPr>
          <w:rFonts w:ascii="Arial" w:cs="Arial" w:eastAsia="Arial" w:hAnsi="Arial"/>
          <w:sz w:val="18"/>
          <w:szCs w:val="18"/>
          <w:color w:val="auto"/>
        </w:rPr>
      </w:pPr>
    </w:p>
    <w:p>
      <w:pPr>
        <w:jc w:val="both"/>
        <w:ind w:firstLine="464"/>
        <w:spacing w:after="0" w:line="342" w:lineRule="auto"/>
        <w:tabs>
          <w:tab w:leader="none" w:pos="701"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 Foreign Subsidiary may merge, amalgamate or consolidate with or into another Foreign Subsidiary or the Borrower or a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merger, amalgamation or consolidation involving the Borrower or a Guarantor, the Borrower or Guarantor shall be the continuing or surviving Person);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74" w:right="259" w:bottom="1440" w:gutter="0" w:footer="0" w:header="0"/>
        </w:sectPr>
      </w:pPr>
    </w:p>
    <w:bookmarkStart w:id="296" w:name="page297"/>
    <w:bookmarkEnd w:id="296"/>
    <w:p>
      <w:pPr>
        <w:ind w:right="20" w:firstLine="464"/>
        <w:spacing w:after="0" w:line="342" w:lineRule="auto"/>
        <w:tabs>
          <w:tab w:leader="none" w:pos="711" w:val="left"/>
        </w:tabs>
        <w:numPr>
          <w:ilvl w:val="0"/>
          <w:numId w:val="3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Acquisitions may be effected in accordance with the provisions of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hereof.</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 other than in the ordinary course of business, except that, if no Default shall then exist or immediately thereafter shall begin to exist:</w:t>
      </w:r>
    </w:p>
    <w:p>
      <w:pPr>
        <w:spacing w:after="0" w:line="170" w:lineRule="exact"/>
        <w:rPr>
          <w:sz w:val="20"/>
          <w:szCs w:val="20"/>
          <w:color w:val="auto"/>
        </w:rPr>
      </w:pPr>
    </w:p>
    <w:p>
      <w:pPr>
        <w:ind w:left="700" w:hanging="236"/>
        <w:spacing w:after="0"/>
        <w:tabs>
          <w:tab w:leader="none" w:pos="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Loan Party may sell, lease, transfer or otherwise dispose of any of its assets to any other Loan Party;</w:t>
      </w:r>
    </w:p>
    <w:p>
      <w:pPr>
        <w:spacing w:after="0" w:line="225" w:lineRule="exact"/>
        <w:rPr>
          <w:rFonts w:ascii="Arial" w:cs="Arial" w:eastAsia="Arial" w:hAnsi="Arial"/>
          <w:sz w:val="18"/>
          <w:szCs w:val="18"/>
          <w:color w:val="auto"/>
        </w:rPr>
      </w:pPr>
    </w:p>
    <w:p>
      <w:pPr>
        <w:ind w:right="300" w:firstLine="464"/>
        <w:spacing w:after="0" w:line="277" w:lineRule="auto"/>
        <w:tabs>
          <w:tab w:leader="none" w:pos="711"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Borrower and its Subsidiaries may Dispose of any assets, so long as the aggregate amount of all such Dispositions, for the Borrower and its Subsidiaries, shall not exceed $15,000,000 per fiscal year of the Borrower;</w:t>
      </w:r>
    </w:p>
    <w:p>
      <w:pPr>
        <w:spacing w:after="0" w:line="170" w:lineRule="exact"/>
        <w:rPr>
          <w:rFonts w:ascii="Arial" w:cs="Arial" w:eastAsia="Arial" w:hAnsi="Arial"/>
          <w:sz w:val="18"/>
          <w:szCs w:val="18"/>
          <w:color w:val="auto"/>
        </w:rPr>
      </w:pPr>
    </w:p>
    <w:p>
      <w:pPr>
        <w:ind w:right="80" w:firstLine="464"/>
        <w:spacing w:after="0" w:line="264" w:lineRule="auto"/>
        <w:tabs>
          <w:tab w:leader="none" w:pos="701"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a Domestic Subsidiary (other than a Loan Party) may Dispose of any of its assets to the Borrower or any other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 to a Loan Party such Disposition shall not be for more than the fair market value of the assets which are the subject of such Disposition;</w:t>
      </w:r>
    </w:p>
    <w:p>
      <w:pPr>
        <w:spacing w:after="0" w:line="181" w:lineRule="exact"/>
        <w:rPr>
          <w:rFonts w:ascii="Arial" w:cs="Arial" w:eastAsia="Arial" w:hAnsi="Arial"/>
          <w:sz w:val="18"/>
          <w:szCs w:val="18"/>
          <w:color w:val="auto"/>
        </w:rPr>
      </w:pPr>
    </w:p>
    <w:p>
      <w:pPr>
        <w:ind w:right="120" w:firstLine="464"/>
        <w:spacing w:after="0" w:line="277" w:lineRule="auto"/>
        <w:tabs>
          <w:tab w:leader="none" w:pos="711"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a Foreign Subsidiary may Dispose of any of its assets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shall not be for more than the fair market value of the assets which are the subject of such Disposition;</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6" w:lineRule="auto"/>
        <w:tabs>
          <w:tab w:leader="none" w:pos="681" w:val="left"/>
        </w:tabs>
        <w:numPr>
          <w:ilvl w:val="1"/>
          <w:numId w:val="375"/>
        </w:numPr>
        <w:rPr>
          <w:rFonts w:ascii="Arial" w:cs="Arial" w:eastAsia="Arial" w:hAnsi="Arial"/>
          <w:sz w:val="17"/>
          <w:szCs w:val="17"/>
          <w:color w:val="auto"/>
        </w:rPr>
      </w:pPr>
      <w:r>
        <w:rPr>
          <w:rFonts w:ascii="Arial" w:cs="Arial" w:eastAsia="Arial" w:hAnsi="Arial"/>
          <w:sz w:val="17"/>
          <w:szCs w:val="17"/>
          <w:color w:val="auto"/>
        </w:rPr>
        <w:t xml:space="preserve">the Borrower and its Subsidiaries may sell, transfer or otherwise dispose of fixed assets in the ordinary course of business for the purpose of replacing such fixed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fixed assets are replaced within one hundred eighty (180) days of such sale or other disposition with other fixed assets which have a fair market value not materially less than the fair market value of the fixed assets sold or otherwise disposed;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Foreign Subsidiary may Dispose of any of its assets to any other Foreign Subsidiary;</w:t>
      </w:r>
    </w:p>
    <w:p>
      <w:pPr>
        <w:spacing w:after="0" w:line="225" w:lineRule="exact"/>
        <w:rPr>
          <w:rFonts w:ascii="Arial" w:cs="Arial" w:eastAsia="Arial" w:hAnsi="Arial"/>
          <w:sz w:val="18"/>
          <w:szCs w:val="18"/>
          <w:color w:val="auto"/>
        </w:rPr>
      </w:pPr>
    </w:p>
    <w:p>
      <w:pPr>
        <w:ind w:right="520" w:firstLine="464"/>
        <w:spacing w:after="0" w:line="342" w:lineRule="auto"/>
        <w:tabs>
          <w:tab w:leader="none" w:pos="711"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Disposition of owned real property (and related furniture, fixtures and equipment) in connection with a sale leaseback transaction with a Governmental Authority with respect to such owned real property, so long as the amount of such Disposition does not exceed $10,000,000;</w:t>
      </w:r>
    </w:p>
    <w:p>
      <w:pPr>
        <w:spacing w:after="0" w:line="123" w:lineRule="exact"/>
        <w:rPr>
          <w:rFonts w:ascii="Arial" w:cs="Arial" w:eastAsia="Arial" w:hAnsi="Arial"/>
          <w:sz w:val="16"/>
          <w:szCs w:val="16"/>
          <w:color w:val="auto"/>
        </w:rPr>
      </w:pPr>
    </w:p>
    <w:p>
      <w:pPr>
        <w:ind w:left="680" w:hanging="216"/>
        <w:spacing w:after="0"/>
        <w:tabs>
          <w:tab w:leader="none" w:pos="68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Disposition of any Immaterial Subsidiary or any other Subsidiary identified to the Administrative Agent prior to the Closing Date, so long as</w:t>
      </w:r>
    </w:p>
    <w:p>
      <w:pPr>
        <w:spacing w:after="0" w:line="46" w:lineRule="exact"/>
        <w:rPr>
          <w:rFonts w:ascii="Arial" w:cs="Arial" w:eastAsia="Arial" w:hAnsi="Arial"/>
          <w:sz w:val="16"/>
          <w:szCs w:val="16"/>
          <w:color w:val="auto"/>
        </w:rPr>
      </w:pPr>
    </w:p>
    <w:p>
      <w:pPr>
        <w:ind w:right="400" w:firstLine="8"/>
        <w:spacing w:after="0" w:line="261" w:lineRule="auto"/>
        <w:tabs>
          <w:tab w:leader="none" w:pos="21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consideration received for the assets to be so disposed is at least equal to the fair market value of such assets and for at least 75% cash and (ii) no Default or Event of Default is occurring and continuing at the time of such Disposition; and</w:t>
      </w:r>
    </w:p>
    <w:p>
      <w:pPr>
        <w:spacing w:after="0" w:line="183" w:lineRule="exact"/>
        <w:rPr>
          <w:rFonts w:ascii="Arial" w:cs="Arial" w:eastAsia="Arial" w:hAnsi="Arial"/>
          <w:sz w:val="18"/>
          <w:szCs w:val="18"/>
          <w:color w:val="auto"/>
        </w:rPr>
      </w:pPr>
    </w:p>
    <w:p>
      <w:pPr>
        <w:ind w:left="680" w:hanging="216"/>
        <w:spacing w:after="0"/>
        <w:tabs>
          <w:tab w:leader="none" w:pos="6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Dispositions of Receivables in connection with any Qualified Receivables Transaction.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274" w:right="339" w:bottom="1440" w:gutter="0" w:footer="0" w:header="0"/>
        </w:sectPr>
      </w:pPr>
    </w:p>
    <w:bookmarkStart w:id="297" w:name="page298"/>
    <w:bookmarkEnd w:id="29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Make or commit itself to make or declare any Restricted Payment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ind w:left="-8" w:right="140" w:firstLine="464"/>
        <w:spacing w:after="0" w:line="264" w:lineRule="auto"/>
        <w:tabs>
          <w:tab w:leader="none" w:pos="693"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181" w:lineRule="exact"/>
        <w:rPr>
          <w:rFonts w:ascii="Arial" w:cs="Arial" w:eastAsia="Arial" w:hAnsi="Arial"/>
          <w:sz w:val="18"/>
          <w:szCs w:val="18"/>
          <w:color w:val="auto"/>
        </w:rPr>
      </w:pPr>
    </w:p>
    <w:p>
      <w:pPr>
        <w:ind w:left="-8" w:right="320" w:firstLine="464"/>
        <w:spacing w:after="0" w:line="264" w:lineRule="auto"/>
        <w:tabs>
          <w:tab w:leader="none" w:pos="703" w:val="left"/>
        </w:tabs>
        <w:numPr>
          <w:ilvl w:val="1"/>
          <w:numId w:val="377"/>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or would result therefrom, the Borrower and its Subsidiaries may make payment of current interest, expenses and indemnities in respect of Subordinated Indebtedness (other than any such payments prohibited by the subordination provisions applicable thereto);</w:t>
      </w:r>
    </w:p>
    <w:p>
      <w:pPr>
        <w:spacing w:after="0" w:line="181" w:lineRule="exact"/>
        <w:rPr>
          <w:rFonts w:ascii="Arial" w:cs="Arial" w:eastAsia="Arial" w:hAnsi="Arial"/>
          <w:sz w:val="18"/>
          <w:szCs w:val="18"/>
          <w:color w:val="auto"/>
        </w:rPr>
      </w:pPr>
    </w:p>
    <w:p>
      <w:pPr>
        <w:ind w:left="-8" w:right="580" w:firstLine="464"/>
        <w:spacing w:after="0" w:line="277" w:lineRule="auto"/>
        <w:tabs>
          <w:tab w:leader="none" w:pos="693"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Borrower and each Subsidiary may make Restricted Payments with the proceeds received from the substantially concurrent issue of new common Equity Interests;</w:t>
      </w:r>
    </w:p>
    <w:p>
      <w:pPr>
        <w:spacing w:after="0" w:line="170" w:lineRule="exact"/>
        <w:rPr>
          <w:rFonts w:ascii="Arial" w:cs="Arial" w:eastAsia="Arial" w:hAnsi="Arial"/>
          <w:sz w:val="18"/>
          <w:szCs w:val="18"/>
          <w:color w:val="auto"/>
        </w:rPr>
      </w:pPr>
    </w:p>
    <w:p>
      <w:pPr>
        <w:ind w:left="-8" w:firstLine="464"/>
        <w:spacing w:after="0" w:line="288" w:lineRule="auto"/>
        <w:tabs>
          <w:tab w:leader="none" w:pos="703"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the Borrower and its Subsidiaries may make Restricted Payments not otherwise permitted by this Section, so long as (i) no Default has occurred and is continuing or would result therefrom, (ii) after giving effect thereto the aggregate amount of all Restricted Payments made pursuant to this clause (d) and Investments made pursuant to </w:t>
      </w: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shall not exceed sum of (1) $25,000,000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Cumulative Retained Excess Cash Flow Amount,</w:t>
      </w:r>
    </w:p>
    <w:p>
      <w:pPr>
        <w:ind w:left="-8" w:right="60" w:firstLine="8"/>
        <w:spacing w:after="0" w:line="323" w:lineRule="auto"/>
        <w:tabs>
          <w:tab w:leader="none" w:pos="307"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the certificate required by </w:t>
      </w:r>
      <w:r>
        <w:rPr>
          <w:rFonts w:ascii="Arial" w:cs="Arial" w:eastAsia="Arial" w:hAnsi="Arial"/>
          <w:sz w:val="16"/>
          <w:szCs w:val="16"/>
          <w:u w:val="single" w:color="auto"/>
          <w:color w:val="auto"/>
        </w:rPr>
        <w:t>Section 6.02(n)</w:t>
      </w:r>
      <w:r>
        <w:rPr>
          <w:rFonts w:ascii="Arial" w:cs="Arial" w:eastAsia="Arial" w:hAnsi="Arial"/>
          <w:sz w:val="16"/>
          <w:szCs w:val="16"/>
          <w:color w:val="auto"/>
        </w:rPr>
        <w:t xml:space="preserve"> and (iv) after giving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effect to such Restricted Payment (and to any Indebtedness incurred in connection therewith), the Borrower and its Subsidiaries shall be in compliance with the Pro Forma Leverage Test;</w:t>
      </w:r>
    </w:p>
    <w:p>
      <w:pPr>
        <w:spacing w:after="0" w:line="138" w:lineRule="exact"/>
        <w:rPr>
          <w:rFonts w:ascii="Arial" w:cs="Arial" w:eastAsia="Arial" w:hAnsi="Arial"/>
          <w:sz w:val="16"/>
          <w:szCs w:val="16"/>
          <w:color w:val="auto"/>
        </w:rPr>
      </w:pPr>
    </w:p>
    <w:p>
      <w:pPr>
        <w:ind w:left="-8" w:right="140" w:firstLine="464"/>
        <w:spacing w:after="0" w:line="264" w:lineRule="auto"/>
        <w:tabs>
          <w:tab w:leader="none" w:pos="69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the Borrower may make Capital Distributions, consistent with its past practice, in the form of dividends to shareholders of Equity Interests in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of all such Capital Distributions shall not exceed $2,500,000 per fiscal quarter of the Borrower; and (ii) no Default shall have occurred and be continuing or would result from any such Capital Distribution;</w:t>
      </w:r>
    </w:p>
    <w:p>
      <w:pPr>
        <w:spacing w:after="0" w:line="181" w:lineRule="exact"/>
        <w:rPr>
          <w:rFonts w:ascii="Arial" w:cs="Arial" w:eastAsia="Arial" w:hAnsi="Arial"/>
          <w:sz w:val="18"/>
          <w:szCs w:val="18"/>
          <w:color w:val="auto"/>
        </w:rPr>
      </w:pPr>
    </w:p>
    <w:p>
      <w:pPr>
        <w:ind w:left="-8" w:right="140" w:firstLine="464"/>
        <w:spacing w:after="0" w:line="277" w:lineRule="auto"/>
        <w:tabs>
          <w:tab w:leader="none" w:pos="67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Borrower and its Subsidiaries may make Restricted Payments constituting a prepayment of Indebtedness in connection with the Refinancing of such Indebtedness;</w:t>
      </w:r>
    </w:p>
    <w:p>
      <w:pPr>
        <w:spacing w:after="0" w:line="170" w:lineRule="exact"/>
        <w:rPr>
          <w:rFonts w:ascii="Arial" w:cs="Arial" w:eastAsia="Arial" w:hAnsi="Arial"/>
          <w:sz w:val="18"/>
          <w:szCs w:val="18"/>
          <w:color w:val="auto"/>
        </w:rPr>
      </w:pPr>
    </w:p>
    <w:p>
      <w:pPr>
        <w:ind w:left="-8" w:right="160" w:firstLine="464"/>
        <w:spacing w:after="0" w:line="277" w:lineRule="auto"/>
        <w:tabs>
          <w:tab w:leader="none" w:pos="70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so long as no Default has occurred and is continuing or would result therefrom, each of Autocam do Brasil Usinagem, LTDA, Bouverat Industries S.A.S., and Autocam France, SARL may at any time repay its respective Indebtedness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Borrower and its Subsidiaries may make payment of current interest, expenses and indemnities in respect of the New Notes; and</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92"/>
          </w:cols>
          <w:pgMar w:left="248" w:top="274" w:right="259" w:bottom="1440" w:gutter="0" w:footer="0" w:header="0"/>
        </w:sectPr>
      </w:pPr>
    </w:p>
    <w:bookmarkStart w:id="298" w:name="page299"/>
    <w:bookmarkEnd w:id="298"/>
    <w:p>
      <w:pPr>
        <w:ind w:left="680" w:hanging="216"/>
        <w:spacing w:after="0"/>
        <w:tabs>
          <w:tab w:leader="none" w:pos="680" w:val="left"/>
        </w:tabs>
        <w:numPr>
          <w:ilvl w:val="1"/>
          <w:numId w:val="3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and its Subsidiaries may make Restricted Payments with respect to the New Notes not otherwise permitted by this Section, so long as</w:t>
      </w:r>
    </w:p>
    <w:p>
      <w:pPr>
        <w:spacing w:after="0" w:line="46" w:lineRule="exact"/>
        <w:rPr>
          <w:rFonts w:ascii="Arial" w:cs="Arial" w:eastAsia="Arial" w:hAnsi="Arial"/>
          <w:sz w:val="16"/>
          <w:szCs w:val="16"/>
          <w:color w:val="auto"/>
        </w:rPr>
      </w:pPr>
    </w:p>
    <w:p>
      <w:pPr>
        <w:ind w:right="120" w:firstLine="8"/>
        <w:spacing w:after="0" w:line="253" w:lineRule="auto"/>
        <w:tabs>
          <w:tab w:leader="none" w:pos="21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no Default has occurred and is continuing or would result therefrom,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Restricted Payment (and to any Indebtedness incurred in connection therewith), the Consolidated Secured Leverage Ratio of Borrower and its Subsidiaries shall be equal to or less than 2.00 to 1.00, determined based on the financial information received for the fiscal quarter (or fiscal year, as applicable) most recently ended prior to such date for which financial statements have been delivered to the Administrative Agent pursuant to </w:t>
      </w:r>
      <w:r>
        <w:rPr>
          <w:rFonts w:ascii="Arial" w:cs="Arial" w:eastAsia="Arial" w:hAnsi="Arial"/>
          <w:sz w:val="18"/>
          <w:szCs w:val="18"/>
          <w:u w:val="single" w:color="auto"/>
          <w:color w:val="auto"/>
        </w:rPr>
        <w:t>Section 4.01(a)(x)</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as applicable, after giving effect to such Restricted Payments.</w:t>
      </w:r>
    </w:p>
    <w:p>
      <w:pPr>
        <w:spacing w:after="0" w:line="19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24"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7.08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the payment of customary and reasonable directors’ fees to directors who are not employees of the Borrower or any Subsidiary or an Affiliate.</w:t>
      </w:r>
    </w:p>
    <w:p>
      <w:pPr>
        <w:spacing w:after="0" w:line="15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7.09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w:t>
      </w:r>
    </w:p>
    <w:p>
      <w:pPr>
        <w:spacing w:after="0" w:line="2" w:lineRule="exact"/>
        <w:rPr>
          <w:sz w:val="20"/>
          <w:szCs w:val="20"/>
          <w:color w:val="auto"/>
        </w:rPr>
      </w:pPr>
    </w:p>
    <w:p>
      <w:pPr>
        <w:ind w:left="280" w:hanging="272"/>
        <w:spacing w:after="0"/>
        <w:tabs>
          <w:tab w:leader="none" w:pos="28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customary non-assignment provisions in leases or other agreements entered in the ordinary course of business and consistent with past practices,</w:t>
      </w:r>
    </w:p>
    <w:p>
      <w:pPr>
        <w:spacing w:after="0" w:line="20" w:lineRule="exact"/>
        <w:rPr>
          <w:rFonts w:ascii="Arial" w:cs="Arial" w:eastAsia="Arial" w:hAnsi="Arial"/>
          <w:sz w:val="17"/>
          <w:szCs w:val="17"/>
          <w:color w:val="auto"/>
        </w:rPr>
      </w:pPr>
    </w:p>
    <w:p>
      <w:pPr>
        <w:ind w:right="40" w:firstLine="8"/>
        <w:spacing w:after="0" w:line="254" w:lineRule="auto"/>
        <w:tabs>
          <w:tab w:leader="none" w:pos="31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documents or instruments governing the New Notes or any permitted Refinancing Indebtedness in respect thereof or (iv) customary restrictions in agreements in connection with Qualified Receivables Transactions, consignment agreements, security agreements or mortgages permitted hereunder securing Indebtedness or Capitalized Leases permitted hereunder, of a Subsidiary to the extent such restrictions shall only restrict the transfer of the property subject to such security agreement, mortgage or lease.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Directly or indirectly, and whether immediately, incidentally or ultimately:</w:t>
      </w:r>
    </w:p>
    <w:p>
      <w:pPr>
        <w:spacing w:after="0" w:line="225" w:lineRule="exact"/>
        <w:rPr>
          <w:sz w:val="20"/>
          <w:szCs w:val="20"/>
          <w:color w:val="auto"/>
        </w:rPr>
      </w:pPr>
    </w:p>
    <w:p>
      <w:pPr>
        <w:ind w:right="60" w:firstLine="464"/>
        <w:spacing w:after="0" w:line="277" w:lineRule="auto"/>
        <w:tabs>
          <w:tab w:leader="none" w:pos="70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use the proceeds of any Borrowing, or lend, contribute or otherwise make available such proceeds to any Subsidiary, joint venture partner or other individual or entity,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299" w:name="page300"/>
    <w:bookmarkEnd w:id="299"/>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use the proceeds of any Borrowing for any purpose which would breach any Anti-Corruption Laws.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Amendments of Organization Documents</w:t>
      </w:r>
      <w:r>
        <w:rPr>
          <w:rFonts w:ascii="Arial" w:cs="Arial" w:eastAsia="Arial" w:hAnsi="Arial"/>
          <w:sz w:val="18"/>
          <w:szCs w:val="18"/>
          <w:color w:val="auto"/>
        </w:rPr>
        <w:t>. Amend its Organization Documents to change its name or state, province or other jurisdiction of organization, or otherwise amend its Organization Documents in a manner adverse to the Lenders, without the prior written consent of the Administrative Agent which consent shall not be unreasonably withheld.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Accounting Changes</w:t>
      </w:r>
      <w:r>
        <w:rPr>
          <w:rFonts w:ascii="Arial" w:cs="Arial" w:eastAsia="Arial" w:hAnsi="Arial"/>
          <w:sz w:val="17"/>
          <w:szCs w:val="17"/>
          <w:color w:val="auto"/>
        </w:rPr>
        <w:t>. Make any change in (a) accounting policies or reporting practices, except as required by GAAP, or (b) fiscal year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Sanctions; FCPA</w:t>
      </w:r>
      <w:r>
        <w:rPr>
          <w:rFonts w:ascii="Arial" w:cs="Arial" w:eastAsia="Arial" w:hAnsi="Arial"/>
          <w:sz w:val="16"/>
          <w:szCs w:val="16"/>
          <w:color w:val="auto"/>
        </w:rPr>
        <w:t>. Directly or indirectly, use the proceeds of any Credit Extension, or lend, contribute or otherwise make available such proceeds:</w:t>
      </w:r>
    </w:p>
    <w:p>
      <w:pPr>
        <w:spacing w:after="0" w:line="248" w:lineRule="exact"/>
        <w:rPr>
          <w:sz w:val="20"/>
          <w:szCs w:val="20"/>
          <w:color w:val="auto"/>
        </w:rPr>
      </w:pPr>
    </w:p>
    <w:p>
      <w:pPr>
        <w:ind w:right="60" w:firstLine="464"/>
        <w:spacing w:after="0" w:line="259" w:lineRule="auto"/>
        <w:tabs>
          <w:tab w:leader="none" w:pos="70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 or</w:t>
      </w:r>
    </w:p>
    <w:p>
      <w:pPr>
        <w:spacing w:after="0" w:line="186"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the Consolidated Net Leverage Ratio set forth in the applicable fiscal quarter below if the Aggregate Revolving Credit Exposure (excluding any Revolving Credit Exposure in respect of any Letter of Credit (a) which has been cash collateralized in an amount equal to 103% or more of the maximum stated amount of such Letter of Credit or (b) which remains undrawn, provided that the Revolving Credit Exposure in respect of any such Letters of Credit shall only be excluded to the extent the aggregate Revolving Credit Exposure of all such Letters of Credit excluded pursuant to this clause (b) does not exceed $5,000,000) outstanding as of the last day of such fiscal quarter exceeds an amount equal to 30% of the aggregate Revolving Credit Commitments as of such day.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300" w:name="page301"/>
    <w:bookmarkEnd w:id="300"/>
    <w:tbl>
      <w:tblPr>
        <w:tblLayout w:type="fixed"/>
        <w:tblInd w:w="18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Fiscal Quarter</w:t>
            </w:r>
          </w:p>
        </w:tc>
        <w:tc>
          <w:tcPr>
            <w:tcW w:w="4240" w:type="dxa"/>
            <w:vAlign w:val="bottom"/>
          </w:tcPr>
          <w:p>
            <w:pPr>
              <w:spacing w:after="0"/>
              <w:rPr>
                <w:sz w:val="16"/>
                <w:szCs w:val="16"/>
                <w:color w:val="auto"/>
              </w:rPr>
            </w:pPr>
          </w:p>
        </w:tc>
        <w:tc>
          <w:tcPr>
            <w:tcW w:w="2700" w:type="dxa"/>
            <w:vAlign w:val="bottom"/>
            <w:gridSpan w:val="2"/>
          </w:tcPr>
          <w:p>
            <w:pPr>
              <w:jc w:val="center"/>
              <w:ind w:left="668"/>
              <w:spacing w:after="0"/>
              <w:rPr>
                <w:sz w:val="20"/>
                <w:szCs w:val="20"/>
                <w:color w:val="auto"/>
              </w:rPr>
            </w:pPr>
            <w:r>
              <w:rPr>
                <w:rFonts w:ascii="Arial" w:cs="Arial" w:eastAsia="Arial" w:hAnsi="Arial"/>
                <w:sz w:val="14"/>
                <w:szCs w:val="14"/>
                <w:color w:val="auto"/>
                <w:w w:val="93"/>
              </w:rPr>
              <w:t>Consolidated Net Leverage Ratio</w:t>
            </w:r>
          </w:p>
        </w:tc>
      </w:tr>
      <w:tr>
        <w:trPr>
          <w:trHeight w:val="175"/>
        </w:trPr>
        <w:tc>
          <w:tcPr>
            <w:tcW w:w="50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September 30, 2015; December 31, 2015; March 31,</w:t>
            </w:r>
          </w:p>
        </w:tc>
        <w:tc>
          <w:tcPr>
            <w:tcW w:w="76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r>
      <w:tr>
        <w:trPr>
          <w:trHeight w:val="21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2016; June 30, 2016; September 30, 2016; December 31,</w:t>
            </w:r>
          </w:p>
        </w:tc>
        <w:tc>
          <w:tcPr>
            <w:tcW w:w="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4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r>
      <w:tr>
        <w:trPr>
          <w:trHeight w:val="202"/>
        </w:trPr>
        <w:tc>
          <w:tcPr>
            <w:tcW w:w="5060" w:type="dxa"/>
            <w:vAlign w:val="bottom"/>
            <w:gridSpan w:val="2"/>
          </w:tcPr>
          <w:p>
            <w:pPr>
              <w:spacing w:after="0" w:line="201" w:lineRule="exact"/>
              <w:rPr>
                <w:sz w:val="20"/>
                <w:szCs w:val="20"/>
                <w:color w:val="auto"/>
              </w:rPr>
            </w:pPr>
            <w:r>
              <w:rPr>
                <w:rFonts w:ascii="Arial" w:cs="Arial" w:eastAsia="Arial" w:hAnsi="Arial"/>
                <w:sz w:val="18"/>
                <w:szCs w:val="18"/>
                <w:color w:val="auto"/>
              </w:rPr>
              <w:t>March 31, 2017; June 30, 2017; September 30,</w:t>
            </w: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2017; December 31, 2017</w:t>
            </w:r>
          </w:p>
        </w:tc>
        <w:tc>
          <w:tcPr>
            <w:tcW w:w="7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02"/>
        </w:trPr>
        <w:tc>
          <w:tcPr>
            <w:tcW w:w="5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2018; June 30, 2018; September 30,</w:t>
            </w:r>
          </w:p>
        </w:tc>
        <w:tc>
          <w:tcPr>
            <w:tcW w:w="7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2018; December 31, 2018</w:t>
            </w:r>
          </w:p>
        </w:tc>
        <w:tc>
          <w:tcPr>
            <w:tcW w:w="76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March 31, 2019 and each fiscal quarter thereafter</w:t>
            </w:r>
          </w:p>
        </w:tc>
        <w:tc>
          <w:tcPr>
            <w:tcW w:w="7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64" w:lineRule="auto"/>
        <w:rPr>
          <w:sz w:val="20"/>
          <w:szCs w:val="20"/>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7.14, and the definition of the term “Consolidated Net Leverage Ratio” and its constituent parts, in each case as used for purposes of this </w:t>
      </w:r>
      <w:r>
        <w:rPr>
          <w:rFonts w:ascii="Arial" w:cs="Arial" w:eastAsia="Arial" w:hAnsi="Arial"/>
          <w:sz w:val="18"/>
          <w:szCs w:val="18"/>
          <w:u w:val="single" w:color="auto"/>
          <w:color w:val="auto"/>
        </w:rPr>
        <w:t>Section 7.14</w:t>
      </w:r>
      <w:r>
        <w:rPr>
          <w:rFonts w:ascii="Arial" w:cs="Arial" w:eastAsia="Arial" w:hAnsi="Arial"/>
          <w:sz w:val="18"/>
          <w:szCs w:val="18"/>
          <w:color w:val="auto"/>
        </w:rPr>
        <w:t>, may only be amended, waived or otherwise modified with the prior written consent of the Required Revolving Lenders.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Restrictions Pertaining to Certain Indebtedness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9" w:lineRule="auto"/>
        <w:tabs>
          <w:tab w:leader="none" w:pos="701"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Permit any supplement, modification or amendment of the New Notes Documents if the effect of such supplement, modification or amendment as a whole would materially increase the obligations (including, without limitation, the pricing thereof) of the obligor or confer additional material rights on the holders of the Indebtedness outstanding thereunder in a manner that would be, or could reasonably be expected to be, materially detrimental to the Borrower or materially adverse to the interests of the Lenders, as determined in good faith by the Borrower.</w:t>
      </w:r>
    </w:p>
    <w:p>
      <w:pPr>
        <w:spacing w:after="0" w:line="171" w:lineRule="exact"/>
        <w:rPr>
          <w:rFonts w:ascii="Arial" w:cs="Arial" w:eastAsia="Arial" w:hAnsi="Arial"/>
          <w:sz w:val="17"/>
          <w:szCs w:val="17"/>
          <w:color w:val="auto"/>
        </w:rPr>
      </w:pPr>
    </w:p>
    <w:p>
      <w:pPr>
        <w:ind w:firstLine="464"/>
        <w:spacing w:after="0" w:line="259" w:lineRule="auto"/>
        <w:tabs>
          <w:tab w:leader="none" w:pos="71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Permit any supplement, modification or amendment in any manner of any term or condition of any Material Indebtedness Agreement, any Indebtedness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or any Indebtedness that is expressly subordinated in payment to the Obligations, except for (i) any permitted Refinancing Indebtedness thereof or (ii) amendments, modifications or changes that would not reasonably be expected to be materially adverse to the interests of the Lenders.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New Notes</w:t>
      </w:r>
      <w:r>
        <w:rPr>
          <w:rFonts w:ascii="Arial" w:cs="Arial" w:eastAsia="Arial" w:hAnsi="Arial"/>
          <w:sz w:val="18"/>
          <w:szCs w:val="18"/>
          <w:color w:val="auto"/>
        </w:rPr>
        <w:t>. Permit or give rise to any Indebtedness or obligation that will require the granting of a Lien to holders of the New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25" w:lineRule="exact"/>
        <w:rPr>
          <w:sz w:val="20"/>
          <w:szCs w:val="20"/>
          <w:color w:val="auto"/>
        </w:rPr>
      </w:pPr>
    </w:p>
    <w:p>
      <w:pPr>
        <w:ind w:right="100" w:firstLine="464"/>
        <w:spacing w:after="0" w:line="342" w:lineRule="auto"/>
        <w:tabs>
          <w:tab w:leader="none" w:pos="701"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If (a) the interest on any Loan or any Commitment or any other fee or other amount (other than the principal of any Loan) shall not be paid in full when due and payable or within five (5) Business Days thereafter, or (b) the principal of any Loan shall not be paid in full when due and payable;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0" w:right="239" w:bottom="1440" w:gutter="0" w:footer="0" w:header="0"/>
        </w:sectPr>
      </w:pPr>
    </w:p>
    <w:bookmarkStart w:id="301" w:name="page302"/>
    <w:bookmarkEnd w:id="301"/>
    <w:p>
      <w:pPr>
        <w:ind w:left="700" w:hanging="256"/>
        <w:spacing w:after="0"/>
        <w:tabs>
          <w:tab w:leader="none" w:pos="70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40" w:firstLine="443"/>
        <w:spacing w:after="0" w:line="277" w:lineRule="auto"/>
        <w:tabs>
          <w:tab w:leader="none" w:pos="1093" w:val="left"/>
        </w:tabs>
        <w:numPr>
          <w:ilvl w:val="1"/>
          <w:numId w:val="386"/>
        </w:numPr>
        <w:rPr>
          <w:rFonts w:ascii="Arial" w:cs="Arial" w:eastAsia="Arial" w:hAnsi="Arial"/>
          <w:sz w:val="18"/>
          <w:szCs w:val="18"/>
          <w:color w:val="auto"/>
        </w:rPr>
      </w:pPr>
      <w:r>
        <w:rPr>
          <w:rFonts w:ascii="Arial" w:cs="Arial" w:eastAsia="Arial" w:hAnsi="Arial"/>
          <w:sz w:val="18"/>
          <w:szCs w:val="18"/>
          <w:color w:val="auto"/>
        </w:rPr>
        <w:t xml:space="preserve">If any Loan Party or Subsidiary thereof shall fail or omit to perform and observe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(other than clause (e) thereof),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or any Section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(other than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443"/>
        <w:spacing w:after="0" w:line="293" w:lineRule="auto"/>
        <w:tabs>
          <w:tab w:leader="none" w:pos="1143" w:val="left"/>
        </w:tabs>
        <w:numPr>
          <w:ilvl w:val="1"/>
          <w:numId w:val="386"/>
        </w:numPr>
        <w:rPr>
          <w:rFonts w:ascii="Arial" w:cs="Arial" w:eastAsia="Arial" w:hAnsi="Arial"/>
          <w:sz w:val="16"/>
          <w:szCs w:val="16"/>
          <w:color w:val="auto"/>
        </w:rPr>
      </w:pPr>
      <w:r>
        <w:rPr>
          <w:rFonts w:ascii="Arial" w:cs="Arial" w:eastAsia="Arial" w:hAnsi="Arial"/>
          <w:sz w:val="16"/>
          <w:szCs w:val="16"/>
          <w:color w:val="auto"/>
        </w:rPr>
        <w:t xml:space="preserve">Solely with respect to the Revolving Credit Lenders, the Swing Line Lender and the L/C Issuers (and the Administrative Agent on their behalf), and only so long as the Revolving Credit Commitments shall not have been terminated in accordance with terms hereof, the failure by the Borrower to comply with the covenant set forth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Financial Covenant Event of Default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Financial Covenant Event of Default shall constitute an Event of Default with respect to the Term Lenders upon the Revolving Credit Lenders terminating the Revolving Credit Commitments or declaring all amounts outstanding with respect to the Revolving Loans or Swing Line Loans to be immediately due and payable in accordance with this Agreement as a result of a Financial Covenant Event of Default and only for so long as such declaration has not been rescinded;</w:t>
      </w:r>
    </w:p>
    <w:p>
      <w:pPr>
        <w:spacing w:after="0" w:line="164" w:lineRule="exact"/>
        <w:rPr>
          <w:rFonts w:ascii="Arial" w:cs="Arial" w:eastAsia="Arial" w:hAnsi="Arial"/>
          <w:sz w:val="16"/>
          <w:szCs w:val="16"/>
          <w:color w:val="auto"/>
        </w:rPr>
      </w:pPr>
    </w:p>
    <w:p>
      <w:pPr>
        <w:ind w:left="-20" w:right="140" w:firstLine="464"/>
        <w:spacing w:after="0" w:line="297" w:lineRule="auto"/>
        <w:tabs>
          <w:tab w:leader="none" w:pos="681"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xml:space="preserve">. If any Loan Party or Subsidiary thereof shall fail or omit to perform and observe any covenant, agreement or other provision (other than those referred to in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8.01(b)</w:t>
      </w:r>
      <w:r>
        <w:rPr>
          <w:rFonts w:ascii="Arial" w:cs="Arial" w:eastAsia="Arial" w:hAnsi="Arial"/>
          <w:sz w:val="16"/>
          <w:szCs w:val="16"/>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 (i) any Financial Officer of such Loan Party or Subsidiary, as applicable, becomes aware of the occurrence thereof, or (b) the giving of written notice thereof to the Borrower by the Administrative Agent or the Required Lenders that the specified failure or omission is to be remedied;</w:t>
      </w:r>
    </w:p>
    <w:p>
      <w:pPr>
        <w:spacing w:after="0" w:line="158" w:lineRule="exact"/>
        <w:rPr>
          <w:rFonts w:ascii="Arial" w:cs="Arial" w:eastAsia="Arial" w:hAnsi="Arial"/>
          <w:sz w:val="16"/>
          <w:szCs w:val="16"/>
          <w:color w:val="auto"/>
        </w:rPr>
      </w:pPr>
    </w:p>
    <w:p>
      <w:pPr>
        <w:ind w:left="-20" w:right="40" w:firstLine="464"/>
        <w:spacing w:after="0" w:line="279" w:lineRule="auto"/>
        <w:tabs>
          <w:tab w:leader="none" w:pos="691"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171" w:lineRule="exact"/>
        <w:rPr>
          <w:rFonts w:ascii="Arial" w:cs="Arial" w:eastAsia="Arial" w:hAnsi="Arial"/>
          <w:sz w:val="17"/>
          <w:szCs w:val="17"/>
          <w:color w:val="auto"/>
        </w:rPr>
      </w:pPr>
    </w:p>
    <w:p>
      <w:pPr>
        <w:ind w:left="-20" w:right="240" w:firstLine="464"/>
        <w:spacing w:after="0" w:line="257" w:lineRule="auto"/>
        <w:tabs>
          <w:tab w:leader="none" w:pos="681"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If any Loan Party or any Subsidiary shall default in (i) the payment of any amount due and owing with respect to any Material Indebtedness Agreement beyond any period of grace provided with respect thereto or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w:t>
      </w:r>
    </w:p>
    <w:p>
      <w:pPr>
        <w:spacing w:after="0" w:line="188" w:lineRule="exact"/>
        <w:rPr>
          <w:rFonts w:ascii="Arial" w:cs="Arial" w:eastAsia="Arial" w:hAnsi="Arial"/>
          <w:sz w:val="18"/>
          <w:szCs w:val="18"/>
          <w:color w:val="auto"/>
        </w:rPr>
      </w:pPr>
    </w:p>
    <w:p>
      <w:pPr>
        <w:jc w:val="both"/>
        <w:ind w:left="-20" w:right="140" w:firstLine="464"/>
        <w:spacing w:after="0" w:line="259" w:lineRule="auto"/>
        <w:tabs>
          <w:tab w:leader="none" w:pos="661"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ERISA Default</w:t>
      </w:r>
      <w:r>
        <w:rPr>
          <w:rFonts w:ascii="Arial" w:cs="Arial" w:eastAsia="Arial" w:hAnsi="Arial"/>
          <w:sz w:val="18"/>
          <w:szCs w:val="18"/>
          <w:color w:val="auto"/>
        </w:rPr>
        <w:t xml:space="preserve">. The occurrence of one or more ERISA Events that (a) the Required Lenders determine, either individually or in the aggregate, has or would reasonably be expected to have a Material Adverse Effect, or (b) results in a Lien on any of the assets of any Loan Party or any Subsidiary thereof and such Lien is not released within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have been established in accordance with GAAP with respect to such Lien;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60" w:top="274" w:right="259" w:bottom="1440" w:gutter="0" w:footer="0" w:header="0"/>
        </w:sectPr>
      </w:pPr>
    </w:p>
    <w:bookmarkStart w:id="302" w:name="page303"/>
    <w:bookmarkEnd w:id="302"/>
    <w:p>
      <w:pPr>
        <w:ind w:left="720" w:hanging="256"/>
        <w:spacing w:after="0"/>
        <w:tabs>
          <w:tab w:leader="none" w:pos="720"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If any Change in Control shall occur;</w:t>
      </w:r>
    </w:p>
    <w:p>
      <w:pPr>
        <w:spacing w:after="0" w:line="225" w:lineRule="exact"/>
        <w:rPr>
          <w:rFonts w:ascii="Arial" w:cs="Arial" w:eastAsia="Arial" w:hAnsi="Arial"/>
          <w:sz w:val="18"/>
          <w:szCs w:val="18"/>
          <w:color w:val="auto"/>
        </w:rPr>
      </w:pPr>
    </w:p>
    <w:p>
      <w:pPr>
        <w:ind w:right="40" w:firstLine="464"/>
        <w:spacing w:after="0" w:line="291" w:lineRule="auto"/>
        <w:tabs>
          <w:tab w:leader="none" w:pos="711"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w:t>
      </w:r>
    </w:p>
    <w:p>
      <w:pPr>
        <w:ind w:left="360" w:hanging="352"/>
        <w:spacing w:after="0"/>
        <w:tabs>
          <w:tab w:leader="none" w:pos="3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days after the date on which the right to appeal has expired and the aggregate of all such judgments, for all such Loan Parties or Subsidiaries, shall</w:t>
      </w:r>
    </w:p>
    <w:p>
      <w:pPr>
        <w:spacing w:after="0" w:line="32" w:lineRule="exact"/>
        <w:rPr>
          <w:rFonts w:ascii="Arial" w:cs="Arial" w:eastAsia="Arial" w:hAnsi="Arial"/>
          <w:sz w:val="16"/>
          <w:szCs w:val="16"/>
          <w:color w:val="auto"/>
        </w:rPr>
      </w:pPr>
    </w:p>
    <w:p>
      <w:pPr>
        <w:ind w:right="160"/>
        <w:spacing w:after="0" w:line="281" w:lineRule="auto"/>
        <w:rPr>
          <w:rFonts w:ascii="Arial" w:cs="Arial" w:eastAsia="Arial" w:hAnsi="Arial"/>
          <w:sz w:val="16"/>
          <w:szCs w:val="16"/>
          <w:color w:val="auto"/>
        </w:rPr>
      </w:pPr>
      <w:r>
        <w:rPr>
          <w:rFonts w:ascii="Arial" w:cs="Arial" w:eastAsia="Arial" w:hAnsi="Arial"/>
          <w:sz w:val="16"/>
          <w:szCs w:val="16"/>
          <w:color w:val="auto"/>
        </w:rPr>
        <w:t>exceed $30,000,000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there is a period of 10 consecutive days during which a stay of enforcement of such judgment, by reason of a pending appeal or otherwise, is not in effect;</w:t>
      </w:r>
    </w:p>
    <w:p>
      <w:pPr>
        <w:spacing w:after="0" w:line="233" w:lineRule="exact"/>
        <w:rPr>
          <w:rFonts w:ascii="Arial" w:cs="Arial" w:eastAsia="Arial" w:hAnsi="Arial"/>
          <w:sz w:val="16"/>
          <w:szCs w:val="16"/>
          <w:color w:val="auto"/>
        </w:rPr>
      </w:pPr>
    </w:p>
    <w:p>
      <w:pPr>
        <w:ind w:left="680" w:hanging="216"/>
        <w:spacing w:after="0"/>
        <w:tabs>
          <w:tab w:leader="none" w:pos="680"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Validity of the Loan Documents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200" w:firstLine="443"/>
        <w:spacing w:after="0" w:line="257" w:lineRule="auto"/>
        <w:tabs>
          <w:tab w:leader="none" w:pos="1113" w:val="left"/>
        </w:tabs>
        <w:numPr>
          <w:ilvl w:val="2"/>
          <w:numId w:val="389"/>
        </w:numPr>
        <w:rPr>
          <w:rFonts w:ascii="Arial" w:cs="Arial" w:eastAsia="Arial" w:hAnsi="Arial"/>
          <w:sz w:val="18"/>
          <w:szCs w:val="18"/>
          <w:color w:val="auto"/>
        </w:rPr>
      </w:pPr>
      <w:r>
        <w:rPr>
          <w:rFonts w:ascii="Arial" w:cs="Arial" w:eastAsia="Arial" w:hAnsi="Arial"/>
          <w:sz w:val="18"/>
          <w:szCs w:val="18"/>
          <w:color w:val="auto"/>
        </w:rPr>
        <w:t>If any Lien granted in this Agreement or any other Loan Document in favor of the Administrative Agent shall be determined to be (i) void, voidable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80" w:lineRule="exact"/>
        <w:rPr>
          <w:rFonts w:ascii="Arial" w:cs="Arial" w:eastAsia="Arial" w:hAnsi="Arial"/>
          <w:sz w:val="18"/>
          <w:szCs w:val="18"/>
          <w:color w:val="auto"/>
        </w:rPr>
      </w:pPr>
    </w:p>
    <w:p>
      <w:pPr>
        <w:ind w:left="460" w:firstLine="443"/>
        <w:spacing w:after="0" w:line="259" w:lineRule="auto"/>
        <w:tabs>
          <w:tab w:leader="none" w:pos="1163" w:val="left"/>
        </w:tabs>
        <w:numPr>
          <w:ilvl w:val="2"/>
          <w:numId w:val="389"/>
        </w:numPr>
        <w:rPr>
          <w:rFonts w:ascii="Arial" w:cs="Arial" w:eastAsia="Arial" w:hAnsi="Arial"/>
          <w:sz w:val="18"/>
          <w:szCs w:val="18"/>
          <w:color w:val="auto"/>
        </w:rPr>
      </w:pPr>
      <w:r>
        <w:rPr>
          <w:rFonts w:ascii="Arial" w:cs="Arial" w:eastAsia="Arial" w:hAnsi="Arial"/>
          <w:sz w:val="18"/>
          <w:szCs w:val="18"/>
          <w:color w:val="auto"/>
        </w:rPr>
        <w:t>(A) The validity, binding effect or enforceability of any Loan Document against any Loan Party shall be contested by any Loan Party; (B) any Loan Party shall deny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186" w:lineRule="exact"/>
        <w:rPr>
          <w:rFonts w:ascii="Arial" w:cs="Arial" w:eastAsia="Arial" w:hAnsi="Arial"/>
          <w:sz w:val="18"/>
          <w:szCs w:val="18"/>
          <w:color w:val="auto"/>
        </w:rPr>
      </w:pPr>
    </w:p>
    <w:p>
      <w:pPr>
        <w:ind w:right="100" w:firstLine="464"/>
        <w:spacing w:after="0" w:line="273" w:lineRule="auto"/>
        <w:tabs>
          <w:tab w:leader="none" w:pos="671"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Bankruptcy and Solvency</w:t>
      </w:r>
      <w:r>
        <w:rPr>
          <w:rFonts w:ascii="Arial" w:cs="Arial" w:eastAsia="Arial" w:hAnsi="Arial"/>
          <w:sz w:val="17"/>
          <w:szCs w:val="17"/>
          <w:color w:val="auto"/>
        </w:rPr>
        <w:t xml:space="preserve">. If any Loan Party or any Subsidiary thereof (other than an Inactive Subsidiary or Immaterial Subsidiary) shall (1) except as permitted pursuant to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74" w:right="25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any of the foregoing may be amended from time to time, or other applicable statute for jurisdictions outside of the United States, as the case may be,</w:t>
      </w:r>
    </w:p>
    <w:p>
      <w:pPr>
        <w:spacing w:after="0" w:line="46" w:lineRule="exact"/>
        <w:rPr>
          <w:sz w:val="20"/>
          <w:szCs w:val="20"/>
          <w:color w:val="auto"/>
        </w:rPr>
      </w:pPr>
    </w:p>
    <w:p>
      <w:pPr>
        <w:ind w:right="20" w:firstLine="8"/>
        <w:spacing w:after="0" w:line="281" w:lineRule="auto"/>
        <w:tabs>
          <w:tab w:leader="none" w:pos="25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w:t>
      </w:r>
    </w:p>
    <w:p>
      <w:pPr>
        <w:spacing w:after="0" w:line="4" w:lineRule="exact"/>
        <w:rPr>
          <w:rFonts w:ascii="Arial" w:cs="Arial" w:eastAsia="Arial" w:hAnsi="Arial"/>
          <w:sz w:val="16"/>
          <w:szCs w:val="16"/>
          <w:color w:val="auto"/>
        </w:rPr>
      </w:pPr>
    </w:p>
    <w:p>
      <w:pPr>
        <w:ind w:firstLine="8"/>
        <w:spacing w:after="0" w:line="270" w:lineRule="auto"/>
        <w:tabs>
          <w:tab w:leader="none" w:pos="345" w:val="left"/>
        </w:tabs>
        <w:numPr>
          <w:ilvl w:val="0"/>
          <w:numId w:val="391"/>
        </w:numPr>
        <w:rPr>
          <w:rFonts w:ascii="Arial" w:cs="Arial" w:eastAsia="Arial" w:hAnsi="Arial"/>
          <w:sz w:val="17"/>
          <w:szCs w:val="17"/>
          <w:color w:val="auto"/>
        </w:rPr>
      </w:pPr>
      <w:r>
        <w:rPr>
          <w:rFonts w:ascii="Arial" w:cs="Arial" w:eastAsia="Arial" w:hAnsi="Arial"/>
          <w:sz w:val="17"/>
          <w:szCs w:val="17"/>
          <w:color w:val="auto"/>
        </w:rPr>
        <w:t>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178" w:lineRule="exact"/>
        <w:rPr>
          <w:rFonts w:ascii="Arial" w:cs="Arial" w:eastAsia="Arial" w:hAnsi="Arial"/>
          <w:sz w:val="17"/>
          <w:szCs w:val="17"/>
          <w:color w:val="auto"/>
        </w:rPr>
      </w:pPr>
    </w:p>
    <w:p>
      <w:pPr>
        <w:ind w:right="220" w:firstLine="464"/>
        <w:spacing w:after="0" w:line="259" w:lineRule="auto"/>
        <w:tabs>
          <w:tab w:leader="none" w:pos="711"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Senior Debt Status</w:t>
      </w:r>
      <w:r>
        <w:rPr>
          <w:rFonts w:ascii="Arial" w:cs="Arial" w:eastAsia="Arial" w:hAnsi="Arial"/>
          <w:sz w:val="18"/>
          <w:szCs w:val="18"/>
          <w:color w:val="auto"/>
        </w:rPr>
        <w:t>. The Obligations of each Loan Party under this Agreement and each of the other Loan Documents shall fail to (i) rank at least pari passu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(or in the event of a Financial Covenant Event of Default, the Required Revolving Lenders), take any or all of the following actions:</w:t>
      </w:r>
    </w:p>
    <w:p>
      <w:pPr>
        <w:spacing w:after="0" w:line="181" w:lineRule="exact"/>
        <w:rPr>
          <w:sz w:val="20"/>
          <w:szCs w:val="20"/>
          <w:color w:val="auto"/>
        </w:rPr>
      </w:pPr>
    </w:p>
    <w:p>
      <w:pPr>
        <w:ind w:right="480" w:firstLine="464"/>
        <w:spacing w:after="0" w:line="277" w:lineRule="auto"/>
        <w:tabs>
          <w:tab w:leader="none" w:pos="701"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any L/C Issuer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ind w:right="280" w:firstLine="464"/>
        <w:spacing w:after="0" w:line="264" w:lineRule="auto"/>
        <w:tabs>
          <w:tab w:leader="none" w:pos="711"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the Minimum Collateral Amount with respect thereto); and</w:t>
      </w:r>
    </w:p>
    <w:p>
      <w:pPr>
        <w:spacing w:after="0" w:line="248" w:lineRule="exact"/>
        <w:rPr>
          <w:rFonts w:ascii="Arial" w:cs="Arial" w:eastAsia="Arial" w:hAnsi="Arial"/>
          <w:sz w:val="16"/>
          <w:szCs w:val="16"/>
          <w:color w:val="auto"/>
        </w:rPr>
      </w:pPr>
    </w:p>
    <w:p>
      <w:pPr>
        <w:ind w:right="40" w:firstLine="464"/>
        <w:spacing w:after="0" w:line="277" w:lineRule="auto"/>
        <w:tabs>
          <w:tab w:leader="none" w:pos="711"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exercise on behalf of itself and the Lenders, the L/C Issuers, the Cash Management Banks and the Hedge Banks all rights and remedies available to it and the Lenders, the L/C Issuers, the Cash Management Banks and the Hedge Banks under the Loan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274" w:right="279" w:bottom="1440" w:gutter="0" w:footer="0" w:header="0"/>
        </w:sectPr>
      </w:pPr>
    </w:p>
    <w:bookmarkStart w:id="304" w:name="page305"/>
    <w:bookmarkEnd w:id="304"/>
    <w:p>
      <w:pPr>
        <w:ind w:right="80"/>
        <w:spacing w:after="0" w:line="28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the occurrence of an Event of Default described in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the occurrence of a Financial Covenant Event of Default, and at any time thereafter during the continuance of such event, the Administrative Agent may, and at the request of the Required Revolving Lenders, shall, by notice to the Borrower, take any of the following actions, at the same or different times:</w:t>
      </w:r>
    </w:p>
    <w:p>
      <w:pPr>
        <w:spacing w:after="0" w:line="5" w:lineRule="exact"/>
        <w:rPr>
          <w:sz w:val="20"/>
          <w:szCs w:val="20"/>
          <w:color w:val="auto"/>
        </w:rPr>
      </w:pPr>
    </w:p>
    <w:p>
      <w:pPr>
        <w:ind w:firstLine="8"/>
        <w:spacing w:after="0" w:line="290" w:lineRule="auto"/>
        <w:tabs>
          <w:tab w:leader="none" w:pos="25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terminate the Revolving Credit Commitments, the L/C Commitment and the Swing Line Commitment, and thereupon the Revolving Credit Commitments, the L/C Commitment and the Swing Line Commitment shall terminate immediately and (y) declare the Revolving Loans, L/C Exposure and Swing Line Exposure then outstanding to be due and payable in whole (or in part, in which case any principal not so declared to be due and payable may thereafter be declared to be due and payable), and thereupon the principal of the Revolving Loans, L/C Exposure and Swing Line Exposure so declared to be due and payable, together with accrued interest thereon and all fees and other obligations relating thereto of the Borrower accrued hereunder, shall become due and payable immediately, without presentment, demand, protest or other notice of any kind, all of which are hereby waived by the Borrower.</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be applied by the Administrative Agent in the following order:</w:t>
      </w:r>
    </w:p>
    <w:p>
      <w:pPr>
        <w:spacing w:after="0" w:line="18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(including fees and time charges for attorneys who may be employees of any Lender or any L/C Issuer)) arising under the Loan Documents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3" w:right="239" w:bottom="1440" w:gutter="0" w:footer="0" w:header="0"/>
        </w:sectPr>
      </w:pPr>
    </w:p>
    <w:bookmarkStart w:id="305" w:name="page306"/>
    <w:bookmarkEnd w:id="305"/>
    <w:p>
      <w:pPr>
        <w:ind w:right="34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Arial" w:cs="Arial" w:eastAsia="Arial" w:hAnsi="Arial"/>
          <w:sz w:val="17"/>
          <w:szCs w:val="17"/>
          <w:u w:val="single" w:color="auto"/>
          <w:color w:val="auto"/>
        </w:rPr>
        <w:t>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2.16</w:t>
      </w:r>
      <w:r>
        <w:rPr>
          <w:rFonts w:ascii="Arial" w:cs="Arial" w:eastAsia="Arial" w:hAnsi="Arial"/>
          <w:sz w:val="17"/>
          <w:szCs w:val="17"/>
          <w:color w:val="auto"/>
        </w:rPr>
        <w:t>; 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for itself and its Affiliates as if a “Lender” party hereto.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(a) Each of the Lenders and each L/C Issuer hereby irrevocably appoints KeyBank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Laws. Instead such term is used as a matter of market custom, and is intended to create or reflect only an administrative relationship between contracting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73" w:right="239" w:bottom="1440" w:gutter="0" w:footer="0" w:header="0"/>
        </w:sectPr>
      </w:pPr>
    </w:p>
    <w:bookmarkStart w:id="306" w:name="page307"/>
    <w:bookmarkEnd w:id="306"/>
    <w:p>
      <w:pPr>
        <w:ind w:right="20" w:firstLine="464"/>
        <w:spacing w:after="0" w:line="285" w:lineRule="auto"/>
        <w:tabs>
          <w:tab w:leader="none" w:pos="711" w:val="left"/>
        </w:tabs>
        <w:numPr>
          <w:ilvl w:val="0"/>
          <w:numId w:val="3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the Loan Documents, and each of the Lenders (including in its capacities as a potential Hedge Bank and a potential Cash Management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w:t>
      </w:r>
    </w:p>
    <w:p>
      <w:pPr>
        <w:spacing w:after="0" w:line="2"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10.04(c)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9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The Administrative Agent shall not have any duties or obligations except those expressly set forth herein and in the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Documents, and its duties hereunder shall be administrative in nature. Without limiting the generality of the foregoing, the Administrative Agent:</w:t>
      </w:r>
    </w:p>
    <w:p>
      <w:pPr>
        <w:spacing w:after="0" w:line="222" w:lineRule="exact"/>
        <w:rPr>
          <w:sz w:val="20"/>
          <w:szCs w:val="20"/>
          <w:color w:val="auto"/>
        </w:rPr>
      </w:pPr>
    </w:p>
    <w:p>
      <w:pPr>
        <w:ind w:left="700" w:hanging="236"/>
        <w:spacing w:after="0"/>
        <w:tabs>
          <w:tab w:leader="none" w:pos="7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20" w:firstLine="464"/>
        <w:spacing w:after="0" w:line="293" w:lineRule="auto"/>
        <w:tabs>
          <w:tab w:leader="none" w:pos="711"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274" w:right="279" w:bottom="1440" w:gutter="0" w:footer="0" w:header="0"/>
        </w:sectPr>
      </w:pPr>
    </w:p>
    <w:bookmarkStart w:id="307" w:name="page308"/>
    <w:bookmarkEnd w:id="307"/>
    <w:p>
      <w:pPr>
        <w:ind w:right="220" w:firstLine="464"/>
        <w:spacing w:after="0" w:line="264" w:lineRule="auto"/>
        <w:tabs>
          <w:tab w:leader="none" w:pos="701" w:val="left"/>
        </w:tabs>
        <w:numPr>
          <w:ilvl w:val="0"/>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ind w:right="40" w:firstLine="464"/>
        <w:spacing w:after="0" w:line="297" w:lineRule="auto"/>
        <w:tabs>
          <w:tab w:leader="none" w:pos="711"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w:t>
      </w:r>
      <w:r>
        <w:rPr>
          <w:rFonts w:ascii="Arial" w:cs="Arial" w:eastAsia="Arial" w:hAnsi="Arial"/>
          <w:sz w:val="16"/>
          <w:szCs w:val="16"/>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a Lender or an L/C Issuer.</w:t>
      </w:r>
    </w:p>
    <w:p>
      <w:pPr>
        <w:spacing w:after="0" w:line="158" w:lineRule="exact"/>
        <w:rPr>
          <w:rFonts w:ascii="Arial" w:cs="Arial" w:eastAsia="Arial" w:hAnsi="Arial"/>
          <w:sz w:val="16"/>
          <w:szCs w:val="16"/>
          <w:color w:val="auto"/>
        </w:rPr>
      </w:pPr>
    </w:p>
    <w:p>
      <w:pPr>
        <w:ind w:right="60" w:firstLine="464"/>
        <w:spacing w:after="0" w:line="272" w:lineRule="auto"/>
        <w:tabs>
          <w:tab w:leader="none" w:pos="701" w:val="left"/>
        </w:tabs>
        <w:numPr>
          <w:ilvl w:val="0"/>
          <w:numId w:val="396"/>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74" w:right="259" w:bottom="1440" w:gutter="0" w:footer="0" w:header="0"/>
        </w:sectPr>
      </w:pPr>
    </w:p>
    <w:bookmarkStart w:id="308" w:name="page309"/>
    <w:bookmarkEnd w:id="30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1" w:lineRule="auto"/>
        <w:tabs>
          <w:tab w:leader="none" w:pos="701"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“Resignation Effective Date”), then the retiring Administrative Agent may (but shall not be obligated to) on behalf of the Lenders and the L/C Issuers, appoint a successor Administrative Agent meeting the qualifications set forth above. Whether or not a successor has been appointed, such resignation shall become effective in accordance with such notice on the Resignation Effective Date.</w:t>
      </w:r>
    </w:p>
    <w:p>
      <w:pPr>
        <w:spacing w:after="0" w:line="167" w:lineRule="exact"/>
        <w:rPr>
          <w:rFonts w:ascii="Arial" w:cs="Arial" w:eastAsia="Arial" w:hAnsi="Arial"/>
          <w:sz w:val="16"/>
          <w:szCs w:val="16"/>
          <w:color w:val="auto"/>
        </w:rPr>
      </w:pPr>
    </w:p>
    <w:p>
      <w:pPr>
        <w:ind w:firstLine="464"/>
        <w:spacing w:after="0" w:line="276" w:lineRule="auto"/>
        <w:tabs>
          <w:tab w:leader="none" w:pos="711" w:val="left"/>
        </w:tabs>
        <w:numPr>
          <w:ilvl w:val="0"/>
          <w:numId w:val="397"/>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ind w:right="80" w:firstLine="464"/>
        <w:spacing w:after="0" w:line="290" w:lineRule="auto"/>
        <w:tabs>
          <w:tab w:leader="none" w:pos="701"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74" w:right="239" w:bottom="1440" w:gutter="0" w:footer="0" w:header="0"/>
        </w:sectPr>
      </w:pPr>
    </w:p>
    <w:bookmarkStart w:id="309" w:name="page310"/>
    <w:bookmarkEnd w:id="30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79" w:lineRule="exact"/>
        <w:rPr>
          <w:sz w:val="20"/>
          <w:szCs w:val="20"/>
          <w:color w:val="auto"/>
        </w:rPr>
      </w:pPr>
    </w:p>
    <w:p>
      <w:pPr>
        <w:ind w:firstLine="464"/>
        <w:spacing w:after="0" w:line="287" w:lineRule="auto"/>
        <w:tabs>
          <w:tab w:leader="none" w:pos="71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xml:space="preserve">Any resignation or removal by any Person as Administrative Agent pursuant to this Section shall also constitute its resignation as an L/C Issuer and Swing Line Lender. If any such Person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any Person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273" w:right="299" w:bottom="1440" w:gutter="0" w:footer="0" w:header="0"/>
        </w:sectPr>
      </w:pPr>
    </w:p>
    <w:bookmarkStart w:id="310" w:name="page311"/>
    <w:bookmarkEnd w:id="310"/>
    <w:p>
      <w:pPr>
        <w:jc w:val="both"/>
        <w:ind w:right="2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Anything herein to the contrary notwithstanding, none of the Bookrunners, Arrangers, Syndication Agent, Documentation Agents or other similar titles listed on the cover page hereof shall have any powers, duties or responsibilities under this Agreement or any of the other Loan Documents, except in its capacity, as applicable, as the Administrative Agent, a Lender or an L/C Issuer hereunder.</w:t>
      </w:r>
    </w:p>
    <w:p>
      <w:pPr>
        <w:spacing w:after="0" w:line="166"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9.09 </w:t>
      </w:r>
      <w:r>
        <w:rPr>
          <w:rFonts w:ascii="Arial" w:cs="Arial" w:eastAsia="Arial" w:hAnsi="Arial"/>
          <w:sz w:val="17"/>
          <w:szCs w:val="17"/>
          <w:u w:val="single" w:color="auto"/>
          <w:color w:val="auto"/>
        </w:rPr>
        <w:t>Administrative Agent May File Proofs of Claim; Credit Bidding</w:t>
      </w:r>
      <w:r>
        <w:rPr>
          <w:rFonts w:ascii="Arial" w:cs="Arial" w:eastAsia="Arial" w:hAnsi="Arial"/>
          <w:sz w:val="17"/>
          <w:szCs w:val="17"/>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1" w:lineRule="exact"/>
        <w:rPr>
          <w:sz w:val="20"/>
          <w:szCs w:val="20"/>
          <w:color w:val="auto"/>
        </w:rPr>
      </w:pPr>
    </w:p>
    <w:p>
      <w:pPr>
        <w:jc w:val="both"/>
        <w:ind w:right="120" w:firstLine="464"/>
        <w:spacing w:after="0" w:line="276" w:lineRule="auto"/>
        <w:tabs>
          <w:tab w:leader="none" w:pos="701"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7"/>
          <w:szCs w:val="17"/>
          <w:u w:val="single" w:color="auto"/>
          <w:color w:val="auto"/>
        </w:rPr>
        <w:t>Sections 2.03(h)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allowed in such judicial proceeding; and</w:t>
      </w:r>
    </w:p>
    <w:p>
      <w:pPr>
        <w:spacing w:after="0" w:line="172" w:lineRule="exact"/>
        <w:rPr>
          <w:rFonts w:ascii="Arial" w:cs="Arial" w:eastAsia="Arial" w:hAnsi="Arial"/>
          <w:sz w:val="17"/>
          <w:szCs w:val="17"/>
          <w:color w:val="auto"/>
        </w:rPr>
      </w:pPr>
    </w:p>
    <w:p>
      <w:pPr>
        <w:ind w:left="720" w:hanging="256"/>
        <w:spacing w:after="0"/>
        <w:tabs>
          <w:tab w:leader="none" w:pos="7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73" w:right="239" w:bottom="1440" w:gutter="0" w:footer="0" w:header="0"/>
        </w:sectPr>
      </w:pPr>
    </w:p>
    <w:bookmarkStart w:id="311" w:name="page312"/>
    <w:bookmarkEnd w:id="311"/>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this Agreement, (iii) the Administrative Agent shall be authorized to assign the relevant Obligations to any such acquisition vehicle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the Lenders, as a result of which each of the Lenders shall be deemed to have received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w:t>
      </w:r>
    </w:p>
    <w:p>
      <w:pPr>
        <w:spacing w:after="0" w:line="3" w:lineRule="exact"/>
        <w:rPr>
          <w:sz w:val="20"/>
          <w:szCs w:val="20"/>
          <w:color w:val="auto"/>
        </w:rPr>
      </w:pPr>
    </w:p>
    <w:p>
      <w:pPr>
        <w:ind w:right="120" w:firstLine="8"/>
        <w:spacing w:after="0" w:line="253" w:lineRule="auto"/>
        <w:tabs>
          <w:tab w:leader="none" w:pos="30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xml:space="preserve">. Without limiting the provision of </w:t>
      </w:r>
      <w:r>
        <w:rPr>
          <w:rFonts w:ascii="Arial" w:cs="Arial" w:eastAsia="Arial" w:hAnsi="Arial"/>
          <w:sz w:val="16"/>
          <w:szCs w:val="16"/>
          <w:u w:val="single" w:color="auto"/>
          <w:color w:val="auto"/>
        </w:rPr>
        <w:t>Section 9.09</w:t>
      </w:r>
      <w:r>
        <w:rPr>
          <w:rFonts w:ascii="Arial" w:cs="Arial" w:eastAsia="Arial" w:hAnsi="Arial"/>
          <w:sz w:val="16"/>
          <w:szCs w:val="16"/>
          <w:color w:val="auto"/>
        </w:rPr>
        <w:t>, each of the Lenders (including in its capacities as a potential Cash Management Bank and a potential Hedge Bank) and each L/C Issuer irrevocably authorize the Administrative Agent, at its option and in its discretion,</w:t>
      </w:r>
    </w:p>
    <w:p>
      <w:pPr>
        <w:spacing w:after="0" w:line="124" w:lineRule="exact"/>
        <w:rPr>
          <w:sz w:val="20"/>
          <w:szCs w:val="20"/>
          <w:color w:val="auto"/>
        </w:rPr>
      </w:pPr>
    </w:p>
    <w:p>
      <w:pPr>
        <w:ind w:firstLine="464"/>
        <w:spacing w:after="0" w:line="271" w:lineRule="auto"/>
        <w:tabs>
          <w:tab w:leader="none" w:pos="701"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Administrative Agent and the applicable Cash Management Bank of Hedge Bank shall have been made) and the expiration or termination of all Letters of Credit (other than Letters of Credit as to which other arrangements satisfactory to the Administrative Agent and the applicable L/C Issuer shall have been made), (ii) that is sold or otherwise disposed of or to be sold or otherwise disposed of as part of or in connection with any sale or other disposition permitted hereunder or under any other Loan Document to a Person that is not a Loan Party, (iii) that constitutes “Excluded Assets” (as such term is defined in the Security Agreement), or (iv)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274" w:right="259" w:bottom="1440" w:gutter="0" w:footer="0" w:header="0"/>
        </w:sectPr>
      </w:pPr>
    </w:p>
    <w:bookmarkStart w:id="312" w:name="page313"/>
    <w:bookmarkEnd w:id="312"/>
    <w:p>
      <w:pPr>
        <w:ind w:right="20" w:firstLine="464"/>
        <w:spacing w:after="0" w:line="277" w:lineRule="auto"/>
        <w:tabs>
          <w:tab w:leader="none" w:pos="711"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release any Guarantor from its obligations under the Guaranty if such Person ceases to be a Subsidiary as a result of a transaction permitted under the Loan Documents; and</w:t>
      </w:r>
    </w:p>
    <w:p>
      <w:pPr>
        <w:spacing w:after="0" w:line="170" w:lineRule="exact"/>
        <w:rPr>
          <w:rFonts w:ascii="Arial" w:cs="Arial" w:eastAsia="Arial" w:hAnsi="Arial"/>
          <w:sz w:val="18"/>
          <w:szCs w:val="18"/>
          <w:color w:val="auto"/>
        </w:rPr>
      </w:pPr>
    </w:p>
    <w:p>
      <w:pPr>
        <w:ind w:firstLine="464"/>
        <w:spacing w:after="0" w:line="277" w:lineRule="auto"/>
        <w:tabs>
          <w:tab w:leader="none" w:pos="70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Secured Cash Management Agreements and Secured Hedge Agreements</w:t>
      </w:r>
      <w:r>
        <w:rPr>
          <w:rFonts w:ascii="Arial" w:cs="Arial" w:eastAsia="Arial" w:hAnsi="Arial"/>
          <w:sz w:val="17"/>
          <w:szCs w:val="17"/>
          <w:color w:val="auto"/>
        </w:rPr>
        <w:t xml:space="preserve">. Except as otherwise expressly set forth herein or in any Guaranty or any Collateral Document, no Cash Management Bank or Hedge Bank that obtains the benefits of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73" w:right="2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71" w:lineRule="exact"/>
        <w:rPr>
          <w:sz w:val="20"/>
          <w:szCs w:val="20"/>
          <w:color w:val="auto"/>
        </w:rPr>
      </w:pPr>
    </w:p>
    <w:p>
      <w:pPr>
        <w:ind w:left="700" w:hanging="236"/>
        <w:spacing w:after="0"/>
        <w:tabs>
          <w:tab w:leader="none" w:pos="70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 xml:space="preserve">in the case of the initial Credit Extension, waive any condition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4.01(c)(i)</w:t>
      </w:r>
      <w:r>
        <w:rPr>
          <w:rFonts w:ascii="Arial" w:cs="Arial" w:eastAsia="Arial" w:hAnsi="Arial"/>
          <w:sz w:val="17"/>
          <w:szCs w:val="17"/>
          <w:color w:val="auto"/>
        </w:rPr>
        <w:t xml:space="preserve">) or any of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or (c), without the written consent of each Lender;</w:t>
      </w:r>
    </w:p>
    <w:p>
      <w:pPr>
        <w:spacing w:after="0" w:line="210" w:lineRule="exact"/>
        <w:rPr>
          <w:rFonts w:ascii="Arial" w:cs="Arial" w:eastAsia="Arial" w:hAnsi="Arial"/>
          <w:sz w:val="18"/>
          <w:szCs w:val="18"/>
          <w:color w:val="auto"/>
        </w:rPr>
      </w:pPr>
    </w:p>
    <w:p>
      <w:pPr>
        <w:jc w:val="both"/>
        <w:ind w:right="100" w:firstLine="464"/>
        <w:spacing w:after="0" w:line="259" w:lineRule="auto"/>
        <w:tabs>
          <w:tab w:leader="none" w:pos="71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clause (a) above, while the Term Loans (including any Incremental Term Loans) remain outstanding, without the prior written consent of the Required Revolving Lenders, amend, modify or waive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any other provision of this Agreement if the effect of such amendment, modification or waiver is to require the Revolving Credit Lenders to make Revolving Credit Loans when such Lenders would not otherwise be required to do so;</w:t>
      </w:r>
    </w:p>
    <w:p>
      <w:pPr>
        <w:spacing w:after="0" w:line="186" w:lineRule="exact"/>
        <w:rPr>
          <w:rFonts w:ascii="Arial" w:cs="Arial" w:eastAsia="Arial" w:hAnsi="Arial"/>
          <w:sz w:val="18"/>
          <w:szCs w:val="18"/>
          <w:color w:val="auto"/>
        </w:rPr>
      </w:pPr>
    </w:p>
    <w:p>
      <w:pPr>
        <w:ind w:firstLine="464"/>
        <w:spacing w:after="0" w:line="277" w:lineRule="auto"/>
        <w:tabs>
          <w:tab w:leader="none" w:pos="70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181" w:lineRule="exact"/>
        <w:rPr>
          <w:rFonts w:ascii="Arial" w:cs="Arial" w:eastAsia="Arial" w:hAnsi="Arial"/>
          <w:sz w:val="18"/>
          <w:szCs w:val="18"/>
          <w:color w:val="auto"/>
        </w:rPr>
      </w:pPr>
    </w:p>
    <w:p>
      <w:pPr>
        <w:ind w:right="100" w:firstLine="464"/>
        <w:spacing w:after="0" w:line="272" w:lineRule="auto"/>
        <w:tabs>
          <w:tab w:leader="none" w:pos="701" w:val="left"/>
        </w:tabs>
        <w:numPr>
          <w:ilvl w:val="1"/>
          <w:numId w:val="404"/>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clause (ii) of the second proviso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fees or other amounts payable hereunder or under any other Loan Document without the written consent of each Lender entitled to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consent of (i) the Required Lenders shall be necessary to amend the definition of “Default Rate”, (ii) the Required Term Lenders shall be necessary to waive any obligation of the Borrower to pay interest on the Term Loans at the Default Rate and (iii) the Required Revolving Lenders shall be necessary to waive any obligation of the Borrower to pay interest on any Loans other than the Term Loans or Letter of Credit Fees at the Default Rate or to amend any financial covenant hereunder (or any defined term used therein) even if the effect of such amendment would be to reduce the rate of interest on any Loan or L/C Borrowing or to reduce any fee payable hereunder;</w:t>
      </w:r>
    </w:p>
    <w:p>
      <w:pPr>
        <w:spacing w:after="0" w:line="177" w:lineRule="exact"/>
        <w:rPr>
          <w:rFonts w:ascii="Arial" w:cs="Arial" w:eastAsia="Arial" w:hAnsi="Arial"/>
          <w:sz w:val="17"/>
          <w:szCs w:val="17"/>
          <w:color w:val="auto"/>
        </w:rPr>
      </w:pPr>
    </w:p>
    <w:p>
      <w:pPr>
        <w:ind w:right="120" w:firstLine="464"/>
        <w:spacing w:after="0" w:line="302" w:lineRule="auto"/>
        <w:tabs>
          <w:tab w:leader="none" w:pos="681"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written consent of each Lender directly affected thereby or (ii) the order of application of any prepayment of Loans among the Facilities from the application thereof set forth in the applicable provisions of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in any manner that materially and adversely affects the Lenders under a Facility without the written consent of (x) if such Facility is the Term Facility, the Required Term Lenders, and (y) if such Facility is the Revolving Credit Facility, the Required Revolving Lenders;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74" w:right="239" w:bottom="1440" w:gutter="0" w:footer="0" w:header="0"/>
        </w:sectPr>
      </w:pPr>
    </w:p>
    <w:bookmarkStart w:id="314" w:name="page315"/>
    <w:bookmarkEnd w:id="314"/>
    <w:p>
      <w:pPr>
        <w:jc w:val="both"/>
        <w:ind w:right="220" w:firstLine="464"/>
        <w:spacing w:after="0" w:line="259" w:lineRule="auto"/>
        <w:tabs>
          <w:tab w:leader="none" w:pos="711"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any provision of this Section or reduce the percentages specified in (or alter the method of calculation thereof) the definition of any of “Required Lenders”, “Required Revolving Lenders” or “Required Term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release all or substantially all of the Collateral in any transaction or series of related transactions, without the written consent of each Lender;</w:t>
      </w:r>
    </w:p>
    <w:p>
      <w:pPr>
        <w:spacing w:after="0" w:line="236" w:lineRule="exact"/>
        <w:rPr>
          <w:rFonts w:ascii="Arial" w:cs="Arial" w:eastAsia="Arial" w:hAnsi="Arial"/>
          <w:sz w:val="17"/>
          <w:szCs w:val="17"/>
          <w:color w:val="auto"/>
        </w:rPr>
      </w:pPr>
    </w:p>
    <w:p>
      <w:pPr>
        <w:ind w:right="440" w:firstLine="464"/>
        <w:spacing w:after="0" w:line="342" w:lineRule="auto"/>
        <w:tabs>
          <w:tab w:leader="none" w:pos="67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which case such release may be made by the Administrative Agent acting alone);</w:t>
      </w:r>
    </w:p>
    <w:p>
      <w:pPr>
        <w:spacing w:after="0" w:line="123" w:lineRule="exact"/>
        <w:rPr>
          <w:rFonts w:ascii="Arial" w:cs="Arial" w:eastAsia="Arial" w:hAnsi="Arial"/>
          <w:sz w:val="16"/>
          <w:szCs w:val="16"/>
          <w:color w:val="auto"/>
        </w:rPr>
      </w:pPr>
    </w:p>
    <w:p>
      <w:pPr>
        <w:ind w:left="680" w:hanging="216"/>
        <w:spacing w:after="0"/>
        <w:tabs>
          <w:tab w:leader="none" w:pos="6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Lenders, amend, modify or waive </w:t>
      </w:r>
      <w:r>
        <w:rPr>
          <w:rFonts w:ascii="Arial" w:cs="Arial" w:eastAsia="Arial" w:hAnsi="Arial"/>
          <w:sz w:val="18"/>
          <w:szCs w:val="18"/>
          <w:u w:val="single" w:color="auto"/>
          <w:color w:val="auto"/>
        </w:rPr>
        <w:t>Section 6.02(b)</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(i) if such Facility is the Term Facility, the Required Term Lenders and (ii) if such Facility is the Revolving Credit Facility, the Required Revolving Lenders;</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amendment, waiver or consent shall, unless in writing and signed by the Administrative Agent in addition to the Lenders required above, affect the rights or duties of the Administrative Agent under this Agreement or any other Loan Document, (ii) the Fee Letter may be amended, or rights or privileges thereunder waived, in a writing executed only by the parties thereto, (iii)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and (iv) no amendment, waiver or consent shall, unless in writing and signed by the Swing Line Lender in addition to the Lenders required above, affect the rights or duties of the Swing Line Lender under this Agreement.</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273" w:right="239" w:bottom="1440" w:gutter="0" w:footer="0" w:header="0"/>
        </w:sectPr>
      </w:pPr>
    </w:p>
    <w:bookmarkStart w:id="315" w:name="page316"/>
    <w:bookmarkEnd w:id="31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provision herein to the contrary, this Agreement may be amended to extend the Maturity Date of (x) the Revolving Credit Commitments of Revolving Credit Lenders that agree to such extension with respect to their Revolving Credit Commitments with the written consent of each such approving Revolving Credit Lender, the Administrative Agent and the Borrower (and no other Lender) and, in connection therewith, to provide for different rates of interest and fees under the Revolving Credit Facility with respect to the portion of the Revolving Credit Commitments with a Maturity Date so extended; and (y) the Term Facility with respect to Term Lenders that agree to such extension with respect to their Term Loans with the written consent of each such approving Term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such case, (x) no Lender shall be obligated to participate in any such extension and (y) any such proposed extension of the Maturity Date with respect to a Facility shall have been offered to each Lender with Loans or Commitments under the applicable Facility proposed to be extended, and if the consents of such Lenders exceed the portion of Commitments and Loans the Borrower wishes to extend, such consents shall be accepted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among the applicable consenting Lenders. This paragraph shall apply to any Incremental Term Loans in the same manner as it applies to the Term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offer may, at the Borrower’s option, be made to the Lenders in respect of any tranche or tranches of Incremental Term Loans and/or the Term Facility without being made to any other tranche of Incremental Term Loans or the Term Facility,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(x) Collateral Documents (including any additional Collateral Documents executed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273" w:right="259" w:bottom="1440" w:gutter="0" w:footer="0" w:header="0"/>
        </w:sectPr>
      </w:pPr>
    </w:p>
    <w:bookmarkStart w:id="316" w:name="page317"/>
    <w:bookmarkEnd w:id="316"/>
    <w:p>
      <w:pPr>
        <w:ind w:right="2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80" w:lineRule="exact"/>
        <w:rPr>
          <w:sz w:val="20"/>
          <w:szCs w:val="20"/>
          <w:color w:val="auto"/>
        </w:rPr>
      </w:pPr>
    </w:p>
    <w:p>
      <w:pPr>
        <w:ind w:left="460" w:right="180" w:firstLine="443"/>
        <w:spacing w:after="0" w:line="277" w:lineRule="auto"/>
        <w:tabs>
          <w:tab w:leader="none" w:pos="111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KeyBank as an L/C Issuer or the Swing Line Lender (if applicable),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440" w:firstLine="443"/>
        <w:spacing w:after="0" w:line="312" w:lineRule="auto"/>
        <w:tabs>
          <w:tab w:leader="none" w:pos="1163" w:val="left"/>
        </w:tabs>
        <w:numPr>
          <w:ilvl w:val="0"/>
          <w:numId w:val="406"/>
        </w:numPr>
        <w:rPr>
          <w:rFonts w:ascii="Arial" w:cs="Arial" w:eastAsia="Arial" w:hAnsi="Arial"/>
          <w:sz w:val="16"/>
          <w:szCs w:val="16"/>
          <w:color w:val="auto"/>
        </w:rPr>
      </w:pPr>
      <w:r>
        <w:rPr>
          <w:rFonts w:ascii="Arial" w:cs="Arial" w:eastAsia="Arial" w:hAnsi="Arial"/>
          <w:sz w:val="16"/>
          <w:szCs w:val="16"/>
          <w:color w:val="auto"/>
        </w:rPr>
        <w:t>if to any other Lender, Swing Line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right="20" w:firstLine="464"/>
        <w:spacing w:after="0" w:line="293" w:lineRule="auto"/>
        <w:tabs>
          <w:tab w:leader="none" w:pos="711"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provided that the foregoing shall not apply to notices to any Lender or any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such L/C Issuer, as applicable, has notified the Administrative Agent that it is incapable of receiving notices under such Article by electronic communication. The Administrative Agent, the Swing Line Lender, the L/C Issuers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4" w:right="239" w:bottom="1440" w:gutter="0" w:footer="0" w:header="0"/>
        </w:sectPr>
      </w:pPr>
    </w:p>
    <w:bookmarkStart w:id="317" w:name="page318"/>
    <w:bookmarkEnd w:id="317"/>
    <w:p>
      <w:pPr>
        <w:ind w:left="-20" w:right="20" w:firstLine="464"/>
        <w:spacing w:after="0" w:line="270" w:lineRule="auto"/>
        <w:tabs>
          <w:tab w:leader="none" w:pos="681"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any Lender, any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messaging service, or through the Internet.</w:t>
      </w:r>
    </w:p>
    <w:p>
      <w:pPr>
        <w:spacing w:after="0" w:line="181" w:lineRule="exact"/>
        <w:rPr>
          <w:rFonts w:ascii="Arial" w:cs="Arial" w:eastAsia="Arial" w:hAnsi="Arial"/>
          <w:sz w:val="17"/>
          <w:szCs w:val="17"/>
          <w:color w:val="auto"/>
        </w:rPr>
      </w:pPr>
    </w:p>
    <w:p>
      <w:pPr>
        <w:ind w:left="-20" w:firstLine="464"/>
        <w:spacing w:after="0" w:line="269" w:lineRule="auto"/>
        <w:tabs>
          <w:tab w:leader="none" w:pos="691"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Laws,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2" w:lineRule="exact"/>
        <w:rPr>
          <w:rFonts w:ascii="Arial" w:cs="Arial" w:eastAsia="Arial" w:hAnsi="Arial"/>
          <w:sz w:val="17"/>
          <w:szCs w:val="17"/>
          <w:color w:val="auto"/>
        </w:rPr>
      </w:pPr>
    </w:p>
    <w:p>
      <w:pPr>
        <w:ind w:left="-20" w:right="40" w:firstLine="464"/>
        <w:spacing w:after="0" w:line="254" w:lineRule="auto"/>
        <w:tabs>
          <w:tab w:leader="none" w:pos="681"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or electronic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60" w:top="273" w:right="259" w:bottom="1440" w:gutter="0" w:footer="0" w:header="0"/>
        </w:sectPr>
      </w:pPr>
    </w:p>
    <w:bookmarkStart w:id="318" w:name="page319"/>
    <w:bookmarkEnd w:id="318"/>
    <w:p>
      <w:pPr>
        <w:ind w:right="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10.03 </w:t>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6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274" w:right="279" w:bottom="1440" w:gutter="0" w:footer="0" w:header="0"/>
        </w:sectPr>
      </w:pPr>
    </w:p>
    <w:bookmarkStart w:id="319" w:name="page320"/>
    <w:bookmarkEnd w:id="319"/>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Loans made or Letters of Credit issued hereunder, including all such out-of-pocket expenses incurred during any workout, restructuring or negotiations in respect of such Loans or Letters of Credit.</w:t>
      </w:r>
    </w:p>
    <w:p>
      <w:pPr>
        <w:spacing w:after="0" w:line="170" w:lineRule="exact"/>
        <w:rPr>
          <w:sz w:val="20"/>
          <w:szCs w:val="20"/>
          <w:color w:val="auto"/>
        </w:rPr>
      </w:pPr>
    </w:p>
    <w:p>
      <w:pPr>
        <w:ind w:firstLine="464"/>
        <w:spacing w:after="0" w:line="284" w:lineRule="auto"/>
        <w:tabs>
          <w:tab w:leader="none" w:pos="711"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Arranger, each Lender, each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w:t>
      </w:r>
    </w:p>
    <w:p>
      <w:pPr>
        <w:spacing w:after="0" w:line="1"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10.04(b)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79" w:lineRule="exact"/>
        <w:rPr>
          <w:rFonts w:ascii="Arial" w:cs="Arial" w:eastAsia="Arial" w:hAnsi="Arial"/>
          <w:sz w:val="16"/>
          <w:szCs w:val="16"/>
          <w:color w:val="auto"/>
        </w:rPr>
      </w:pPr>
    </w:p>
    <w:p>
      <w:pPr>
        <w:ind w:left="700" w:hanging="236"/>
        <w:spacing w:after="0"/>
        <w:tabs>
          <w:tab w:leader="none" w:pos="700"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Borrower for any reason fails to indefeasibly pay any amount required under subsection (a) or</w:t>
      </w:r>
    </w:p>
    <w:p>
      <w:pPr>
        <w:spacing w:after="0" w:line="46" w:lineRule="exact"/>
        <w:rPr>
          <w:rFonts w:ascii="Arial" w:cs="Arial" w:eastAsia="Arial" w:hAnsi="Arial"/>
          <w:sz w:val="16"/>
          <w:szCs w:val="16"/>
          <w:color w:val="auto"/>
        </w:rPr>
      </w:pPr>
    </w:p>
    <w:p>
      <w:pPr>
        <w:ind w:right="20" w:firstLine="8"/>
        <w:spacing w:after="0" w:line="288" w:lineRule="auto"/>
        <w:tabs>
          <w:tab w:leader="none" w:pos="255"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of this Section to be paid by it to the Administrative Agent (or any sub-agent thereof), each L/C Issuer, the Swing Line Lender or any Related Party of any of the foregoing, each Lender severally agrees to pay to the Administrative Agent (or any such sub-agent), such L/C Issuer, the Swing Line Lender or such Related Party, as the case may be, such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further that, the unreimbursed expense or indemnified loss, claim, damage, liability or related expense, as the case may be, was incurred by or asserted against the Administrative Agent (or any such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274" w:right="259" w:bottom="1440" w:gutter="0" w:footer="0" w:header="0"/>
        </w:sectPr>
      </w:pPr>
    </w:p>
    <w:bookmarkStart w:id="320" w:name="page321"/>
    <w:bookmarkEnd w:id="320"/>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81" w:lineRule="exact"/>
        <w:rPr>
          <w:sz w:val="20"/>
          <w:szCs w:val="20"/>
          <w:color w:val="auto"/>
        </w:rPr>
      </w:pPr>
    </w:p>
    <w:p>
      <w:pPr>
        <w:ind w:right="20" w:firstLine="464"/>
        <w:spacing w:after="0" w:line="272" w:lineRule="auto"/>
        <w:tabs>
          <w:tab w:leader="none" w:pos="711"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177" w:lineRule="exact"/>
        <w:rPr>
          <w:rFonts w:ascii="Arial" w:cs="Arial" w:eastAsia="Arial" w:hAnsi="Arial"/>
          <w:sz w:val="17"/>
          <w:szCs w:val="17"/>
          <w:color w:val="auto"/>
        </w:rPr>
      </w:pPr>
    </w:p>
    <w:p>
      <w:pPr>
        <w:ind w:left="700" w:hanging="236"/>
        <w:spacing w:after="0"/>
        <w:tabs>
          <w:tab w:leader="none" w:pos="7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jc w:val="both"/>
        <w:ind w:right="60" w:firstLine="464"/>
        <w:spacing w:after="0" w:line="264" w:lineRule="auto"/>
        <w:tabs>
          <w:tab w:leader="none" w:pos="681"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10.05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274" w:right="259" w:bottom="1440" w:gutter="0" w:footer="0" w:header="0"/>
        </w:sectPr>
      </w:pPr>
    </w:p>
    <w:bookmarkStart w:id="321" w:name="page322"/>
    <w:bookmarkEnd w:id="321"/>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10.06(e)</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spacing w:after="0" w:line="189" w:lineRule="exact"/>
        <w:rPr>
          <w:sz w:val="20"/>
          <w:szCs w:val="20"/>
          <w:color w:val="auto"/>
        </w:rPr>
      </w:pPr>
    </w:p>
    <w:p>
      <w:pPr>
        <w:ind w:right="140" w:firstLine="464"/>
        <w:spacing w:after="0" w:line="259" w:lineRule="auto"/>
        <w:tabs>
          <w:tab w:leader="none" w:pos="711"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8"/>
          <w:szCs w:val="18"/>
          <w:u w:val="single" w:color="auto"/>
          <w:color w:val="auto"/>
        </w:rPr>
        <w:t>Section 10.06(b)</w:t>
      </w:r>
      <w:r>
        <w:rPr>
          <w:rFonts w:ascii="Arial" w:cs="Arial" w:eastAsia="Arial" w:hAnsi="Arial"/>
          <w:sz w:val="18"/>
          <w:szCs w:val="18"/>
          <w:color w:val="auto"/>
        </w:rPr>
        <w:t>, participations in L/C Obligations and in Swing Line Loans) at the time owing to it); provided that (in each case with respect to any Facility) any such assignment shall be subject to the following conditions: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59" w:lineRule="auto"/>
        <w:tabs>
          <w:tab w:leader="none" w:pos="1635" w:val="left"/>
        </w:tabs>
        <w:numPr>
          <w:ilvl w:val="2"/>
          <w:numId w:val="41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and/or the Loans at the time owing to it (in each case with respect to any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920" w:firstLine="421"/>
        <w:spacing w:after="0" w:line="273" w:lineRule="auto"/>
        <w:tabs>
          <w:tab w:leader="none" w:pos="1625" w:val="left"/>
        </w:tabs>
        <w:numPr>
          <w:ilvl w:val="2"/>
          <w:numId w:val="412"/>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subsection (b)(i)(A)</w:t>
      </w:r>
      <w:r>
        <w:rPr>
          <w:rFonts w:ascii="Arial" w:cs="Arial" w:eastAsia="Arial" w:hAnsi="Arial"/>
          <w:sz w:val="17"/>
          <w:szCs w:val="17"/>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70" w:lineRule="exact"/>
        <w:rPr>
          <w:rFonts w:ascii="Arial" w:cs="Arial" w:eastAsia="Arial" w:hAnsi="Arial"/>
          <w:sz w:val="17"/>
          <w:szCs w:val="17"/>
          <w:color w:val="auto"/>
        </w:rPr>
      </w:pPr>
    </w:p>
    <w:p>
      <w:pPr>
        <w:ind w:left="460" w:right="200" w:firstLine="443"/>
        <w:spacing w:after="0" w:line="257" w:lineRule="auto"/>
        <w:tabs>
          <w:tab w:leader="none" w:pos="1163"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 or (B) prohibit any Lender from assigning all or a portion of its rights and obligations among the Revolving Credit Facility provided hereunder and any separate revolving credit or term loan facilities provided pursuant to the last paragraph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on a non-</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274" w:right="239" w:bottom="1440" w:gutter="0" w:footer="0" w:header="0"/>
        </w:sectPr>
      </w:pPr>
    </w:p>
    <w:bookmarkStart w:id="322" w:name="page323"/>
    <w:bookmarkEnd w:id="322"/>
    <w:p>
      <w:pPr>
        <w:ind w:right="40" w:firstLine="443"/>
        <w:spacing w:after="0" w:line="277" w:lineRule="auto"/>
        <w:tabs>
          <w:tab w:leader="none" w:pos="753"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460" w:right="20" w:firstLine="421"/>
        <w:spacing w:after="0" w:line="255" w:lineRule="auto"/>
        <w:tabs>
          <w:tab w:leader="none" w:pos="1175" w:val="left"/>
        </w:tabs>
        <w:numPr>
          <w:ilvl w:val="2"/>
          <w:numId w:val="413"/>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(2) such assignment is, in the case of the Revolving Credit Facility, to a Revolving Credit Lender, an Affiliate of a Revolving Credit Lender or an Approved Fund of a Revolving Credit Lender, or, in the case of the Term Facility, to a Lender, an Affiliate of a Lender or an Approved Fund, or (3) such assignment is made in connection with the primary syndication of the credit facility provided herein and during the ninety (90) day period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81" w:lineRule="exact"/>
        <w:rPr>
          <w:rFonts w:ascii="Arial" w:cs="Arial" w:eastAsia="Arial" w:hAnsi="Arial"/>
          <w:sz w:val="18"/>
          <w:szCs w:val="18"/>
          <w:color w:val="auto"/>
        </w:rPr>
      </w:pPr>
    </w:p>
    <w:p>
      <w:pPr>
        <w:jc w:val="both"/>
        <w:ind w:left="460" w:firstLine="421"/>
        <w:spacing w:after="0" w:line="279" w:lineRule="auto"/>
        <w:tabs>
          <w:tab w:leader="none" w:pos="1165" w:val="left"/>
        </w:tabs>
        <w:numPr>
          <w:ilvl w:val="2"/>
          <w:numId w:val="413"/>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(i) any unfunded Term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63" w:lineRule="exact"/>
        <w:rPr>
          <w:rFonts w:ascii="Arial" w:cs="Arial" w:eastAsia="Arial" w:hAnsi="Arial"/>
          <w:sz w:val="17"/>
          <w:szCs w:val="17"/>
          <w:color w:val="auto"/>
        </w:rPr>
      </w:pPr>
    </w:p>
    <w:p>
      <w:pPr>
        <w:ind w:left="1160" w:hanging="279"/>
        <w:spacing w:after="0"/>
        <w:tabs>
          <w:tab w:leader="none" w:pos="1160" w:val="left"/>
        </w:tabs>
        <w:numPr>
          <w:ilvl w:val="2"/>
          <w:numId w:val="413"/>
        </w:numPr>
        <w:rPr>
          <w:rFonts w:ascii="Arial" w:cs="Arial" w:eastAsia="Arial" w:hAnsi="Arial"/>
          <w:sz w:val="17"/>
          <w:szCs w:val="17"/>
          <w:color w:val="auto"/>
        </w:rPr>
      </w:pPr>
      <w:r>
        <w:rPr>
          <w:rFonts w:ascii="Arial" w:cs="Arial" w:eastAsia="Arial" w:hAnsi="Arial"/>
          <w:sz w:val="17"/>
          <w:szCs w:val="17"/>
          <w:color w:val="auto"/>
        </w:rPr>
        <w:t>the consent of the L/C Issuers and the Swing Line Lender shall be required for any assignment in respect of the Revolving Credit</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Facility.</w:t>
      </w:r>
    </w:p>
    <w:p>
      <w:pPr>
        <w:spacing w:after="0" w:line="102" w:lineRule="exact"/>
        <w:rPr>
          <w:rFonts w:ascii="Arial" w:cs="Arial" w:eastAsia="Arial" w:hAnsi="Arial"/>
          <w:sz w:val="17"/>
          <w:szCs w:val="17"/>
          <w:color w:val="auto"/>
        </w:rPr>
      </w:pPr>
    </w:p>
    <w:p>
      <w:pPr>
        <w:ind w:right="80" w:firstLine="443"/>
        <w:spacing w:after="0" w:line="259" w:lineRule="auto"/>
        <w:tabs>
          <w:tab w:leader="none" w:pos="743"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1"/>
          <w:numId w:val="413"/>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46" w:lineRule="exact"/>
        <w:rPr>
          <w:rFonts w:ascii="Arial" w:cs="Arial" w:eastAsia="Arial" w:hAnsi="Arial"/>
          <w:sz w:val="16"/>
          <w:szCs w:val="16"/>
          <w:color w:val="auto"/>
        </w:rPr>
      </w:pPr>
    </w:p>
    <w:p>
      <w:pPr>
        <w:ind w:right="140" w:firstLine="4"/>
        <w:spacing w:after="0" w:line="261" w:lineRule="auto"/>
        <w:tabs>
          <w:tab w:leader="none" w:pos="28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75" w:lineRule="exact"/>
        <w:rPr>
          <w:rFonts w:ascii="Arial" w:cs="Arial" w:eastAsia="Arial" w:hAnsi="Arial"/>
          <w:sz w:val="18"/>
          <w:szCs w:val="18"/>
          <w:color w:val="auto"/>
        </w:rPr>
      </w:pPr>
    </w:p>
    <w:p>
      <w:pPr>
        <w:ind w:right="140" w:firstLine="443"/>
        <w:spacing w:after="0" w:line="264" w:lineRule="auto"/>
        <w:tabs>
          <w:tab w:leader="none" w:pos="743"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40"/>
          </w:cols>
          <w:pgMar w:left="700" w:top="273" w:right="259" w:bottom="1440" w:gutter="0" w:footer="0" w:header="0"/>
        </w:sectPr>
      </w:pPr>
    </w:p>
    <w:bookmarkStart w:id="323" w:name="page324"/>
    <w:bookmarkEnd w:id="323"/>
    <w:p>
      <w:pPr>
        <w:ind w:left="44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74" w:lineRule="exact"/>
        <w:rPr>
          <w:sz w:val="20"/>
          <w:szCs w:val="20"/>
          <w:color w:val="auto"/>
        </w:rPr>
      </w:pPr>
    </w:p>
    <w:p>
      <w:pPr>
        <w:ind w:left="440" w:right="20" w:firstLine="443"/>
        <w:spacing w:after="0" w:line="287" w:lineRule="auto"/>
        <w:tabs>
          <w:tab w:leader="none" w:pos="1233" w:val="left"/>
        </w:tabs>
        <w:numPr>
          <w:ilvl w:val="1"/>
          <w:numId w:val="415"/>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172" w:lineRule="exact"/>
        <w:rPr>
          <w:rFonts w:ascii="Arial" w:cs="Arial" w:eastAsia="Arial" w:hAnsi="Arial"/>
          <w:sz w:val="16"/>
          <w:szCs w:val="16"/>
          <w:color w:val="auto"/>
        </w:rPr>
      </w:pPr>
    </w:p>
    <w:p>
      <w:pPr>
        <w:ind w:left="-20" w:firstLine="464"/>
        <w:spacing w:after="0" w:line="272" w:lineRule="auto"/>
        <w:tabs>
          <w:tab w:leader="none" w:pos="681"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60" w:top="273" w:right="239" w:bottom="1440" w:gutter="0" w:footer="0" w:header="0"/>
        </w:sectPr>
      </w:pPr>
    </w:p>
    <w:bookmarkStart w:id="324" w:name="page325"/>
    <w:bookmarkEnd w:id="324"/>
    <w:p>
      <w:pPr>
        <w:ind w:right="40" w:firstLine="464"/>
        <w:spacing w:after="0" w:line="271" w:lineRule="auto"/>
        <w:tabs>
          <w:tab w:leader="none" w:pos="711"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Participations</w:t>
      </w:r>
      <w:r>
        <w:rPr>
          <w:rFonts w:ascii="Arial" w:cs="Arial" w:eastAsia="Arial" w:hAnsi="Arial"/>
          <w:sz w:val="17"/>
          <w:szCs w:val="17"/>
          <w:color w:val="auto"/>
        </w:rPr>
        <w:t>. Any Lender may at any time, without the consent of, or notice to, the Borrower, the Administrative Agent, the Swing Line Lender or any L/C Issuer, sell participations to any Person (other than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without regard to the existence of any participation.</w:t>
      </w:r>
    </w:p>
    <w:p>
      <w:pPr>
        <w:spacing w:after="0" w:line="179"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that affects such Participant.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(it being understood that the documentation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10.13</w:t>
      </w:r>
      <w:r>
        <w:rPr>
          <w:rFonts w:ascii="Arial" w:cs="Arial" w:eastAsia="Arial" w:hAnsi="Arial"/>
          <w:sz w:val="17"/>
          <w:szCs w:val="17"/>
          <w:color w:val="auto"/>
        </w:rPr>
        <w:t xml:space="preserve"> as if it were an assignee under paragraph (b) of this Section and (B) shall not be entitled to receive any greater payment under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74" w:right="239" w:bottom="1440" w:gutter="0" w:footer="0" w:header="0"/>
        </w:sectPr>
      </w:pPr>
    </w:p>
    <w:bookmarkStart w:id="325" w:name="page326"/>
    <w:bookmarkEnd w:id="325"/>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notice to the contrary. For the avoidance of doubt, the Administrative Agent (in its capacity as Administrative Agent) shall have no responsibility for maintaining a Participant Register.</w:t>
      </w:r>
    </w:p>
    <w:p>
      <w:pPr>
        <w:spacing w:after="0" w:line="170" w:lineRule="exact"/>
        <w:rPr>
          <w:sz w:val="20"/>
          <w:szCs w:val="20"/>
          <w:color w:val="auto"/>
        </w:rPr>
      </w:pPr>
    </w:p>
    <w:p>
      <w:pPr>
        <w:ind w:firstLine="464"/>
        <w:spacing w:after="0" w:line="279" w:lineRule="auto"/>
        <w:tabs>
          <w:tab w:leader="none" w:pos="701"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rFonts w:ascii="Arial" w:cs="Arial" w:eastAsia="Arial" w:hAnsi="Arial"/>
          <w:sz w:val="17"/>
          <w:szCs w:val="17"/>
          <w:color w:val="auto"/>
        </w:rPr>
      </w:pPr>
    </w:p>
    <w:p>
      <w:pPr>
        <w:ind w:right="60" w:firstLine="464"/>
        <w:spacing w:after="0" w:line="285" w:lineRule="auto"/>
        <w:tabs>
          <w:tab w:leader="none" w:pos="681"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any Person or any other Revolving Credit Lender assigns all of its Revolving Credit Commitment and Revolving Credit Loans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such Person or such other Lender, as the case may be, may, (i) upon 30 days’ notice to the Borrower and the Lenders, resign as an L/C Issuer and/or (ii) upon 30 days’ notice to the Borrower, resign as Swing Line Lender. In the event of any such resignation as an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such Person or such other Lender as an L/C Issuer or Swing Line Lender, as the case may be. If any Person or any other Revolving Credit Lender resigns as an L/C Issuer, it shall retain all the rights, powers, privileges and duties of an L/C Issuer hereunder with respect to all applicable Letters of Credit outstanding as of the effective date of its resignation as an L/C Issuer and all applicable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any Person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applicable Letters of Credit, if any, outstanding at the time of such succession or make other arrangements satisfactory to such Person to effectively assume the obligations of such Person or such other Revolving Credit Lender, as the case may be, with respect to such Letters of Credit.</w:t>
      </w:r>
    </w:p>
    <w:p>
      <w:pPr>
        <w:spacing w:after="0" w:line="178"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10.07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L/C Issuers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274" w:right="259" w:bottom="1440" w:gutter="0" w:footer="0" w:header="0"/>
        </w:sectPr>
      </w:pPr>
    </w:p>
    <w:bookmarkStart w:id="326" w:name="page327"/>
    <w:bookmarkEnd w:id="326"/>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w:t>
      </w:r>
    </w:p>
    <w:p>
      <w:pPr>
        <w:spacing w:after="0" w:line="1" w:lineRule="exact"/>
        <w:rPr>
          <w:sz w:val="20"/>
          <w:szCs w:val="20"/>
          <w:color w:val="auto"/>
        </w:rPr>
      </w:pPr>
    </w:p>
    <w:p>
      <w:pPr>
        <w:ind w:left="260" w:hanging="252"/>
        <w:spacing w:after="0"/>
        <w:tabs>
          <w:tab w:leader="none" w:pos="26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with the consent of the Borrower or (i) to the extent such Information (i) becomes publicly available other than as a result of a breach of this Section or</w:t>
      </w:r>
    </w:p>
    <w:p>
      <w:pPr>
        <w:spacing w:after="0" w:line="32" w:lineRule="exact"/>
        <w:rPr>
          <w:rFonts w:ascii="Arial" w:cs="Arial" w:eastAsia="Arial" w:hAnsi="Arial"/>
          <w:sz w:val="16"/>
          <w:szCs w:val="16"/>
          <w:color w:val="auto"/>
        </w:rPr>
      </w:pPr>
    </w:p>
    <w:p>
      <w:pPr>
        <w:ind w:right="180" w:firstLine="8"/>
        <w:spacing w:after="0" w:line="261" w:lineRule="auto"/>
        <w:tabs>
          <w:tab w:leader="none" w:pos="26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becomes available to the Administrative Agent, any Lender, any L/C Issuer or any of their respective Affiliates on a nonconfidential basis from a source other than the Borrower.</w:t>
      </w:r>
    </w:p>
    <w:p>
      <w:pPr>
        <w:spacing w:after="0" w:line="18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Each of the Administrative Agent, the Lenders and the L/C Issuers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10.08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each L/C Issuer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or Affiliate of such Lender or such L/C Issuer different from the branch, office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274" w:right="239" w:bottom="1440" w:gutter="0" w:footer="0" w:header="0"/>
        </w:sectPr>
      </w:pPr>
    </w:p>
    <w:bookmarkStart w:id="327" w:name="page328"/>
    <w:bookmarkEnd w:id="327"/>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provided that the failure to give such notice shall not affect the validity of such setoff and application.</w:t>
      </w:r>
    </w:p>
    <w:p>
      <w:pPr>
        <w:spacing w:after="0" w:line="1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Laws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Laws,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7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73" w:right="239" w:bottom="1440" w:gutter="0" w:footer="0" w:header="0"/>
        </w:sectPr>
      </w:pPr>
    </w:p>
    <w:bookmarkStart w:id="328" w:name="page329"/>
    <w:bookmarkEnd w:id="328"/>
    <w:p>
      <w:pPr>
        <w:ind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193" w:lineRule="exact"/>
        <w:rPr>
          <w:sz w:val="20"/>
          <w:szCs w:val="20"/>
          <w:color w:val="auto"/>
        </w:rPr>
      </w:pPr>
    </w:p>
    <w:p>
      <w:pPr>
        <w:ind w:left="700" w:hanging="236"/>
        <w:spacing w:after="0"/>
        <w:tabs>
          <w:tab w:leader="none" w:pos="7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from the assignee (to the extent of such outstanding principal and accrued interest and fees) or the Borrower (in the case of all other amounts, including any amount payable under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20" w:firstLine="464"/>
        <w:spacing w:after="0" w:line="277" w:lineRule="auto"/>
        <w:tabs>
          <w:tab w:leader="none" w:pos="70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540" w:firstLine="464"/>
        <w:spacing w:after="0" w:line="277" w:lineRule="auto"/>
        <w:tabs>
          <w:tab w:leader="none" w:pos="70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273" w:right="239" w:bottom="1440" w:gutter="0" w:footer="0" w:header="0"/>
        </w:sectPr>
      </w:pPr>
    </w:p>
    <w:bookmarkStart w:id="329" w:name="page330"/>
    <w:bookmarkEnd w:id="329"/>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 Jurisdiction; Etc.</w:t>
      </w:r>
    </w:p>
    <w:p>
      <w:pPr>
        <w:spacing w:after="0" w:line="225" w:lineRule="exact"/>
        <w:rPr>
          <w:sz w:val="20"/>
          <w:szCs w:val="20"/>
          <w:color w:val="auto"/>
        </w:rPr>
      </w:pPr>
    </w:p>
    <w:p>
      <w:pPr>
        <w:ind w:right="40" w:firstLine="464"/>
        <w:spacing w:after="0" w:line="257" w:lineRule="auto"/>
        <w:tabs>
          <w:tab w:leader="none" w:pos="701"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rFonts w:ascii="Arial" w:cs="Arial" w:eastAsia="Arial" w:hAnsi="Arial"/>
          <w:sz w:val="18"/>
          <w:szCs w:val="18"/>
          <w:color w:val="auto"/>
        </w:rPr>
      </w:pPr>
    </w:p>
    <w:p>
      <w:pPr>
        <w:ind w:right="80" w:firstLine="464"/>
        <w:spacing w:after="0" w:line="268" w:lineRule="auto"/>
        <w:tabs>
          <w:tab w:leader="none" w:pos="711"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ANY LENDER OR ANY L/C ISSUER MAY OTHERWISE HAVE TO BRING ANY ACTION OR PROCEEDING RELATING TO THIS AGREEMENT OR ANY OTHER LOAN DOCUMENT AGAINST THE BORROWER OR ANY OTHER LOAN PARTY OR ITS PROPERTIES IN THE COURTS OF ANY JURISDICTION.</w:t>
      </w:r>
    </w:p>
    <w:p>
      <w:pPr>
        <w:spacing w:after="0" w:line="183" w:lineRule="exact"/>
        <w:rPr>
          <w:rFonts w:ascii="Arial" w:cs="Arial" w:eastAsia="Arial" w:hAnsi="Arial"/>
          <w:sz w:val="17"/>
          <w:szCs w:val="17"/>
          <w:color w:val="auto"/>
        </w:rPr>
      </w:pPr>
    </w:p>
    <w:p>
      <w:pPr>
        <w:ind w:firstLine="464"/>
        <w:spacing w:after="0" w:line="255" w:lineRule="auto"/>
        <w:tabs>
          <w:tab w:leader="none" w:pos="701"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74" w:right="239" w:bottom="1440" w:gutter="0" w:footer="0" w:header="0"/>
        </w:sectPr>
      </w:pPr>
    </w:p>
    <w:bookmarkStart w:id="330" w:name="page331"/>
    <w:bookmarkEnd w:id="330"/>
    <w:p>
      <w:pPr>
        <w:jc w:val="both"/>
        <w:ind w:firstLine="464"/>
        <w:spacing w:after="0" w:line="264" w:lineRule="auto"/>
        <w:tabs>
          <w:tab w:leader="none" w:pos="711"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or L/C Issuer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the Arrangers nor any Lender or L/C Issuer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274" w:right="279" w:bottom="1440" w:gutter="0" w:footer="0" w:header="0"/>
        </w:sectPr>
      </w:pPr>
    </w:p>
    <w:bookmarkStart w:id="331" w:name="page332"/>
    <w:bookmarkEnd w:id="331"/>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10.17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neither the Administrative Agent nor any Lender or L/C Issuer is under any obligation to agree to accept electronic signatures in any form or in any format unless expressly agreed to by the Administrative Agent or such Lender or such L/C Issuer, as applicable, pursuant to procedures approved by it; and provided further, without limiting the foregoing, upon the request of any party, any electronic signature shall be promptly followed by such manually executed counterpart.</w:t>
      </w:r>
    </w:p>
    <w:p>
      <w:pPr>
        <w:spacing w:after="0" w:line="18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165"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Inconsistencies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40"/>
          </w:cols>
          <w:pgMar w:left="240" w:top="274" w:right="31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Delaware corporation</w:t>
      </w:r>
    </w:p>
    <w:p>
      <w:pPr>
        <w:spacing w:after="0" w:line="24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ectPr>
          <w:pgSz w:w="11900" w:h="16838" w:orient="portrait"/>
          <w:cols w:equalWidth="0" w:num="1">
            <w:col w:w="9759"/>
          </w:cols>
          <w:pgMar w:left="700" w:top="273" w:right="1440" w:bottom="1440" w:gutter="0" w:footer="0" w:header="0"/>
        </w:sectPr>
      </w:pPr>
    </w:p>
    <w:bookmarkStart w:id="333" w:name="page334"/>
    <w:bookmarkEnd w:id="33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KEYBANK NATIONAL ASSOCIATION</w:t>
      </w:r>
      <w:r>
        <w:rPr>
          <w:rFonts w:ascii="Arial" w:cs="Arial" w:eastAsia="Arial" w:hAnsi="Arial"/>
          <w:sz w:val="18"/>
          <w:szCs w:val="18"/>
          <w:color w:val="auto"/>
        </w:rPr>
        <w:t>, 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as a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 Fowler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Jef Fowler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220"/>
          </w:cols>
          <w:pgMar w:left="1440" w:top="269" w:right="239" w:bottom="1440" w:gutter="0" w:footer="0" w:header="0"/>
        </w:sectPr>
      </w:pPr>
    </w:p>
    <w:bookmarkStart w:id="334" w:name="page335"/>
    <w:bookmarkEnd w:id="33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6"/>
          <w:szCs w:val="16"/>
          <w:color w:val="auto"/>
        </w:rPr>
        <w:t>, as a Lender</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Felty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M. Felty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9019"/>
          </w:cols>
          <w:pgMar w:left="1440" w:top="270" w:right="1440" w:bottom="1440" w:gutter="0" w:footer="0" w:header="0"/>
        </w:sectPr>
      </w:pPr>
    </w:p>
    <w:bookmarkStart w:id="335" w:name="page336"/>
    <w:bookmarkEnd w:id="33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REGIONS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A. Hall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Stuart A. Hall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220"/>
          </w:cols>
          <w:pgMar w:left="1440" w:top="270" w:right="239" w:bottom="1440" w:gutter="0" w:footer="0" w:header="0"/>
        </w:sectPr>
      </w:pPr>
    </w:p>
    <w:bookmarkStart w:id="336" w:name="page337"/>
    <w:bookmarkEnd w:id="33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SIEMENS FINANCIAL SERVICES, INC.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Levy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Maria Levy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J. Brown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Melissa J. Brown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Sr. Transaction Coordinator</w:t>
            </w:r>
          </w:p>
        </w:tc>
      </w:tr>
    </w:tbl>
    <w:p>
      <w:pPr>
        <w:sectPr>
          <w:pgSz w:w="11900" w:h="16838" w:orient="portrait"/>
          <w:cols w:equalWidth="0" w:num="1">
            <w:col w:w="10220"/>
          </w:cols>
          <w:pgMar w:left="1440" w:top="270"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19,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Guarantors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SUNTRUST ROBINSON HUMPHREY, INC.,</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Representative of the Initial Purchasers</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10.25% Senior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460" w:type="dxa"/>
            <w:vAlign w:val="bottom"/>
            <w:gridSpan w:val="3"/>
          </w:tcPr>
          <w:p>
            <w:pPr>
              <w:jc w:val="right"/>
              <w:ind w:right="472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92"/>
        </w:trPr>
        <w:tc>
          <w:tcPr>
            <w:tcW w:w="400" w:type="dxa"/>
            <w:vAlign w:val="bottom"/>
            <w:vMerge w:val="restart"/>
          </w:tcPr>
          <w:p>
            <w:pPr>
              <w:spacing w:after="0"/>
              <w:rPr>
                <w:sz w:val="20"/>
                <w:szCs w:val="20"/>
                <w:color w:val="auto"/>
              </w:rPr>
            </w:pPr>
            <w:r>
              <w:rPr>
                <w:rFonts w:ascii="Arial" w:cs="Arial" w:eastAsia="Arial" w:hAnsi="Arial"/>
                <w:sz w:val="18"/>
                <w:szCs w:val="18"/>
                <w:color w:val="auto"/>
              </w:rPr>
              <w:t>1.</w:t>
            </w:r>
          </w:p>
        </w:tc>
        <w:tc>
          <w:tcPr>
            <w:tcW w:w="3480" w:type="dxa"/>
            <w:vAlign w:val="bottom"/>
            <w:vMerge w:val="restart"/>
          </w:tcPr>
          <w:p>
            <w:pPr>
              <w:ind w:left="140"/>
              <w:spacing w:after="0"/>
              <w:rPr>
                <w:sz w:val="20"/>
                <w:szCs w:val="20"/>
                <w:color w:val="auto"/>
              </w:rPr>
            </w:pPr>
            <w:r>
              <w:rPr>
                <w:rFonts w:ascii="Arial" w:cs="Arial" w:eastAsia="Arial" w:hAnsi="Arial"/>
                <w:sz w:val="18"/>
                <w:szCs w:val="18"/>
                <w:color w:val="auto"/>
              </w:rPr>
              <w:t>Definitions</w:t>
            </w:r>
          </w:p>
        </w:tc>
        <w:tc>
          <w:tcPr>
            <w:tcW w:w="71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400" w:type="dxa"/>
            <w:vAlign w:val="bottom"/>
            <w:vMerge w:val="continue"/>
          </w:tcPr>
          <w:p>
            <w:pPr>
              <w:spacing w:after="0"/>
              <w:rPr>
                <w:sz w:val="19"/>
                <w:szCs w:val="19"/>
                <w:color w:val="auto"/>
              </w:rPr>
            </w:pPr>
          </w:p>
        </w:tc>
        <w:tc>
          <w:tcPr>
            <w:tcW w:w="3480" w:type="dxa"/>
            <w:vAlign w:val="bottom"/>
            <w:vMerge w:val="continue"/>
          </w:tcPr>
          <w:p>
            <w:pPr>
              <w:spacing w:after="0"/>
              <w:rPr>
                <w:sz w:val="19"/>
                <w:szCs w:val="19"/>
                <w:color w:val="auto"/>
              </w:rPr>
            </w:pPr>
          </w:p>
        </w:tc>
        <w:tc>
          <w:tcPr>
            <w:tcW w:w="716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3480" w:type="dxa"/>
            <w:vAlign w:val="bottom"/>
          </w:tcPr>
          <w:p>
            <w:pPr>
              <w:ind w:left="140"/>
              <w:spacing w:after="0"/>
              <w:rPr>
                <w:sz w:val="20"/>
                <w:szCs w:val="20"/>
                <w:color w:val="auto"/>
              </w:rPr>
            </w:pPr>
            <w:r>
              <w:rPr>
                <w:rFonts w:ascii="Arial" w:cs="Arial" w:eastAsia="Arial" w:hAnsi="Arial"/>
                <w:sz w:val="18"/>
                <w:szCs w:val="18"/>
                <w:color w:val="auto"/>
              </w:rPr>
              <w:t>Exchange Offer</w:t>
            </w:r>
          </w:p>
        </w:tc>
        <w:tc>
          <w:tcPr>
            <w:tcW w:w="74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3480" w:type="dxa"/>
            <w:vAlign w:val="bottom"/>
          </w:tcPr>
          <w:p>
            <w:pPr>
              <w:ind w:left="140"/>
              <w:spacing w:after="0"/>
              <w:rPr>
                <w:sz w:val="20"/>
                <w:szCs w:val="20"/>
                <w:color w:val="auto"/>
              </w:rPr>
            </w:pPr>
            <w:r>
              <w:rPr>
                <w:rFonts w:ascii="Arial" w:cs="Arial" w:eastAsia="Arial" w:hAnsi="Arial"/>
                <w:sz w:val="18"/>
                <w:szCs w:val="18"/>
                <w:color w:val="auto"/>
              </w:rPr>
              <w:t>Shelf Registration</w:t>
            </w:r>
          </w:p>
        </w:tc>
        <w:tc>
          <w:tcPr>
            <w:tcW w:w="74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3480" w:type="dxa"/>
            <w:vAlign w:val="bottom"/>
          </w:tcPr>
          <w:p>
            <w:pPr>
              <w:ind w:left="140"/>
              <w:spacing w:after="0"/>
              <w:rPr>
                <w:sz w:val="20"/>
                <w:szCs w:val="20"/>
                <w:color w:val="auto"/>
              </w:rPr>
            </w:pPr>
            <w:r>
              <w:rPr>
                <w:rFonts w:ascii="Arial" w:cs="Arial" w:eastAsia="Arial" w:hAnsi="Arial"/>
                <w:sz w:val="18"/>
                <w:szCs w:val="18"/>
                <w:color w:val="auto"/>
              </w:rPr>
              <w:t>Additional Interest</w:t>
            </w:r>
          </w:p>
        </w:tc>
        <w:tc>
          <w:tcPr>
            <w:tcW w:w="74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3480" w:type="dxa"/>
            <w:vAlign w:val="bottom"/>
          </w:tcPr>
          <w:p>
            <w:pPr>
              <w:ind w:left="140"/>
              <w:spacing w:after="0"/>
              <w:rPr>
                <w:sz w:val="20"/>
                <w:szCs w:val="20"/>
                <w:color w:val="auto"/>
              </w:rPr>
            </w:pPr>
            <w:r>
              <w:rPr>
                <w:rFonts w:ascii="Arial" w:cs="Arial" w:eastAsia="Arial" w:hAnsi="Arial"/>
                <w:sz w:val="18"/>
                <w:szCs w:val="18"/>
                <w:color w:val="auto"/>
              </w:rPr>
              <w:t>Registration Procedures</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3480" w:type="dxa"/>
            <w:vAlign w:val="bottom"/>
          </w:tcPr>
          <w:p>
            <w:pPr>
              <w:ind w:left="140"/>
              <w:spacing w:after="0"/>
              <w:rPr>
                <w:sz w:val="20"/>
                <w:szCs w:val="20"/>
                <w:color w:val="auto"/>
              </w:rPr>
            </w:pPr>
            <w:r>
              <w:rPr>
                <w:rFonts w:ascii="Arial" w:cs="Arial" w:eastAsia="Arial" w:hAnsi="Arial"/>
                <w:sz w:val="18"/>
                <w:szCs w:val="18"/>
                <w:color w:val="auto"/>
              </w:rPr>
              <w:t>Registration Expenses</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3480" w:type="dxa"/>
            <w:vAlign w:val="bottom"/>
          </w:tcPr>
          <w:p>
            <w:pPr>
              <w:ind w:left="140"/>
              <w:spacing w:after="0"/>
              <w:rPr>
                <w:sz w:val="20"/>
                <w:szCs w:val="20"/>
                <w:color w:val="auto"/>
              </w:rPr>
            </w:pPr>
            <w:r>
              <w:rPr>
                <w:rFonts w:ascii="Arial" w:cs="Arial" w:eastAsia="Arial" w:hAnsi="Arial"/>
                <w:sz w:val="18"/>
                <w:szCs w:val="18"/>
                <w:color w:val="auto"/>
              </w:rPr>
              <w:t>Indemnification and Contribution</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3480" w:type="dxa"/>
            <w:vAlign w:val="bottom"/>
          </w:tcPr>
          <w:p>
            <w:pPr>
              <w:ind w:left="140"/>
              <w:spacing w:after="0"/>
              <w:rPr>
                <w:sz w:val="20"/>
                <w:szCs w:val="20"/>
                <w:color w:val="auto"/>
              </w:rPr>
            </w:pPr>
            <w:r>
              <w:rPr>
                <w:rFonts w:ascii="Arial" w:cs="Arial" w:eastAsia="Arial" w:hAnsi="Arial"/>
                <w:sz w:val="18"/>
                <w:szCs w:val="18"/>
                <w:color w:val="auto"/>
              </w:rPr>
              <w:t>Rules 144 and 144A</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3480" w:type="dxa"/>
            <w:vAlign w:val="bottom"/>
          </w:tcPr>
          <w:p>
            <w:pPr>
              <w:ind w:left="140"/>
              <w:spacing w:after="0"/>
              <w:rPr>
                <w:sz w:val="20"/>
                <w:szCs w:val="20"/>
                <w:color w:val="auto"/>
              </w:rPr>
            </w:pPr>
            <w:r>
              <w:rPr>
                <w:rFonts w:ascii="Arial" w:cs="Arial" w:eastAsia="Arial" w:hAnsi="Arial"/>
                <w:sz w:val="18"/>
                <w:szCs w:val="18"/>
                <w:color w:val="auto"/>
              </w:rPr>
              <w:t>Underwritten Registrations</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348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460" w:type="dxa"/>
            <w:vAlign w:val="bottom"/>
            <w:gridSpan w:val="3"/>
          </w:tcPr>
          <w:p>
            <w:pPr>
              <w:jc w:val="right"/>
              <w:ind w:right="55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9" w:name="page340"/>
    <w:bookmarkEnd w:id="3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October 19, 2015, among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listed on the signature pages hereto (collectively, the “</w:t>
      </w:r>
      <w:r>
        <w:rPr>
          <w:rFonts w:ascii="Arial" w:cs="Arial" w:eastAsia="Arial" w:hAnsi="Arial"/>
          <w:sz w:val="18"/>
          <w:szCs w:val="18"/>
          <w:u w:val="single" w:color="auto"/>
          <w:color w:val="auto"/>
        </w:rPr>
        <w:t>NN Guarantors</w:t>
      </w:r>
      <w:r>
        <w:rPr>
          <w:rFonts w:ascii="Arial" w:cs="Arial" w:eastAsia="Arial" w:hAnsi="Arial"/>
          <w:sz w:val="18"/>
          <w:szCs w:val="18"/>
          <w:color w:val="auto"/>
        </w:rPr>
        <w:t>”) and SunTrust Robinson Humphrey, Inc.,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of the several initial purchasers named on Schedule A to the Purchase Agreement (as defined below) (collectively,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Upon consummation of the Acquisition (as defined in the Purchase Agreement), Precision Engineered Products Holdings, Inc. and each of its subsidiaries that join the Purchase Agreement pursuant to the Purchase Agreement Joinder (as defined in the Purchase Agreement) (collectively, the “</w:t>
      </w:r>
      <w:r>
        <w:rPr>
          <w:rFonts w:ascii="Arial" w:cs="Arial" w:eastAsia="Arial" w:hAnsi="Arial"/>
          <w:sz w:val="17"/>
          <w:szCs w:val="17"/>
          <w:u w:val="single" w:color="auto"/>
          <w:color w:val="auto"/>
        </w:rPr>
        <w:t>PEP</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Guarantors</w:t>
      </w:r>
      <w:r>
        <w:rPr>
          <w:rFonts w:ascii="Arial" w:cs="Arial" w:eastAsia="Arial" w:hAnsi="Arial"/>
          <w:sz w:val="17"/>
          <w:szCs w:val="17"/>
          <w:color w:val="auto"/>
        </w:rPr>
        <w:t>”) shall enter into a joinder agreement substantially in the form attached hereto as Exhibit A (the “</w:t>
      </w:r>
      <w:r>
        <w:rPr>
          <w:rFonts w:ascii="Arial" w:cs="Arial" w:eastAsia="Arial" w:hAnsi="Arial"/>
          <w:sz w:val="17"/>
          <w:szCs w:val="17"/>
          <w:u w:val="single" w:color="auto"/>
          <w:color w:val="auto"/>
        </w:rPr>
        <w:t>Registration Rights Joinder</w:t>
      </w:r>
      <w:r>
        <w:rPr>
          <w:rFonts w:ascii="Arial" w:cs="Arial" w:eastAsia="Arial" w:hAnsi="Arial"/>
          <w:sz w:val="17"/>
          <w:szCs w:val="17"/>
          <w:color w:val="auto"/>
        </w:rPr>
        <w:t>”) under which each of the PEP Guarantors shall become party to this Agreement. Prior to the execution and delivery of the Registration Rights Joinder, the term “</w:t>
      </w:r>
      <w:r>
        <w:rPr>
          <w:rFonts w:ascii="Arial" w:cs="Arial" w:eastAsia="Arial" w:hAnsi="Arial"/>
          <w:sz w:val="17"/>
          <w:szCs w:val="17"/>
          <w:u w:val="single" w:color="auto"/>
          <w:color w:val="auto"/>
        </w:rPr>
        <w:t>Guarantors</w:t>
      </w:r>
      <w:r>
        <w:rPr>
          <w:rFonts w:ascii="Arial" w:cs="Arial" w:eastAsia="Arial" w:hAnsi="Arial"/>
          <w:sz w:val="17"/>
          <w:szCs w:val="17"/>
          <w:color w:val="auto"/>
        </w:rPr>
        <w:t>” shall mean the NN Guarantors, and upon due execution and delivery of the Registration Rights Joinder, the NN Guarantors and the PEP Guarantors are herein collectively referred to as the “</w:t>
      </w:r>
      <w:r>
        <w:rPr>
          <w:rFonts w:ascii="Arial" w:cs="Arial" w:eastAsia="Arial" w:hAnsi="Arial"/>
          <w:sz w:val="17"/>
          <w:szCs w:val="17"/>
          <w:u w:val="single" w:color="auto"/>
          <w:color w:val="auto"/>
        </w:rPr>
        <w:t>Guarantors</w:t>
      </w:r>
      <w:r>
        <w:rPr>
          <w:rFonts w:ascii="Arial" w:cs="Arial" w:eastAsia="Arial" w:hAnsi="Arial"/>
          <w:sz w:val="17"/>
          <w:szCs w:val="17"/>
          <w:i w:val="1"/>
          <w:iCs w:val="1"/>
          <w:color w:val="auto"/>
        </w:rPr>
        <w:t>.</w:t>
      </w:r>
      <w:r>
        <w:rPr>
          <w:rFonts w:ascii="Arial" w:cs="Arial" w:eastAsia="Arial" w:hAnsi="Arial"/>
          <w:sz w:val="17"/>
          <w:szCs w:val="17"/>
          <w:color w:val="auto"/>
        </w:rPr>
        <w:t>” Prior to the execution and delivery of the Registration Rights Joinder, the term “</w:t>
      </w:r>
      <w:r>
        <w:rPr>
          <w:rFonts w:ascii="Arial" w:cs="Arial" w:eastAsia="Arial" w:hAnsi="Arial"/>
          <w:sz w:val="17"/>
          <w:szCs w:val="17"/>
          <w:u w:val="single" w:color="auto"/>
          <w:color w:val="auto"/>
        </w:rPr>
        <w:t>Guarantees</w:t>
      </w:r>
      <w:r>
        <w:rPr>
          <w:rFonts w:ascii="Arial" w:cs="Arial" w:eastAsia="Arial" w:hAnsi="Arial"/>
          <w:sz w:val="17"/>
          <w:szCs w:val="17"/>
          <w:color w:val="auto"/>
        </w:rPr>
        <w:t>” shall mean the guarantees of the Notes by the NN Guarantors, and upon due execution and delivery of the Registration Rights Joinder, the guarantees of the Notes by the NN Guarantors and the PEP Guarantors are herein collectively referred to as the “</w:t>
      </w:r>
      <w:r>
        <w:rPr>
          <w:rFonts w:ascii="Arial" w:cs="Arial" w:eastAsia="Arial" w:hAnsi="Arial"/>
          <w:sz w:val="17"/>
          <w:szCs w:val="17"/>
          <w:u w:val="single" w:color="auto"/>
          <w:color w:val="auto"/>
        </w:rPr>
        <w:t>Guarantees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This Agreement is entered into in connection with the Purchase Agreement by and among the Company, the NN Guarantors and the Representative, dated as of October 16, 2015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which provides for, among other things, the sale by the Company to the Initial Purchasers of $300,000,000 aggregate principal amount of the Company’s 10.25% Senior Notes due 2020 (the “</w:t>
      </w:r>
      <w:r>
        <w:rPr>
          <w:rFonts w:ascii="Arial" w:cs="Arial" w:eastAsia="Arial" w:hAnsi="Arial"/>
          <w:sz w:val="17"/>
          <w:szCs w:val="17"/>
          <w:u w:val="single" w:color="auto"/>
          <w:color w:val="auto"/>
        </w:rPr>
        <w:t>Notes</w:t>
      </w:r>
      <w:r>
        <w:rPr>
          <w:rFonts w:ascii="Arial" w:cs="Arial" w:eastAsia="Arial" w:hAnsi="Arial"/>
          <w:sz w:val="17"/>
          <w:szCs w:val="17"/>
          <w:color w:val="auto"/>
        </w:rPr>
        <w:t>”). The Notes are issued under an indenture, dated as of October 19, 2015 (as amended or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the NN Guarantors and U.S. Bank National Association, as Trustee (as defined below). Pursuant to the Purchase Agreement and the Indenture, each Guarantor is required to unconditionally guarantee, on a senior unsecured basis, the Company’s obligations under the Notes and the Indenture. The Notes and the Guarantees are collectively referred to as the “</w:t>
      </w:r>
      <w:r>
        <w:rPr>
          <w:rFonts w:ascii="Arial" w:cs="Arial" w:eastAsia="Arial" w:hAnsi="Arial"/>
          <w:sz w:val="17"/>
          <w:szCs w:val="17"/>
          <w:u w:val="single" w:color="auto"/>
          <w:color w:val="auto"/>
        </w:rPr>
        <w:t>Securities</w:t>
      </w:r>
      <w:r>
        <w:rPr>
          <w:rFonts w:ascii="Arial" w:cs="Arial" w:eastAsia="Arial" w:hAnsi="Arial"/>
          <w:sz w:val="17"/>
          <w:szCs w:val="17"/>
          <w:color w:val="auto"/>
        </w:rPr>
        <w:t>”. In order to induce the Representative to enter into the Purchase Agreement, the Company has agreed to provide the registration rights set forth in this Agreement for the benefit of the Initial Purchasers and, except as otherwise set forth herein, any subsequent Holder (as defined below) or Holders of the Securities. The execution and delivery of this Agreement is a condition to the Initial Purchasers’ obligation to purchase the Securities under the Purchase Agreement.</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hereby agree as follows:</w:t>
      </w:r>
    </w:p>
    <w:p>
      <w:pPr>
        <w:spacing w:after="0" w:line="131"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Additional Interest</w:t>
      </w:r>
      <w:r>
        <w:rPr>
          <w:rFonts w:ascii="Arial" w:cs="Arial" w:eastAsia="Arial" w:hAnsi="Arial"/>
          <w:sz w:val="18"/>
          <w:szCs w:val="18"/>
          <w:color w:val="auto"/>
        </w:rPr>
        <w:t>: See Section 4(a)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Advice</w:t>
      </w:r>
      <w:r>
        <w:rPr>
          <w:rFonts w:ascii="Arial" w:cs="Arial" w:eastAsia="Arial" w:hAnsi="Arial"/>
          <w:sz w:val="18"/>
          <w:szCs w:val="18"/>
          <w:color w:val="auto"/>
        </w:rPr>
        <w:t>: See the last paragraph of Section 5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Applicable Period</w:t>
      </w:r>
      <w:r>
        <w:rPr>
          <w:rFonts w:ascii="Arial" w:cs="Arial" w:eastAsia="Arial" w:hAnsi="Arial"/>
          <w:sz w:val="18"/>
          <w:szCs w:val="18"/>
          <w:color w:val="auto"/>
        </w:rPr>
        <w:t>: See Section 2(b) hereof.</w:t>
      </w:r>
    </w:p>
    <w:p>
      <w:pPr>
        <w:sectPr>
          <w:pgSz w:w="11900" w:h="16838" w:orient="portrait"/>
          <w:cols w:equalWidth="0" w:num="1">
            <w:col w:w="11400"/>
          </w:cols>
          <w:pgMar w:left="240" w:top="274" w:right="259" w:bottom="1440" w:gutter="0" w:footer="0" w:header="0"/>
        </w:sectPr>
      </w:pPr>
    </w:p>
    <w:bookmarkStart w:id="340" w:name="page341"/>
    <w:bookmarkEnd w:id="340"/>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Application</w:t>
      </w:r>
      <w:r>
        <w:rPr>
          <w:rFonts w:ascii="Arial" w:cs="Arial" w:eastAsia="Arial" w:hAnsi="Arial"/>
          <w:sz w:val="18"/>
          <w:szCs w:val="18"/>
          <w:color w:val="auto"/>
        </w:rPr>
        <w:t>: See Section 7(a)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See the meaning ascribed to such term in Rule 14d-1 under the Exchange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u w:val="single" w:color="auto"/>
          <w:color w:val="auto"/>
        </w:rPr>
        <w:t>Effectiveness Date</w:t>
      </w:r>
      <w:r>
        <w:rPr>
          <w:rFonts w:ascii="Arial" w:cs="Arial" w:eastAsia="Arial" w:hAnsi="Arial"/>
          <w:sz w:val="18"/>
          <w:szCs w:val="18"/>
          <w:color w:val="auto"/>
        </w:rPr>
        <w:t>: With respect to (i) the Exchange Offer Registration Statement, the 300th day after the Issue Date and (ii) any Shelf Registration Statement, the later of (x) the 300th day after the Issue Date and (y) the 90th day following the date such Shelf Registration Statement was filed; provided, however, that if the Effectiveness Date would otherwise fall on a day that is not a Business Day, then the Effectiveness Date shall be the next succeeding Business Day.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Effectiveness Period</w:t>
      </w:r>
      <w:r>
        <w:rPr>
          <w:rFonts w:ascii="Arial" w:cs="Arial" w:eastAsia="Arial" w:hAnsi="Arial"/>
          <w:sz w:val="18"/>
          <w:szCs w:val="18"/>
          <w:color w:val="auto"/>
        </w:rPr>
        <w:t>: See Section 3(a)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Exchange Act</w:t>
      </w:r>
      <w:r>
        <w:rPr>
          <w:rFonts w:ascii="Arial" w:cs="Arial" w:eastAsia="Arial" w:hAnsi="Arial"/>
          <w:sz w:val="17"/>
          <w:szCs w:val="17"/>
          <w:color w:val="auto"/>
        </w:rPr>
        <w:t>: The Securities Exchange Act of 1934, as amended, and the rules and regulations of the SEC promulgated thereunder.</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Exchange Notes</w:t>
      </w:r>
      <w:r>
        <w:rPr>
          <w:rFonts w:ascii="Arial" w:cs="Arial" w:eastAsia="Arial" w:hAnsi="Arial"/>
          <w:sz w:val="18"/>
          <w:szCs w:val="18"/>
          <w:color w:val="auto"/>
        </w:rPr>
        <w:t>: See Section 2(a)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Exchange Offer</w:t>
      </w:r>
      <w:r>
        <w:rPr>
          <w:rFonts w:ascii="Arial" w:cs="Arial" w:eastAsia="Arial" w:hAnsi="Arial"/>
          <w:sz w:val="18"/>
          <w:szCs w:val="18"/>
          <w:color w:val="auto"/>
        </w:rPr>
        <w:t>: See Section 2(a)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See Section 2(a)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Exchange Securities</w:t>
      </w:r>
      <w:r>
        <w:rPr>
          <w:rFonts w:ascii="Arial" w:cs="Arial" w:eastAsia="Arial" w:hAnsi="Arial"/>
          <w:sz w:val="18"/>
          <w:szCs w:val="18"/>
          <w:color w:val="auto"/>
        </w:rPr>
        <w:t>: See Section 2(a)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Financial Industry Regulatory Authority, Inc.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Holder</w:t>
      </w:r>
      <w:r>
        <w:rPr>
          <w:rFonts w:ascii="Arial" w:cs="Arial" w:eastAsia="Arial" w:hAnsi="Arial"/>
          <w:sz w:val="18"/>
          <w:szCs w:val="18"/>
          <w:color w:val="auto"/>
        </w:rPr>
        <w:t>: Any holder of a Registrable Security or Registrable Securities.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See Section 5(o)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Information Deadline: See Section 3(d)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Initial Purchasers</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Initial Shelf Registration</w:t>
      </w:r>
      <w:r>
        <w:rPr>
          <w:rFonts w:ascii="Arial" w:cs="Arial" w:eastAsia="Arial" w:hAnsi="Arial"/>
          <w:sz w:val="18"/>
          <w:szCs w:val="18"/>
          <w:color w:val="auto"/>
        </w:rPr>
        <w:t>: See Section 3(a)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Inspectors</w:t>
      </w:r>
      <w:r>
        <w:rPr>
          <w:rFonts w:ascii="Arial" w:cs="Arial" w:eastAsia="Arial" w:hAnsi="Arial"/>
          <w:sz w:val="18"/>
          <w:szCs w:val="18"/>
          <w:color w:val="auto"/>
        </w:rPr>
        <w:t>: See Section 5(o)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October 19, 2015, the date of original issuance of the Securities.</w:t>
      </w:r>
    </w:p>
    <w:p>
      <w:pPr>
        <w:spacing w:after="0" w:line="225" w:lineRule="exact"/>
        <w:rPr>
          <w:sz w:val="20"/>
          <w:szCs w:val="20"/>
          <w:color w:val="auto"/>
        </w:rPr>
      </w:pPr>
    </w:p>
    <w:p>
      <w:pPr>
        <w:ind w:left="920" w:right="6380" w:firstLine="1"/>
        <w:spacing w:after="0" w:line="519" w:lineRule="auto"/>
        <w:tabs>
          <w:tab w:leader="none" w:pos="1225" w:val="left"/>
        </w:tabs>
        <w:numPr>
          <w:ilvl w:val="0"/>
          <w:numId w:val="42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See the introductory paragraphs hereto. </w:t>
      </w:r>
      <w:r>
        <w:rPr>
          <w:rFonts w:ascii="Arial" w:cs="Arial" w:eastAsia="Arial" w:hAnsi="Arial"/>
          <w:sz w:val="16"/>
          <w:szCs w:val="16"/>
          <w:u w:val="single" w:color="auto"/>
          <w:color w:val="auto"/>
        </w:rPr>
        <w:t>Notes</w:t>
      </w:r>
      <w:r>
        <w:rPr>
          <w:rFonts w:ascii="Arial" w:cs="Arial" w:eastAsia="Arial" w:hAnsi="Arial"/>
          <w:sz w:val="16"/>
          <w:szCs w:val="16"/>
          <w:color w:val="auto"/>
        </w:rPr>
        <w:t>: See the introductory paragraphs hereto.</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341" w:name="page342"/>
    <w:bookmarkEnd w:id="341"/>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w:t>
      </w:r>
      <w:r>
        <w:rPr>
          <w:rFonts w:ascii="Arial" w:cs="Arial" w:eastAsia="Arial" w:hAnsi="Arial"/>
          <w:sz w:val="18"/>
          <w:szCs w:val="18"/>
          <w:color w:val="auto"/>
        </w:rPr>
        <w:t>: See Section 7(a)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Participating Broker-Dealer</w:t>
      </w:r>
      <w:r>
        <w:rPr>
          <w:rFonts w:ascii="Arial" w:cs="Arial" w:eastAsia="Arial" w:hAnsi="Arial"/>
          <w:sz w:val="18"/>
          <w:szCs w:val="18"/>
          <w:color w:val="auto"/>
        </w:rPr>
        <w:t>: See Section 2(b)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PEP Guarantor</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 individual, trustee, corporation, partnership, limited liability company, joint stock company, trust, unincorporated association, union, business association, firm or other legal entity.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Private Exchange</w:t>
      </w:r>
      <w:r>
        <w:rPr>
          <w:rFonts w:ascii="Arial" w:cs="Arial" w:eastAsia="Arial" w:hAnsi="Arial"/>
          <w:sz w:val="18"/>
          <w:szCs w:val="18"/>
          <w:color w:val="auto"/>
        </w:rPr>
        <w:t>: See Section 2(b)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Private Exchange Securities</w:t>
      </w:r>
      <w:r>
        <w:rPr>
          <w:rFonts w:ascii="Arial" w:cs="Arial" w:eastAsia="Arial" w:hAnsi="Arial"/>
          <w:sz w:val="18"/>
          <w:szCs w:val="18"/>
          <w:color w:val="auto"/>
        </w:rPr>
        <w:t>: See Section 2(b) hereof.</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u w:val="single" w:color="auto"/>
          <w:color w:val="auto"/>
        </w:rPr>
        <w:t>Prospectus</w:t>
      </w:r>
      <w:r>
        <w:rPr>
          <w:rFonts w:ascii="Arial" w:cs="Arial" w:eastAsia="Arial" w:hAnsi="Arial"/>
          <w:sz w:val="16"/>
          <w:szCs w:val="16"/>
          <w:color w:val="auto"/>
        </w:rPr>
        <w:t>: The prospectus included in any Registration Statement (including, without limitation, any prospectus subject to completion and a prospectus that includes any information previously omitted from a prospectus filed as part of an effective registration statement in reliance upon Rule 430A or 430C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See the introductory paragraphs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See Section 5(o) hereof.</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u w:val="single" w:color="auto"/>
          <w:color w:val="auto"/>
        </w:rPr>
        <w:t>Registrable Securities</w:t>
      </w:r>
      <w:r>
        <w:rPr>
          <w:rFonts w:ascii="Arial" w:cs="Arial" w:eastAsia="Arial" w:hAnsi="Arial"/>
          <w:sz w:val="16"/>
          <w:szCs w:val="16"/>
          <w:color w:val="auto"/>
        </w:rPr>
        <w:t>: Each Security upon its original issuance and at all times subsequent thereto, each Exchange Security as to which Section 2(c)(iv) hereof is applicable upon original issuance and at all times subsequent thereto, each Private Exchange Note upon original issuance thereof and at all times subsequent thereto, and, in each case, the related Guarantees, until, in each case, the earliest to occur of (i) a Registration Statement (other than, with respect to any Exchange Securities as to which Section 2(c)(iv) hereof is applicable, the Exchange Offer Registration Statement) covering such Security, Exchange Security or Private Exchange Note (and the related Guarantees) has been declared effective by the SEC and such Security, Exchange Note or Private Exchange Security (and the related Guarantees), as the case may be, has been disposed of in accordance with such effective Registration Statement,</w:t>
      </w:r>
    </w:p>
    <w:p>
      <w:pPr>
        <w:spacing w:after="0" w:line="5" w:lineRule="exact"/>
        <w:rPr>
          <w:sz w:val="20"/>
          <w:szCs w:val="20"/>
          <w:color w:val="auto"/>
        </w:rPr>
      </w:pPr>
    </w:p>
    <w:p>
      <w:pPr>
        <w:ind w:right="60" w:firstLine="8"/>
        <w:spacing w:after="0" w:line="290" w:lineRule="auto"/>
        <w:tabs>
          <w:tab w:leader="none" w:pos="26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such Security has been exchanged pursuant to the Exchange Offer for an Exchange Security or Exchange Securities that may be resold without restriction under state and federal securities laws, (iii) such Security, Exchange Security or Private Exchange Note (and the related Guarantees), as the case may be, ceases to be outstanding for purposes of the Indenture or any indenture (if different) governing the Exchange Securities and Private Exchange Securities, as applicable, or (iv) the later of (x) the date which is two years after the date the Securities were originally issued and (y) the date upon which such Security, Exchange Security or Private Exchange Note has been resold in compliance with Rule 144,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Security, Exchange Security or Private Exchange Note, as the case may be, does not bear any restrictive legend relating to the Securities Act and does not bear a restricted CUSIP number.</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Registration Rights Joinder</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Any registration statement of the Company that covers any of the Securities, the Exchange Securities or the Private Exchange Securities filed with the SEC under the Securities Act,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42" w:name="page343"/>
    <w:bookmarkEnd w:id="342"/>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Regulatory Requirements</w:t>
      </w:r>
      <w:r>
        <w:rPr>
          <w:rFonts w:ascii="Arial" w:cs="Arial" w:eastAsia="Arial" w:hAnsi="Arial"/>
          <w:sz w:val="18"/>
          <w:szCs w:val="18"/>
          <w:color w:val="auto"/>
        </w:rPr>
        <w:t>: See the last paragraph of this Section 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Representative</w:t>
      </w:r>
      <w:r>
        <w:rPr>
          <w:rFonts w:ascii="Arial" w:cs="Arial" w:eastAsia="Arial" w:hAnsi="Arial"/>
          <w:sz w:val="18"/>
          <w:szCs w:val="18"/>
          <w:color w:val="auto"/>
        </w:rPr>
        <w:t>: See the first introductory paragraph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Rule 144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144A</w:t>
      </w:r>
      <w:r>
        <w:rPr>
          <w:rFonts w:ascii="Arial" w:cs="Arial" w:eastAsia="Arial" w:hAnsi="Arial"/>
          <w:sz w:val="18"/>
          <w:szCs w:val="18"/>
          <w:color w:val="auto"/>
        </w:rPr>
        <w:t>: Rule 144A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405</w:t>
      </w:r>
      <w:r>
        <w:rPr>
          <w:rFonts w:ascii="Arial" w:cs="Arial" w:eastAsia="Arial" w:hAnsi="Arial"/>
          <w:sz w:val="18"/>
          <w:szCs w:val="18"/>
          <w:color w:val="auto"/>
        </w:rPr>
        <w:t>: Rule 405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415</w:t>
      </w:r>
      <w:r>
        <w:rPr>
          <w:rFonts w:ascii="Arial" w:cs="Arial" w:eastAsia="Arial" w:hAnsi="Arial"/>
          <w:sz w:val="18"/>
          <w:szCs w:val="18"/>
          <w:color w:val="auto"/>
        </w:rPr>
        <w:t>: Rule 415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424</w:t>
      </w:r>
      <w:r>
        <w:rPr>
          <w:rFonts w:ascii="Arial" w:cs="Arial" w:eastAsia="Arial" w:hAnsi="Arial"/>
          <w:sz w:val="18"/>
          <w:szCs w:val="18"/>
          <w:color w:val="auto"/>
        </w:rPr>
        <w:t>: Rule 424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The U.S.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 and the rules and regulations of the SEC promulgated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Shelf Notice</w:t>
      </w:r>
      <w:r>
        <w:rPr>
          <w:rFonts w:ascii="Arial" w:cs="Arial" w:eastAsia="Arial" w:hAnsi="Arial"/>
          <w:sz w:val="18"/>
          <w:szCs w:val="18"/>
          <w:color w:val="auto"/>
        </w:rPr>
        <w:t>: See Section 2(c)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 The Initial Shelf Registration and any Subsequent Shelf Registration.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Any Registration Statement relating to a Shelf Registration.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Shelf Suspension Period</w:t>
      </w:r>
      <w:r>
        <w:rPr>
          <w:rFonts w:ascii="Arial" w:cs="Arial" w:eastAsia="Arial" w:hAnsi="Arial"/>
          <w:sz w:val="18"/>
          <w:szCs w:val="18"/>
          <w:color w:val="auto"/>
        </w:rPr>
        <w:t>: See Section 3(a)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See Section 3(b)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TIA</w:t>
      </w:r>
      <w:r>
        <w:rPr>
          <w:rFonts w:ascii="Arial" w:cs="Arial" w:eastAsia="Arial" w:hAnsi="Arial"/>
          <w:sz w:val="18"/>
          <w:szCs w:val="18"/>
          <w:color w:val="auto"/>
        </w:rPr>
        <w:t>: The Trust Indenture Act of 1939, as amended.</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The trustee under the Indenture and the trustee (if any) under any indenture governing the Exchange Securities and Private Exchange Securities (and the related Guarantees).</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A registration in which securities of the Company are sold to an underwriter for reoffering to the public.</w:t>
      </w:r>
    </w:p>
    <w:p>
      <w:pPr>
        <w:spacing w:after="0" w:line="17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Except as otherwise specifically provided, all references in this Agreement to acts, laws, statutes, rules, regulations, releases, forms, no-action letters and other regulatory requirements (collectively, “</w:t>
      </w:r>
      <w:r>
        <w:rPr>
          <w:rFonts w:ascii="Arial" w:cs="Arial" w:eastAsia="Arial" w:hAnsi="Arial"/>
          <w:sz w:val="18"/>
          <w:szCs w:val="18"/>
          <w:u w:val="single" w:color="auto"/>
          <w:color w:val="auto"/>
        </w:rPr>
        <w:t>Regulatory Requirements</w:t>
      </w:r>
      <w:r>
        <w:rPr>
          <w:rFonts w:ascii="Arial" w:cs="Arial" w:eastAsia="Arial" w:hAnsi="Arial"/>
          <w:sz w:val="18"/>
          <w:szCs w:val="18"/>
          <w:color w:val="auto"/>
        </w:rPr>
        <w:t xml:space="preserve">”) shall be deemed to refer also to any amendments thereto and all subsequent Regulatory Requirements adopted as a replacement thereto having substantially the same effect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Rule 144 shall not be deemed to amend or replace Rule 144A.</w:t>
      </w:r>
    </w:p>
    <w:p>
      <w:pPr>
        <w:spacing w:after="0" w:line="335" w:lineRule="exact"/>
        <w:rPr>
          <w:sz w:val="20"/>
          <w:szCs w:val="20"/>
          <w:color w:val="auto"/>
        </w:rPr>
      </w:pPr>
    </w:p>
    <w:p>
      <w:pPr>
        <w:ind w:left="900" w:hanging="446"/>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Exchange Offer</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1"/>
          <w:numId w:val="427"/>
        </w:numPr>
        <w:rPr>
          <w:rFonts w:ascii="Arial" w:cs="Arial" w:eastAsia="Arial" w:hAnsi="Arial"/>
          <w:sz w:val="18"/>
          <w:szCs w:val="18"/>
          <w:color w:val="auto"/>
        </w:rPr>
      </w:pPr>
      <w:r>
        <w:rPr>
          <w:rFonts w:ascii="Arial" w:cs="Arial" w:eastAsia="Arial" w:hAnsi="Arial"/>
          <w:sz w:val="18"/>
          <w:szCs w:val="18"/>
          <w:color w:val="auto"/>
        </w:rPr>
        <w:t>Unless the Exchange Offer would violate applicable law or any applicable interpretation of the staff of the SEC, each of the Company and the Guarantors shall use its commercially reasonable efforts to file with the SEC a Registration Statement (the “</w:t>
      </w: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on an appropriate registration form with respect to a registered offer (the “</w:t>
      </w:r>
      <w:r>
        <w:rPr>
          <w:rFonts w:ascii="Arial" w:cs="Arial" w:eastAsia="Arial" w:hAnsi="Arial"/>
          <w:sz w:val="18"/>
          <w:szCs w:val="18"/>
          <w:u w:val="single" w:color="auto"/>
          <w:color w:val="auto"/>
        </w:rPr>
        <w:t>Exchange Offer</w:t>
      </w:r>
      <w:r>
        <w:rPr>
          <w:rFonts w:ascii="Arial" w:cs="Arial" w:eastAsia="Arial" w:hAnsi="Arial"/>
          <w:sz w:val="18"/>
          <w:szCs w:val="18"/>
          <w:color w:val="auto"/>
        </w:rPr>
        <w:t>”)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3" w:right="279" w:bottom="1440" w:gutter="0" w:footer="0" w:header="0"/>
        </w:sectPr>
      </w:pPr>
    </w:p>
    <w:bookmarkStart w:id="343" w:name="page344"/>
    <w:bookmarkEnd w:id="3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any and all of the Registrable Securities for a like aggregate principal amount of debt securities of the Company (the “</w:t>
      </w:r>
      <w:r>
        <w:rPr>
          <w:rFonts w:ascii="Arial" w:cs="Arial" w:eastAsia="Arial" w:hAnsi="Arial"/>
          <w:sz w:val="17"/>
          <w:szCs w:val="17"/>
          <w:u w:val="single" w:color="auto"/>
          <w:color w:val="auto"/>
        </w:rPr>
        <w:t>Exchange Notes</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guaranteed, to the extent applicable, on a senior unsecured basis by the Guarantors (the “</w:t>
      </w:r>
      <w:r>
        <w:rPr>
          <w:rFonts w:ascii="Arial" w:cs="Arial" w:eastAsia="Arial" w:hAnsi="Arial"/>
          <w:sz w:val="17"/>
          <w:szCs w:val="17"/>
          <w:u w:val="single" w:color="auto"/>
          <w:color w:val="auto"/>
        </w:rPr>
        <w:t>New Guarantees</w:t>
      </w:r>
      <w:r>
        <w:rPr>
          <w:rFonts w:ascii="Arial" w:cs="Arial" w:eastAsia="Arial" w:hAnsi="Arial"/>
          <w:sz w:val="17"/>
          <w:szCs w:val="17"/>
          <w:color w:val="auto"/>
        </w:rPr>
        <w:t>” and, together with the Exchange Notes,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Securities</w:t>
      </w:r>
      <w:r>
        <w:rPr>
          <w:rFonts w:ascii="Arial" w:cs="Arial" w:eastAsia="Arial" w:hAnsi="Arial"/>
          <w:sz w:val="16"/>
          <w:szCs w:val="16"/>
          <w:color w:val="auto"/>
        </w:rPr>
        <w:t>”), that are identical in all material respects to the Notes, except that (i) the Exchange Notes shall contain no restrictive legend thereon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interest thereon shall accrue from the last date on which interest was paid on the Notes or if no such interest has been paid, from the Issue Date,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are entitled to the benefits of the Indenture or a trust indenture which is identical in all material respects to the Indenture (other than such changes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or any such identical trust indenture as are necessary to comply with the TIA) and which, in either case, conforms to the requirements necessary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qualification under the TIA. The Exchange Offer shall comply with all applicable tender offer rules and regulations under the Exchange Act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applicable laws. Each of the Company and the Guarantors shall (x) use its commercially reasonable efforts to cause the Exchange Offer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to be declared effective under the Securities Act on or before the Effectiveness Date; (y) keep the Exchange Offer open for at least 30 days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longer if required by applicable law) after the date that notice of the Exchange Offer is mailed to Holders; and (z) consummate the Exchange Offer on or prior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330th day following the Issue Date.</w:t>
      </w:r>
    </w:p>
    <w:p>
      <w:pPr>
        <w:spacing w:after="0" w:line="211"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Each Holder (including, without limitation, each Participating Broker-Dealer), as a condition to participate in the Exchange Offer, will be required to represent to the Company in writing (which may be contained in the applicable letter of transmittal) that: (i) any Exchange Securities acquired in exchange for Registrable Securities tendered are being acquired in the ordinary course of business of the Person receiving such Exchange Securities, whether or not such recipient is such Holder itself; (ii) at the time of the commencement or consummation of the Exchange Offer neither such Holder nor, to the actual knowledge of such Holder, any other Person receiving Exchange Securities from such Holder has an arrangement or understanding with any Person to participate in the “distribution” (within the meaning of the Securities Act) of the Exchange Securities in violation of the provisions of the Securities Act;</w:t>
      </w:r>
    </w:p>
    <w:p>
      <w:pPr>
        <w:spacing w:after="0" w:line="5" w:lineRule="exact"/>
        <w:rPr>
          <w:sz w:val="20"/>
          <w:szCs w:val="20"/>
          <w:color w:val="auto"/>
        </w:rPr>
      </w:pPr>
    </w:p>
    <w:p>
      <w:pPr>
        <w:ind w:right="120" w:firstLine="8"/>
        <w:spacing w:after="0" w:line="281" w:lineRule="auto"/>
        <w:tabs>
          <w:tab w:leader="none" w:pos="31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neither the Holder nor, to the actual knowledge of such Holder, any other Person receiving Exchange Securities from such Holder is an “affiliate” (as defined in Rule 405) of the Company or, if it is an affiliate of the Company, it will comply with the registration and prospectus delivery requirements of the Securities Act to the extent applicable and will provide information to be included in the Shelf Registration Statement in accordance with Section 5 hereof in order to have their Notes included in the Shelf Registration Statement and benefit from the provisions regarding Additional Interest in Section 4 hereof;</w:t>
      </w:r>
    </w:p>
    <w:p>
      <w:pPr>
        <w:spacing w:after="0" w:line="2" w:lineRule="exact"/>
        <w:rPr>
          <w:rFonts w:ascii="Arial" w:cs="Arial" w:eastAsia="Arial" w:hAnsi="Arial"/>
          <w:sz w:val="16"/>
          <w:szCs w:val="16"/>
          <w:color w:val="auto"/>
        </w:rPr>
      </w:pPr>
    </w:p>
    <w:p>
      <w:pPr>
        <w:ind w:right="20" w:firstLine="8"/>
        <w:spacing w:after="0" w:line="270" w:lineRule="auto"/>
        <w:tabs>
          <w:tab w:leader="none" w:pos="305" w:val="left"/>
        </w:tabs>
        <w:numPr>
          <w:ilvl w:val="0"/>
          <w:numId w:val="428"/>
        </w:numPr>
        <w:rPr>
          <w:rFonts w:ascii="Arial" w:cs="Arial" w:eastAsia="Arial" w:hAnsi="Arial"/>
          <w:sz w:val="17"/>
          <w:szCs w:val="17"/>
          <w:color w:val="auto"/>
        </w:rPr>
      </w:pPr>
      <w:r>
        <w:rPr>
          <w:rFonts w:ascii="Arial" w:cs="Arial" w:eastAsia="Arial" w:hAnsi="Arial"/>
          <w:sz w:val="17"/>
          <w:szCs w:val="17"/>
          <w:color w:val="auto"/>
        </w:rPr>
        <w:t>neither such Holder nor, to the actual knowledge of such Holder, any other Person receiving Exchange Securities from such Holder is engaging in or intends to engage in a distribution of the Exchange Securities; (v) if such Holder is not a Participating Broker-Dealer, that it is not engaged in, and does not intend to engage in, the distribution of the Securities; (vi) if such Holder is a Participating Broker-Dealer, such Holder has acquired the Registrable Securities as a result of market-making activities or other trading activities and that it will comply with the applicable provisions of the Securities Act (including, but not limited to, the prospectus delivery requirements thereunder) in connection with any resale of the Exchange Securities; and (vii) such Holder is not acting on behalf of any Person who could not truthfully make the foregoing representations.</w:t>
      </w:r>
    </w:p>
    <w:p>
      <w:pPr>
        <w:spacing w:after="0" w:line="179"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 xml:space="preserve">Upon consummation of the Exchange Offer in accordance with this Section 2, the provisions of this Agreement shall continue to apply, </w:t>
      </w:r>
      <w:r>
        <w:rPr>
          <w:rFonts w:ascii="Arial" w:cs="Arial" w:eastAsia="Arial" w:hAnsi="Arial"/>
          <w:sz w:val="16"/>
          <w:szCs w:val="16"/>
          <w:u w:val="single" w:color="auto"/>
          <w:color w:val="auto"/>
        </w:rPr>
        <w:t>mutatis</w:t>
      </w:r>
      <w:r>
        <w:rPr>
          <w:rFonts w:ascii="Arial" w:cs="Arial" w:eastAsia="Arial" w:hAnsi="Arial"/>
          <w:sz w:val="16"/>
          <w:szCs w:val="16"/>
          <w:color w:val="auto"/>
        </w:rPr>
        <w:t xml:space="preserve"> </w:t>
      </w:r>
      <w:r>
        <w:rPr>
          <w:rFonts w:ascii="Arial" w:cs="Arial" w:eastAsia="Arial" w:hAnsi="Arial"/>
          <w:sz w:val="16"/>
          <w:szCs w:val="16"/>
          <w:u w:val="single" w:color="auto"/>
          <w:color w:val="auto"/>
        </w:rPr>
        <w:t>mutandis</w:t>
      </w:r>
      <w:r>
        <w:rPr>
          <w:rFonts w:ascii="Arial" w:cs="Arial" w:eastAsia="Arial" w:hAnsi="Arial"/>
          <w:sz w:val="16"/>
          <w:szCs w:val="16"/>
          <w:color w:val="auto"/>
        </w:rPr>
        <w:t>, solely with respect to Registrable Securities that are Private Exchange Securities, Exchange Securities as to which Section 2(c)(iv) hereof is applicable and Exchange Securities held by Participating Broker-Dealers, and the Company shall have no further obligation to register Registrable Securities (other than Private Exchange Securities and Exchange Securities as to which Section 2(c)(iv) hereof applies) pursuant to Section 3 hereof.</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securities other than the Exchange Securities shall be included in the Exchange Offer Registration Statement.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44" w:name="page345"/>
    <w:bookmarkEnd w:id="344"/>
    <w:p>
      <w:pPr>
        <w:ind w:right="60" w:firstLine="921"/>
        <w:spacing w:after="0" w:line="270" w:lineRule="auto"/>
        <w:tabs>
          <w:tab w:leader="none" w:pos="1168" w:val="left"/>
        </w:tabs>
        <w:numPr>
          <w:ilvl w:val="0"/>
          <w:numId w:val="4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include within the Prospectus contained in the Exchange Offer Registration Statement a section entitled “Plan of Distribution,” reasonably acceptable to the Initial Purchasers, which shall contain a summary statement of the positions taken or policies made by the staff of the SEC with respect to the potential “underwriter” status of any broker-dealer that is the “beneficial owner” (as defined in Rule 13d-3 under the Exchange Act) of Exchange Securities received by such broker-dealer in the Exchange Offer (a “</w:t>
      </w:r>
      <w:r>
        <w:rPr>
          <w:rFonts w:ascii="Arial" w:cs="Arial" w:eastAsia="Arial" w:hAnsi="Arial"/>
          <w:sz w:val="17"/>
          <w:szCs w:val="17"/>
          <w:u w:val="single" w:color="auto"/>
          <w:color w:val="auto"/>
        </w:rPr>
        <w:t>Participating Broker-Dealer</w:t>
      </w:r>
      <w:r>
        <w:rPr>
          <w:rFonts w:ascii="Arial" w:cs="Arial" w:eastAsia="Arial" w:hAnsi="Arial"/>
          <w:sz w:val="17"/>
          <w:szCs w:val="17"/>
          <w:color w:val="auto"/>
        </w:rPr>
        <w:t>”), whether such positions or policies have been publicly disseminated by the staff of the SEC or such positions or policies represent the prevailing views of the staff of the SEC. Such “Plan of Distribution” section shall also expressly permit, to the extent permitted by applicable policies and regulations of the SEC, the use of the Prospectus by all Persons subject to the prospectus delivery requirements of the Securities Act, including, to the extent permitted by applicable policies and regulations of the SEC, all Participating Broker-Dealers, and include a statement describing the means by which Participating Broker-Dealers may resell the Exchange Securities in compliance with the Securities Act.</w:t>
      </w:r>
    </w:p>
    <w:p>
      <w:pPr>
        <w:spacing w:after="0" w:line="182" w:lineRule="exact"/>
        <w:rPr>
          <w:sz w:val="20"/>
          <w:szCs w:val="20"/>
          <w:color w:val="auto"/>
        </w:rPr>
      </w:pPr>
    </w:p>
    <w:p>
      <w:pPr>
        <w:ind w:right="340" w:firstLine="913"/>
        <w:spacing w:after="0" w:line="257" w:lineRule="auto"/>
        <w:rPr>
          <w:sz w:val="20"/>
          <w:szCs w:val="20"/>
          <w:color w:val="auto"/>
        </w:rPr>
      </w:pPr>
      <w:r>
        <w:rPr>
          <w:rFonts w:ascii="Arial" w:cs="Arial" w:eastAsia="Arial" w:hAnsi="Arial"/>
          <w:sz w:val="18"/>
          <w:szCs w:val="18"/>
          <w:color w:val="auto"/>
        </w:rPr>
        <w:t xml:space="preserve">The Company shall use its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is necessary to comply with applicable law in connection with any resale of the Exchange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period shall not be required to exceed 90 days or such longer period if extended pursuant to the last paragraph of Section 5 hereof (the “</w:t>
      </w:r>
      <w:r>
        <w:rPr>
          <w:rFonts w:ascii="Arial" w:cs="Arial" w:eastAsia="Arial" w:hAnsi="Arial"/>
          <w:sz w:val="18"/>
          <w:szCs w:val="18"/>
          <w:u w:val="single" w:color="auto"/>
          <w:color w:val="auto"/>
        </w:rPr>
        <w:t>Applicable Period</w:t>
      </w:r>
      <w:r>
        <w:rPr>
          <w:rFonts w:ascii="Arial" w:cs="Arial" w:eastAsia="Arial" w:hAnsi="Arial"/>
          <w:sz w:val="18"/>
          <w:szCs w:val="18"/>
          <w:color w:val="auto"/>
        </w:rPr>
        <w:t>”).</w:t>
      </w:r>
    </w:p>
    <w:p>
      <w:pPr>
        <w:spacing w:after="0" w:line="18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If, upon consummation of the Exchange Offer, the Initial Purchasers hold any Securities acquired by them that have the status of an unsold allotment in the initial distribution, the Company, upon the request of the Initial Purchasers, shall simultaneously with the delivery of the Exchange Securities issue and deliver to the Initial Purchasers, in exchange (the “</w:t>
      </w:r>
      <w:r>
        <w:rPr>
          <w:rFonts w:ascii="Arial" w:cs="Arial" w:eastAsia="Arial" w:hAnsi="Arial"/>
          <w:sz w:val="17"/>
          <w:szCs w:val="17"/>
          <w:u w:val="single" w:color="auto"/>
          <w:color w:val="auto"/>
        </w:rPr>
        <w:t>Private Exchange</w:t>
      </w:r>
      <w:r>
        <w:rPr>
          <w:rFonts w:ascii="Arial" w:cs="Arial" w:eastAsia="Arial" w:hAnsi="Arial"/>
          <w:sz w:val="17"/>
          <w:szCs w:val="17"/>
          <w:color w:val="auto"/>
        </w:rPr>
        <w:t>”) for such Notes held by any such Holder, a like principal amount of notes (the “</w:t>
      </w:r>
      <w:r>
        <w:rPr>
          <w:rFonts w:ascii="Arial" w:cs="Arial" w:eastAsia="Arial" w:hAnsi="Arial"/>
          <w:sz w:val="17"/>
          <w:szCs w:val="17"/>
          <w:u w:val="single" w:color="auto"/>
          <w:color w:val="auto"/>
        </w:rPr>
        <w:t>Private Exchange Securities</w:t>
      </w:r>
      <w:r>
        <w:rPr>
          <w:rFonts w:ascii="Arial" w:cs="Arial" w:eastAsia="Arial" w:hAnsi="Arial"/>
          <w:sz w:val="17"/>
          <w:szCs w:val="17"/>
          <w:color w:val="auto"/>
        </w:rPr>
        <w:t>”) of the Company, unconditionally guaranteed by the Guarantors on a senior unsecured basis, that are identical in all material respects to the Exchange Securities except for the existence of restrictions on transfer thereof under the Securities Act and securities laws of the several states of the United States. The Private Exchange Securities shall be issued pursuant to the same indenture as the Exchange Securities and bear the same CUSIP number as the Exchange Securities if permitted by the CUSIP Service Bureau.</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the Exchange Offer, the Company shall:</w:t>
      </w:r>
    </w:p>
    <w:p>
      <w:pPr>
        <w:spacing w:after="0" w:line="117" w:lineRule="exact"/>
        <w:rPr>
          <w:sz w:val="20"/>
          <w:szCs w:val="20"/>
          <w:color w:val="auto"/>
        </w:rPr>
      </w:pPr>
    </w:p>
    <w:p>
      <w:pPr>
        <w:ind w:left="460" w:firstLine="443"/>
        <w:spacing w:after="0" w:line="277" w:lineRule="auto"/>
        <w:tabs>
          <w:tab w:leader="none" w:pos="115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mail, or cause to be mailed, to each Holder of record entitled to participate in the Exchange Offer a copy of the Prospectus forming part of the Exchange Offer Registration Statement, together with an appropriate letter of transmittal and related documents;</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use its commercially reasonable efforts to keep the Exchange Offer open for not less than 30 days after the date that notice of the Exchange Offer is mailed to Holders (or longer if required by applicable law);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utilize the services of a depositary for the Exchange Offer with an address in the Borough of Manhattan, the City of New York;</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Exchange Offer remains open;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45" w:name="page346"/>
    <w:bookmarkEnd w:id="34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otherwise comply in all material respects with all applicable laws, rules and regulations.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soon as practicable after the close of the Exchange Offer and the Private Exchange, if any, the Company shall:</w:t>
      </w:r>
    </w:p>
    <w:p>
      <w:pPr>
        <w:spacing w:after="0" w:line="117" w:lineRule="exact"/>
        <w:rPr>
          <w:sz w:val="20"/>
          <w:szCs w:val="20"/>
          <w:color w:val="auto"/>
        </w:rPr>
      </w:pPr>
    </w:p>
    <w:p>
      <w:pPr>
        <w:ind w:left="460" w:right="400" w:firstLine="443"/>
        <w:spacing w:after="0" w:line="277" w:lineRule="auto"/>
        <w:tabs>
          <w:tab w:leader="none" w:pos="115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accept for exchange all Registrable Securities validly tendered and not validly withdrawn pursuant to the Exchange Offer and the Private Exchange, if any;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deliver to the Trustee for cancellation all Registrable Securities so accepted for exchange; and</w:t>
      </w:r>
    </w:p>
    <w:p>
      <w:pPr>
        <w:spacing w:after="0" w:line="117" w:lineRule="exact"/>
        <w:rPr>
          <w:rFonts w:ascii="Arial" w:cs="Arial" w:eastAsia="Arial" w:hAnsi="Arial"/>
          <w:sz w:val="18"/>
          <w:szCs w:val="18"/>
          <w:color w:val="auto"/>
        </w:rPr>
      </w:pPr>
    </w:p>
    <w:p>
      <w:pPr>
        <w:ind w:left="460" w:right="120" w:firstLine="443"/>
        <w:spacing w:after="0" w:line="302" w:lineRule="auto"/>
        <w:tabs>
          <w:tab w:leader="none" w:pos="115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cause the Trustee to authenticate and deliver promptly to each Holder of Registrable Securities, Exchange Securities or Private Exchange Securities, as the case may be, equal in principal amount to the Notes of such Holder so accepted for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Notes held in global form by a depositary, authentication and delivery to such depositary of one or more replacement Notes in global form in an equivalent principal amount thereto for the account of such Holders in accordance with the Indenture shall satisfy such authentication and delivery requirement.</w:t>
      </w:r>
    </w:p>
    <w:p>
      <w:pPr>
        <w:spacing w:after="0" w:line="15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Exchange Offer and the Private Exchange shall not be subject to any conditions, other than that (i) the Exchange Offer or Private Exchange, as the case may be, does not violate applicable law or any applicable interpretation of the staff of the SEC; (ii) no action or proceeding shall have been instituted or threatened in any court or by any governmental agency which might materially impair the ability of the Company to proceed with the Exchange Offer or the Private Exchange, and no material adverse development shall have occurred in any existing action or proceeding with respect to the Company; and (iii) all governmental approvals shall have been obtained, which approvals the Company deems necessary for the consummation of the Exchange Offer or Private Exchange.</w:t>
      </w:r>
    </w:p>
    <w:p>
      <w:pPr>
        <w:spacing w:after="0" w:line="19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Exchange Notes and the Private Exchange Notes (and related guarantees) shall be issued under (i) the Indenture or (ii) an indenture identical in all material respects to the Indenture and which, in either case, conforms to the requirements necessary for qualification under the TIA or is exempt from such qualification and shall provide that the Exchange Securities shall not be subject to the transfer restrictions set forth in the Indenture. The Indenture or such indenture shall provide that the Exchange Notes, the Private Exchange Notes and the Notes shall vote and consent together on all matters as one class and that none of the Exchange Notes, the Private Exchange Notes or the Notes will have the right to vote or consent as a separate class on any matter.</w:t>
      </w:r>
    </w:p>
    <w:p>
      <w:pPr>
        <w:spacing w:after="0" w:line="158" w:lineRule="exact"/>
        <w:rPr>
          <w:sz w:val="20"/>
          <w:szCs w:val="20"/>
          <w:color w:val="auto"/>
        </w:rPr>
      </w:pPr>
    </w:p>
    <w:p>
      <w:pPr>
        <w:ind w:firstLine="921"/>
        <w:spacing w:after="0" w:line="254" w:lineRule="auto"/>
        <w:tabs>
          <w:tab w:leader="none" w:pos="115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If, (i) because of any change in law or in currently prevailing interpretations of the staff of the SEC, the Company is not permitted to effect the Exchange Offer, (ii) the Exchange Offer is not consummated within 330 days of the Issue Date, (iii) any Holder of Private Exchange Securities so requests in writing to the Company at any time after the consummation of the Exchange Offer, or (iv) in the case of any Holder that participates in the Exchange Offer, such Holder does not receive Exchange Securities on the date of the exchange that may be sold without restriction under state and federal securities laws (other than due solely to the status of such Holder as an affiliate of the Company within the meaning of the Securities Act) and so notifies the Company within 30 days after such Holder first becomes aware of such restrictions, in the case of each of clauses (i) to and including (iv) of this sentence, then the Company shall promptly deliver to the Holders and the Trustee written notice thereof (the “</w:t>
      </w:r>
      <w:r>
        <w:rPr>
          <w:rFonts w:ascii="Arial" w:cs="Arial" w:eastAsia="Arial" w:hAnsi="Arial"/>
          <w:sz w:val="18"/>
          <w:szCs w:val="18"/>
          <w:u w:val="single" w:color="auto"/>
          <w:color w:val="auto"/>
        </w:rPr>
        <w:t>Shelf Notice</w:t>
      </w:r>
      <w:r>
        <w:rPr>
          <w:rFonts w:ascii="Arial" w:cs="Arial" w:eastAsia="Arial" w:hAnsi="Arial"/>
          <w:sz w:val="18"/>
          <w:szCs w:val="18"/>
          <w:color w:val="auto"/>
        </w:rPr>
        <w:t>”) and shall file a Shelf Registration pursuant to Section 3 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6" w:name="page347"/>
    <w:bookmarkEnd w:id="346"/>
    <w:p>
      <w:pPr>
        <w:ind w:left="446" w:hanging="446"/>
        <w:spacing w:after="0"/>
        <w:tabs>
          <w:tab w:leader="none" w:pos="446"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Shelf Registration</w:t>
      </w:r>
    </w:p>
    <w:p>
      <w:pPr>
        <w:spacing w:after="0" w:line="11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If at any time a Shelf Notice is delivered as contemplated by Section 2(c) hereof, then:</w:t>
      </w:r>
    </w:p>
    <w:p>
      <w:pPr>
        <w:spacing w:after="0" w:line="117" w:lineRule="exact"/>
        <w:rPr>
          <w:sz w:val="20"/>
          <w:szCs w:val="20"/>
          <w:color w:val="auto"/>
        </w:rPr>
      </w:pPr>
    </w:p>
    <w:p>
      <w:pPr>
        <w:ind w:left="6" w:right="40" w:firstLine="443"/>
        <w:spacing w:after="0" w:line="276" w:lineRule="auto"/>
        <w:tabs>
          <w:tab w:leader="none" w:pos="689"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Shelf Registration</w:t>
      </w:r>
      <w:r>
        <w:rPr>
          <w:rFonts w:ascii="Arial" w:cs="Arial" w:eastAsia="Arial" w:hAnsi="Arial"/>
          <w:sz w:val="17"/>
          <w:szCs w:val="17"/>
          <w:color w:val="auto"/>
        </w:rPr>
        <w:t>. The Company shall use its commercially reasonable efforts to file with the SEC a Registration Statement for an offering to be made on a continuous basis pursuant to Rule 415 covering all of the Registrable Securities (the “</w:t>
      </w:r>
      <w:r>
        <w:rPr>
          <w:rFonts w:ascii="Arial" w:cs="Arial" w:eastAsia="Arial" w:hAnsi="Arial"/>
          <w:sz w:val="17"/>
          <w:szCs w:val="17"/>
          <w:u w:val="single" w:color="auto"/>
          <w:color w:val="auto"/>
        </w:rPr>
        <w:t>Initial Shelf Registration</w:t>
      </w:r>
      <w:r>
        <w:rPr>
          <w:rFonts w:ascii="Arial" w:cs="Arial" w:eastAsia="Arial" w:hAnsi="Arial"/>
          <w:sz w:val="17"/>
          <w:szCs w:val="17"/>
          <w:color w:val="auto"/>
        </w:rPr>
        <w:t>”). The Initial Shelf Registration shall be on Form S-1 or another appropriate form permitting registration of such Registrable Securities for resale by Holders in the manner or manners designated by them (including, without limitation, one or more Underwritten Offerings). The Company shall not permit any securities other than the Registrable Securities to be included in the Initial Shelf Registration or any Subsequent Shelf Registration.</w:t>
      </w:r>
    </w:p>
    <w:p>
      <w:pPr>
        <w:spacing w:after="0" w:line="64" w:lineRule="exact"/>
        <w:rPr>
          <w:sz w:val="20"/>
          <w:szCs w:val="20"/>
          <w:color w:val="auto"/>
        </w:rPr>
      </w:pPr>
    </w:p>
    <w:p>
      <w:pPr>
        <w:ind w:left="6" w:firstLine="438"/>
        <w:spacing w:after="0" w:line="283" w:lineRule="auto"/>
        <w:rPr>
          <w:sz w:val="20"/>
          <w:szCs w:val="20"/>
          <w:color w:val="auto"/>
        </w:rPr>
      </w:pPr>
      <w:r>
        <w:rPr>
          <w:rFonts w:ascii="Arial" w:cs="Arial" w:eastAsia="Arial" w:hAnsi="Arial"/>
          <w:sz w:val="16"/>
          <w:szCs w:val="16"/>
          <w:color w:val="auto"/>
        </w:rPr>
        <w:t>The Company shall use its commercially reasonable efforts to cause the Shelf Registration to be declared effective under the Securities Act on or prior to the Effectiveness Date and to keep the Initial Shelf Registration continuously effective under the Securities Act until the earliest of (i) the date that is two years from the Issue Date, (ii) such shorter period ending when all Registrable Securities covered by the Initial Shelf Registration have been sold in the manner set forth and as contemplated in the Initial Shelf Registration or, if applicable, a Subsequent Shelf Registration or (iii) the date upon which all Registrable Securities have been sold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Effectiveness Period in respect of the Initial Shelf Registration shall be extended to the extent required to permit dealers to comply with the applicable prospectus delivery requirements of Rule 174 under the Securities Act and as otherwise provided herein. Notwithstanding anything to the contrary in this Agreement, at any time, the Company may delay the filing of any Initial Shelf Registration Statement or delay or suspend the effectiveness thereof, for a reasonable period of time, but not in excess of an aggregate of 60 days in any calendar year (each, a “</w:t>
      </w:r>
      <w:r>
        <w:rPr>
          <w:rFonts w:ascii="Arial" w:cs="Arial" w:eastAsia="Arial" w:hAnsi="Arial"/>
          <w:sz w:val="16"/>
          <w:szCs w:val="16"/>
          <w:u w:val="single" w:color="auto"/>
          <w:color w:val="auto"/>
        </w:rPr>
        <w:t>Shelf Suspension Period</w:t>
      </w:r>
      <w:r>
        <w:rPr>
          <w:rFonts w:ascii="Arial" w:cs="Arial" w:eastAsia="Arial" w:hAnsi="Arial"/>
          <w:sz w:val="16"/>
          <w:szCs w:val="16"/>
          <w:color w:val="auto"/>
        </w:rPr>
        <w:t>”), if the Board of Directors of the Company determines reasonably and in good faith that (a) the filing of any such Initial Shelf Registration Statement or the continuing effectiveness thereof would require the disclosure of material non-public information that, in the reasonable judgment of the Board of Directors of the Company, would be detrimental to the Company if so disclosed or would otherwise materially adversely affect a financing, acquisition, disposition, merger or other material transaction or</w:t>
      </w:r>
    </w:p>
    <w:p>
      <w:pPr>
        <w:spacing w:after="0" w:line="4" w:lineRule="exact"/>
        <w:rPr>
          <w:sz w:val="20"/>
          <w:szCs w:val="20"/>
          <w:color w:val="auto"/>
        </w:rPr>
      </w:pPr>
    </w:p>
    <w:p>
      <w:pPr>
        <w:ind w:left="6" w:right="220" w:firstLine="4"/>
        <w:spacing w:after="0" w:line="261" w:lineRule="auto"/>
        <w:tabs>
          <w:tab w:leader="none" w:pos="26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such action is required by applicable law. If, following any such sixty (60) day period, Holders desire to exercise the registration right pursuant to Section 3.1(a), Holders shall resubmit a written request for registration to the Company pursuant to Section 3.1(a).</w:t>
      </w:r>
    </w:p>
    <w:p>
      <w:pPr>
        <w:spacing w:after="0" w:line="75" w:lineRule="exact"/>
        <w:rPr>
          <w:rFonts w:ascii="Arial" w:cs="Arial" w:eastAsia="Arial" w:hAnsi="Arial"/>
          <w:sz w:val="18"/>
          <w:szCs w:val="18"/>
          <w:color w:val="auto"/>
        </w:rPr>
      </w:pPr>
    </w:p>
    <w:p>
      <w:pPr>
        <w:ind w:left="6" w:right="40" w:firstLine="443"/>
        <w:spacing w:after="0" w:line="288" w:lineRule="auto"/>
        <w:tabs>
          <w:tab w:leader="none" w:pos="699"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Withdrawal of Stop Orders; Subsequent Shelf Registrations</w:t>
      </w:r>
      <w:r>
        <w:rPr>
          <w:rFonts w:ascii="Arial" w:cs="Arial" w:eastAsia="Arial" w:hAnsi="Arial"/>
          <w:sz w:val="16"/>
          <w:szCs w:val="16"/>
          <w:color w:val="auto"/>
        </w:rPr>
        <w:t>. If the Initial Shelf Registration or any Subsequent Shelf Registration ceases to be effective for any reason at any time during the Effectiveness Period (other than because of the sale of all of the Securities registered thereunder), the Company shall, subject to the last sentence of Section (3)(a) above, use its commercially reasonable efforts to obtain the prompt withdrawal of any order suspending the effectiveness thereof, and in any event shall within 30 days of such cessation of effectiveness amend such Shelf Registration Statement in a manner to obtain the withdrawal of the order suspending the effectiveness thereof, or file an additional Shelf Registration Statement pursuant to Rule 415 covering all of the Registrable Securities covered by and not sold under the Initial Shelf Registration or an earlier Subsequent Shelf Registration (each, a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If a Subsequent Shelf Registration is filed, the Company shall, subject to the last sentence of Section (3)(a) above, use its commercially reasonable efforts to cause the Subsequent Shelf Registration to be declared effective under the Securities Act as soon as practicable after such filing and to keep such Subsequent Shelf Registration continuously effective for a period equal to the number of days in the Effectiveness Period less the aggregate number of days during which</w:t>
      </w:r>
    </w:p>
    <w:p>
      <w:pPr>
        <w:spacing w:after="0" w:line="10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74" w:right="239" w:bottom="1440" w:gutter="0" w:footer="0" w:header="0"/>
        </w:sectPr>
      </w:pPr>
    </w:p>
    <w:bookmarkStart w:id="347" w:name="page348"/>
    <w:bookmarkEnd w:id="347"/>
    <w:p>
      <w:pPr>
        <w:ind w:left="36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Shelf Registration or any Subsequent Shelf Registration was previously effective. As used herein the term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the Initial Shelf Registration and any Subsequent Shelf Registration.</w:t>
      </w:r>
    </w:p>
    <w:p>
      <w:pPr>
        <w:spacing w:after="0" w:line="62" w:lineRule="exact"/>
        <w:rPr>
          <w:sz w:val="20"/>
          <w:szCs w:val="20"/>
          <w:color w:val="auto"/>
        </w:rPr>
      </w:pPr>
    </w:p>
    <w:p>
      <w:pPr>
        <w:ind w:left="360" w:right="360" w:firstLine="443"/>
        <w:spacing w:after="0" w:line="276" w:lineRule="auto"/>
        <w:tabs>
          <w:tab w:leader="none" w:pos="1043" w:val="left"/>
        </w:tabs>
        <w:numPr>
          <w:ilvl w:val="1"/>
          <w:numId w:val="436"/>
        </w:numPr>
        <w:rPr>
          <w:rFonts w:ascii="Arial" w:cs="Arial" w:eastAsia="Arial" w:hAnsi="Arial"/>
          <w:sz w:val="17"/>
          <w:szCs w:val="17"/>
          <w:color w:val="auto"/>
        </w:rPr>
      </w:pPr>
      <w:r>
        <w:rPr>
          <w:rFonts w:ascii="Arial" w:cs="Arial" w:eastAsia="Arial" w:hAnsi="Arial"/>
          <w:sz w:val="17"/>
          <w:szCs w:val="17"/>
          <w:u w:val="single" w:color="auto"/>
          <w:color w:val="auto"/>
        </w:rPr>
        <w:t>Supplements and Amendments</w:t>
      </w:r>
      <w:r>
        <w:rPr>
          <w:rFonts w:ascii="Arial" w:cs="Arial" w:eastAsia="Arial" w:hAnsi="Arial"/>
          <w:sz w:val="17"/>
          <w:szCs w:val="17"/>
          <w:color w:val="auto"/>
        </w:rPr>
        <w:t>. The Company shall promptly supplement and amend any Shelf Registration if required by the rules, regulations or instructions applicable to the registration form used for such Shelf Registration, if required by the Securities Act, or if reasonably requested by the Holders of a majority in aggregate principal amount of the Registrable Securities (or their counsel) covered by such Registration Statement with respect to the information included therein with respect to one or more of such Holders, or by any underwriter of such Registrable Securities with respect to the information included therein with respect to such underwriter.</w:t>
      </w:r>
    </w:p>
    <w:p>
      <w:pPr>
        <w:spacing w:after="0" w:line="64" w:lineRule="exact"/>
        <w:rPr>
          <w:rFonts w:ascii="Arial" w:cs="Arial" w:eastAsia="Arial" w:hAnsi="Arial"/>
          <w:sz w:val="17"/>
          <w:szCs w:val="17"/>
          <w:color w:val="auto"/>
        </w:rPr>
      </w:pPr>
    </w:p>
    <w:p>
      <w:pPr>
        <w:ind w:left="360" w:firstLine="443"/>
        <w:spacing w:after="0" w:line="289" w:lineRule="auto"/>
        <w:tabs>
          <w:tab w:leader="none" w:pos="1053" w:val="left"/>
        </w:tabs>
        <w:numPr>
          <w:ilvl w:val="1"/>
          <w:numId w:val="436"/>
        </w:numPr>
        <w:rPr>
          <w:rFonts w:ascii="Arial" w:cs="Arial" w:eastAsia="Arial" w:hAnsi="Arial"/>
          <w:sz w:val="16"/>
          <w:szCs w:val="16"/>
          <w:color w:val="auto"/>
        </w:rPr>
      </w:pPr>
      <w:r>
        <w:rPr>
          <w:rFonts w:ascii="Arial" w:cs="Arial" w:eastAsia="Arial" w:hAnsi="Arial"/>
          <w:sz w:val="16"/>
          <w:szCs w:val="16"/>
          <w:u w:val="single" w:color="auto"/>
          <w:color w:val="auto"/>
        </w:rPr>
        <w:t>Provision of Information</w:t>
      </w:r>
      <w:r>
        <w:rPr>
          <w:rFonts w:ascii="Arial" w:cs="Arial" w:eastAsia="Arial" w:hAnsi="Arial"/>
          <w:sz w:val="16"/>
          <w:szCs w:val="16"/>
          <w:color w:val="auto"/>
        </w:rPr>
        <w:t>. Not less than 25 days prior to the filing of any Shelf Registration Statement pursuant to this Agreement with the SEC, the Company shall make written request of the Holders of Registrable Securities to provide such information as the Company and the Trustee may request relating to Holders that would be required by the SEC to have such Holder’s Registrable Securities be included in such Shelf Registration Statement or Prospectus included therein. No Holder of Registrable Securities shall be entitled to include any of its Registrable Securities in any Shelf Registration Statement pursuant to this Agreement unless such Holder furnishes to the Company and the Trustee in writing, within 20 days (the “</w:t>
      </w:r>
      <w:r>
        <w:rPr>
          <w:rFonts w:ascii="Arial" w:cs="Arial" w:eastAsia="Arial" w:hAnsi="Arial"/>
          <w:sz w:val="16"/>
          <w:szCs w:val="16"/>
          <w:u w:val="single" w:color="auto"/>
          <w:color w:val="auto"/>
        </w:rPr>
        <w:t>Information Deadline</w:t>
      </w:r>
      <w:r>
        <w:rPr>
          <w:rFonts w:ascii="Arial" w:cs="Arial" w:eastAsia="Arial" w:hAnsi="Arial"/>
          <w:sz w:val="16"/>
          <w:szCs w:val="16"/>
          <w:color w:val="auto"/>
        </w:rPr>
        <w:t>”) after receipt of a written request therefor, such information as the Company and the Trustee may request relating to Holders that would be required by the SEC to have such Holder’s Entitled Securities be included in such Shelf Registration Statement or Prospectus included therein, and no such Holder shall be entitled to benefit from the provisions regarding Additional Interest pursuant to Section 4 hereof during the period from the Information Deadline to the date on which such Holder has provided such required information.</w:t>
      </w:r>
    </w:p>
    <w:p>
      <w:pPr>
        <w:spacing w:after="0" w:line="315" w:lineRule="exact"/>
        <w:rPr>
          <w:rFonts w:ascii="Arial" w:cs="Arial" w:eastAsia="Arial" w:hAnsi="Arial"/>
          <w:sz w:val="16"/>
          <w:szCs w:val="16"/>
          <w:color w:val="auto"/>
        </w:rPr>
      </w:pPr>
    </w:p>
    <w:p>
      <w:pPr>
        <w:ind w:left="800" w:hanging="446"/>
        <w:spacing w:after="0"/>
        <w:tabs>
          <w:tab w:leader="none" w:pos="80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Additional Interest</w:t>
      </w:r>
    </w:p>
    <w:p>
      <w:pPr>
        <w:spacing w:after="0" w:line="117" w:lineRule="exact"/>
        <w:rPr>
          <w:rFonts w:ascii="Arial" w:cs="Arial" w:eastAsia="Arial" w:hAnsi="Arial"/>
          <w:sz w:val="18"/>
          <w:szCs w:val="18"/>
          <w:color w:val="auto"/>
        </w:rPr>
      </w:pPr>
    </w:p>
    <w:p>
      <w:pPr>
        <w:ind w:left="-100" w:right="200" w:firstLine="921"/>
        <w:spacing w:after="0" w:line="259" w:lineRule="auto"/>
        <w:tabs>
          <w:tab w:leader="none" w:pos="1058" w:val="left"/>
        </w:tabs>
        <w:numPr>
          <w:ilvl w:val="2"/>
          <w:numId w:val="437"/>
        </w:numPr>
        <w:rPr>
          <w:rFonts w:ascii="Arial" w:cs="Arial" w:eastAsia="Arial" w:hAnsi="Arial"/>
          <w:sz w:val="18"/>
          <w:szCs w:val="18"/>
          <w:color w:val="auto"/>
        </w:rPr>
      </w:pPr>
      <w:r>
        <w:rPr>
          <w:rFonts w:ascii="Arial" w:cs="Arial" w:eastAsia="Arial" w:hAnsi="Arial"/>
          <w:sz w:val="18"/>
          <w:szCs w:val="18"/>
          <w:color w:val="auto"/>
        </w:rPr>
        <w:t>The Company and the Initial Purchasers agree that the Holders will suffer damages if the Company fails to fulfill its obligations under Section 2 or Section 3 hereof and that it would not be feasible to ascertain the extent of such damages with precision. Accordingly, the Company agrees to pay, as liquidated damages, additional cash interest on the Notes (“</w:t>
      </w:r>
      <w:r>
        <w:rPr>
          <w:rFonts w:ascii="Arial" w:cs="Arial" w:eastAsia="Arial" w:hAnsi="Arial"/>
          <w:sz w:val="18"/>
          <w:szCs w:val="18"/>
          <w:u w:val="single" w:color="auto"/>
          <w:color w:val="auto"/>
        </w:rPr>
        <w:t>Additional Interest</w:t>
      </w:r>
      <w:r>
        <w:rPr>
          <w:rFonts w:ascii="Arial" w:cs="Arial" w:eastAsia="Arial" w:hAnsi="Arial"/>
          <w:sz w:val="18"/>
          <w:szCs w:val="18"/>
          <w:color w:val="auto"/>
        </w:rPr>
        <w:t>”) under the circumstances and to the extent set forth below (each of which shall be given independent effect):</w:t>
      </w:r>
    </w:p>
    <w:p>
      <w:pPr>
        <w:spacing w:after="0" w:line="78" w:lineRule="exact"/>
        <w:rPr>
          <w:rFonts w:ascii="Arial" w:cs="Arial" w:eastAsia="Arial" w:hAnsi="Arial"/>
          <w:sz w:val="18"/>
          <w:szCs w:val="18"/>
          <w:color w:val="auto"/>
        </w:rPr>
      </w:pPr>
    </w:p>
    <w:p>
      <w:pPr>
        <w:ind w:left="360" w:right="40" w:firstLine="443"/>
        <w:spacing w:after="0" w:line="255" w:lineRule="auto"/>
        <w:tabs>
          <w:tab w:leader="none" w:pos="1013" w:val="left"/>
        </w:tabs>
        <w:numPr>
          <w:ilvl w:val="1"/>
          <w:numId w:val="437"/>
        </w:numPr>
        <w:rPr>
          <w:rFonts w:ascii="Arial" w:cs="Arial" w:eastAsia="Arial" w:hAnsi="Arial"/>
          <w:sz w:val="18"/>
          <w:szCs w:val="18"/>
          <w:color w:val="auto"/>
        </w:rPr>
      </w:pPr>
      <w:r>
        <w:rPr>
          <w:rFonts w:ascii="Arial" w:cs="Arial" w:eastAsia="Arial" w:hAnsi="Arial"/>
          <w:sz w:val="18"/>
          <w:szCs w:val="18"/>
          <w:color w:val="auto"/>
        </w:rPr>
        <w:t>if (A) neither the Exchange Offer Registration Statement nor the Initial Shelf Registration is declared effective by the SEC on or prior to the Effectiveness Date applicable thereto or (B) notwithstanding that the Company has consummated or will consummate the Exchange Offer, the Company is required to file a Shelf Registration and such Shelf Registration is not declared effective by the SEC on or prior to the Effectiveness Date applicable to such Shelf Registration, then, commencing on the day after such Effectiveness Date, Additional Interest shall accrue on the principal amount of the Notes at a rate of 0.25% per annum of the principal amount of such Notes for the first 90 days immediately following the day after such Effectiveness Date, and such Additional Interest rate shall increase by an additional 0.25% per annum of the principal amount of such Notes at the beginning of each subsequent 90-day period; or</w:t>
      </w:r>
    </w:p>
    <w:p>
      <w:pPr>
        <w:spacing w:after="0" w:line="81" w:lineRule="exact"/>
        <w:rPr>
          <w:rFonts w:ascii="Arial" w:cs="Arial" w:eastAsia="Arial" w:hAnsi="Arial"/>
          <w:sz w:val="18"/>
          <w:szCs w:val="18"/>
          <w:color w:val="auto"/>
        </w:rPr>
      </w:pPr>
    </w:p>
    <w:p>
      <w:pPr>
        <w:jc w:val="both"/>
        <w:ind w:left="360" w:firstLine="443"/>
        <w:spacing w:after="0" w:line="264" w:lineRule="auto"/>
        <w:tabs>
          <w:tab w:leader="none" w:pos="1063"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if (A) the Company has not exchanged Exchange Notes for all Notes validly tendered in accordance with the terms of the Exchange Offer on or prior to the 330th day after the Issue Date or (B) if applicable, a Shelf Registration has been declared effective and such Shelf Registration ceases to be effective at any time during the Effectiveness Period, then Additional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273" w:right="339" w:bottom="1440" w:gutter="0" w:footer="0" w:header="0"/>
        </w:sectPr>
      </w:pPr>
    </w:p>
    <w:bookmarkStart w:id="348" w:name="page349"/>
    <w:bookmarkEnd w:id="348"/>
    <w:p>
      <w:pPr>
        <w:ind w:left="46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shall accrue on the principal amount of the Notes at a rate of 0.25% per annum of the principal amount of such Notes for the first 90 days commencing on (x) the day after such required exchange, in the case of (A) above, or (y) the day such Shelf Registration ceases to be effective in the case of (B) above, and such Additional Interest rate shall increase by an additional 0.25% per annum of the principal amount of such Notes at the beginning of each such subsequent 90-day period;</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Additional Interest rate on the Notes may not accrue under more than one of the foregoing clauses (i) - (ii) at any one time and at no time shall the aggregate amount of Additional Interest accruing exceed in the aggregate 1.0% per annum of the principal amount of such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upon the effectiveness of the Exchange Offer Registration Statement or the applicable Shelf Registration Statement as required hereunder (in the case of clause (i) of this Section 4), or (2) upon the exchange of the Exchange Notes for all Notes tendered (in the case of clause (ii)(A) of this Section 4), or upon the effectiveness of the applicable Shelf Registration Statement which had ceased to remain effective (in the case of (ii)(B) of this Section 4), Additional Interest on the Notes in respect of which such events relate as a result of such clause (or the relevant subclause thereof), as the case may be, shall cease to accrue. Notwithstanding any other provision of this Section 4, the Company shall not be obligated to pay Additional Interest provided in Sections 4(a)(i)(B) or 4(a)(ii)(B) during a Shelf Suspension Period permitted by Section 3(a) hereof.</w:t>
      </w:r>
    </w:p>
    <w:p>
      <w:pPr>
        <w:spacing w:after="0" w:line="58" w:lineRule="exact"/>
        <w:rPr>
          <w:sz w:val="20"/>
          <w:szCs w:val="20"/>
          <w:color w:val="auto"/>
        </w:rPr>
      </w:pPr>
    </w:p>
    <w:p>
      <w:pPr>
        <w:ind w:right="40" w:firstLine="921"/>
        <w:spacing w:after="0" w:line="272" w:lineRule="auto"/>
        <w:tabs>
          <w:tab w:leader="none" w:pos="1168" w:val="left"/>
        </w:tabs>
        <w:numPr>
          <w:ilvl w:val="1"/>
          <w:numId w:val="439"/>
        </w:numPr>
        <w:rPr>
          <w:rFonts w:ascii="Arial" w:cs="Arial" w:eastAsia="Arial" w:hAnsi="Arial"/>
          <w:sz w:val="17"/>
          <w:szCs w:val="17"/>
          <w:color w:val="auto"/>
        </w:rPr>
      </w:pPr>
      <w:r>
        <w:rPr>
          <w:rFonts w:ascii="Arial" w:cs="Arial" w:eastAsia="Arial" w:hAnsi="Arial"/>
          <w:sz w:val="17"/>
          <w:szCs w:val="17"/>
          <w:color w:val="auto"/>
        </w:rPr>
        <w:t>The Company shall notify the Trustee within three (3) Business Days after each and every date on which an event occurs in respect of which Additional Interest is required to be paid. Any amounts of Additional Interest due pursuant to (a)(i) or (a)(ii) of this Section 4 will be payable in cash semiannually on each May 1 and November 1 (to the Holders of record on the April 15 and October 15 immediately preceding such dates), commencing with the first such semi-annual date occurring after any such Additional Interest commences to accrue. The amount of Additional Interest will be determined by multiplying the applicable Additional Interest rate by the principal amount of the Registrable Securities, multiplied by a fraction, the numerator of which is the number of days such Additional Interest rate was applicable during such period (determined on the basis of a 360-day year comprised of twelve 30-day months and, in the case of a partial month, the actual number of days elapsed), and the denominator of which is 360.</w:t>
      </w:r>
    </w:p>
    <w:p>
      <w:pPr>
        <w:spacing w:after="0" w:line="326" w:lineRule="exact"/>
        <w:rPr>
          <w:rFonts w:ascii="Arial" w:cs="Arial" w:eastAsia="Arial" w:hAnsi="Arial"/>
          <w:sz w:val="17"/>
          <w:szCs w:val="17"/>
          <w:color w:val="auto"/>
        </w:rPr>
      </w:pPr>
    </w:p>
    <w:p>
      <w:pPr>
        <w:ind w:left="900" w:hanging="446"/>
        <w:spacing w:after="0"/>
        <w:tabs>
          <w:tab w:leader="none" w:pos="90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connection with the filing of any Registration Statement pursuant to Section 2 or 3 hereof, the Company shall effect such registration to permit the sale of the securities covered thereby in accordance with the intended method or methods of disposition thereof, and pursuant thereto and in connection with any Registration Statement filed by the Company hereunder, the Company shall:</w:t>
      </w:r>
    </w:p>
    <w:p>
      <w:pPr>
        <w:spacing w:after="0" w:line="73" w:lineRule="exact"/>
        <w:rPr>
          <w:sz w:val="20"/>
          <w:szCs w:val="20"/>
          <w:color w:val="auto"/>
        </w:rPr>
      </w:pPr>
    </w:p>
    <w:p>
      <w:pPr>
        <w:ind w:left="460" w:firstLine="443"/>
        <w:spacing w:after="0" w:line="290" w:lineRule="auto"/>
        <w:tabs>
          <w:tab w:leader="none" w:pos="114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or Registration Statements as prescribed by Sections 2 or 3 hereof, and use its commercially reasonable efforts to cause each such Registration Statement to become effective and remain effective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(1) such filing is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relating thereto from whom the Company has received prior written notice that it will be a Participating Broker-Dealer in the Exchange Offer, before filing any Registration Statement or Prospectus or any amendments or supplements thereto, the Company shall furnish to and afford the Holders of the Registrable Securities to be registered pursuant to such Registration Statement (with respect to a Registration Statement filed pursuant to Section 3 hereof) or each such Participating Broker-Dealer (with respect to any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49" w:name="page350"/>
    <w:bookmarkEnd w:id="349"/>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as the case may be, their counsel and the managing underwriters, if any, a reasonable opportunity to review copies of all such documents (including copies of any documents to be incorporated by reference therein and all exhibits thereto) proposed to be filed (in each case at least five Business Days prior to such filing). The Company shall not file any such Registration Statement or Prospectus or any amendments or supplements thereto in respect of which the Holders must provide information for the inclusion therein without the Holders being afforded an opportunity to review such documentation if the Holders of a majority in aggregate principal amount of the Registrable Securities covered by such Registration Statement, their counsel, or the managing underwriters, if any, shall reasonably object on a timely basis.</w:t>
      </w:r>
    </w:p>
    <w:p>
      <w:pPr>
        <w:spacing w:after="0" w:line="70" w:lineRule="exact"/>
        <w:rPr>
          <w:sz w:val="20"/>
          <w:szCs w:val="20"/>
          <w:color w:val="auto"/>
        </w:rPr>
      </w:pPr>
    </w:p>
    <w:p>
      <w:pPr>
        <w:ind w:right="40" w:firstLine="443"/>
        <w:spacing w:after="0" w:line="288" w:lineRule="auto"/>
        <w:tabs>
          <w:tab w:leader="none" w:pos="69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Prepare and file with the SEC such pre-effective amendments and post-effective amendments to each Shelf Registration Statement or Exchange Offer Registration Statement, as the case may be, as may be necessary to keep such Registration Statement continuously effective for the Effectiveness Period, the Applicable Period or until consummation of the Exchange Offer, as the case may be; cause the related Prospectus to be supplemented by any Prospectus supplement required by applicable law, and as so supplemented to be filed pursuant to Rule 424; and comply with the provisions of the Securities Act and the Exchange Act applicable to it with respect to the disposition of all securities covered by such Registration Statement as so amended or in such Prospectus as so supplemented and with respect to the subsequent resale of any securities being sold by any Participating Broker-Dealer covered by any such Prospectus. The Company shall be deemed not to have used its commercially reasonable efforts to keep a Registration Statement effective if the Company voluntarily takes any action that is reasonably expected to result in selling Holders of the Registrable Securities covered thereby or Participating Broker-Dealers seeking to sell Exchange Notes not being able to sell such Registrable Securities or such Exchange Securities during that period unless such action is required by applicable law, rule or regulation or permitted by this Agreement.</w:t>
      </w:r>
    </w:p>
    <w:p>
      <w:pPr>
        <w:spacing w:after="0" w:line="61" w:lineRule="exact"/>
        <w:rPr>
          <w:rFonts w:ascii="Arial" w:cs="Arial" w:eastAsia="Arial" w:hAnsi="Arial"/>
          <w:sz w:val="16"/>
          <w:szCs w:val="16"/>
          <w:color w:val="auto"/>
        </w:rPr>
      </w:pPr>
    </w:p>
    <w:p>
      <w:pPr>
        <w:ind w:firstLine="443"/>
        <w:spacing w:after="0" w:line="285" w:lineRule="auto"/>
        <w:tabs>
          <w:tab w:leader="none" w:pos="68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If (1) a Shelf Registration is filed pursuant to Section 3 hereof, or (2) a Prospectus contained in an Exchange Offer Registration Statement filed pursuant to Section 2 hereof is required to be delivered under the Securities Act by any Participating Broker-Dealer who seeks to sell Exchange Securities during the Applicable Period relating thereto from whom the Company has received written notice that it will be a Participating Broker-Dealer in the Exchange Offer, notify the selling Holders of Registrable Securities (with respect to a Registration Statement filed pursuant to Section 3 hereof), or each such Participating Broker-Dealer (with respect to any such Registration Statement), as the case may be, their counsel (if such information is received by the Company in writing prior to notice being given by the Company) and the managing underwriters, if any, promptly (but in any event within three Business Days), and confirm such notice in writing, (i) 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without charge, one conformed copy of such Registration Statement or post-effective amendment including financial statements and schedules, documents incorporated or deemed to be incorporated by reference and exhibits), (ii) of the issuance by the SEC of any stop order suspending the effectiveness of a Registration Statement or of any order preventing or suspending the use of any preliminary prospectus or the initiation of any proceedings for that purpose, (iii) if at any time when a Prospectus is required by the Securities Act to be delivered in connection with sales of the Registrable Securities or resales of Exchange Securities by Participating Broker-Dealers the representations and warranties of the Company contained in any agreement (including any underwriting agreement) contemplated by Section 5(n) hereof cease to be true and correct, (iv) of the receipt by the Company of any notification with respect to the suspension of the qualification or exemption from qualification of a Registration</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350" w:name="page351"/>
    <w:bookmarkEnd w:id="35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or any of the Registrable Securities or the Exchange Securities to be sold by any Participating Broker-Dealer for offer or sale in any jurisdiction, or the initiation or threatening of any proceeding for such purpose, (v) of the happening of any event, the existence of any condition or any information becoming known that makes any statement made in such Registration Statement or related Prospectus or any document incorporated or deemed to be incorporated therein by reference untrue in any material respect or that requires the making of any changes in or amendments or supplements to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(vi) of the Company’s reasonable determination that a post-effective amendment to a Registration Statement would be appropriate.</w:t>
      </w:r>
    </w:p>
    <w:p>
      <w:pPr>
        <w:spacing w:after="0" w:line="59" w:lineRule="exact"/>
        <w:rPr>
          <w:sz w:val="20"/>
          <w:szCs w:val="20"/>
          <w:color w:val="auto"/>
        </w:rPr>
      </w:pPr>
    </w:p>
    <w:p>
      <w:pPr>
        <w:ind w:right="100" w:firstLine="443"/>
        <w:spacing w:after="0" w:line="279" w:lineRule="auto"/>
        <w:tabs>
          <w:tab w:leader="none" w:pos="693" w:val="left"/>
        </w:tabs>
        <w:numPr>
          <w:ilvl w:val="0"/>
          <w:numId w:val="443"/>
        </w:numPr>
        <w:rPr>
          <w:rFonts w:ascii="Arial" w:cs="Arial" w:eastAsia="Arial" w:hAnsi="Arial"/>
          <w:sz w:val="17"/>
          <w:szCs w:val="17"/>
          <w:color w:val="auto"/>
        </w:rPr>
      </w:pPr>
      <w:r>
        <w:rPr>
          <w:rFonts w:ascii="Arial" w:cs="Arial" w:eastAsia="Arial" w:hAnsi="Arial"/>
          <w:sz w:val="17"/>
          <w:szCs w:val="17"/>
          <w:color w:val="auto"/>
        </w:rPr>
        <w:t>Use its commercially reasonable efforts to prevent the issuance of any order suspending the effectiveness of a Registration Statement or of any order preventing or suspending the use of a Prospectus or suspending the qualification (or exemption from qualification) of any of the Registrable Securities or the Exchange Securities to be sold by any Participating Broker-Dealer, for sale in any jurisdiction, and, if any such order is issued, to use its commercially reasonable efforts to obtain the withdrawal of any such order at the earliest practicable moment.</w:t>
      </w:r>
    </w:p>
    <w:p>
      <w:pPr>
        <w:spacing w:after="0" w:line="63" w:lineRule="exact"/>
        <w:rPr>
          <w:rFonts w:ascii="Arial" w:cs="Arial" w:eastAsia="Arial" w:hAnsi="Arial"/>
          <w:sz w:val="17"/>
          <w:szCs w:val="17"/>
          <w:color w:val="auto"/>
        </w:rPr>
      </w:pPr>
    </w:p>
    <w:p>
      <w:pPr>
        <w:ind w:firstLine="443"/>
        <w:spacing w:after="0" w:line="291" w:lineRule="auto"/>
        <w:tabs>
          <w:tab w:leader="none" w:pos="68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If a Shelf Registration is filed pursuant to Section 3 and if requested during the Effectiveness Period by the managing underwriter or underwriters (if any), the Holders of a majority in aggregate principal amount of the Registrable Securities being sold in connection with an Underwritten Offering or any Participating Broker-Dealer, (i) as promptly as practicable incorporate in a prospectus supplement or post-effective amendment such information as the managing underwriter or underwriters (if any), such Holders, any Participating Broker-Dealer or counsel for any of them reasonably request in writing to be included therein, (ii) make all required filings of such prospectus supplement or such post-effective amendment as soon as practicable after the Company has received notification of the matters to be incorporated in such prospectus supplement or post-effective amendment, and (iii) supplement or make amendments to such Registration Statement, if required by the Securities Act.</w:t>
      </w:r>
    </w:p>
    <w:p>
      <w:pPr>
        <w:spacing w:after="0" w:line="59" w:lineRule="exact"/>
        <w:rPr>
          <w:rFonts w:ascii="Arial" w:cs="Arial" w:eastAsia="Arial" w:hAnsi="Arial"/>
          <w:sz w:val="16"/>
          <w:szCs w:val="16"/>
          <w:color w:val="auto"/>
        </w:rPr>
      </w:pPr>
    </w:p>
    <w:p>
      <w:pPr>
        <w:ind w:right="20" w:firstLine="443"/>
        <w:spacing w:after="0" w:line="272" w:lineRule="auto"/>
        <w:tabs>
          <w:tab w:leader="none" w:pos="663" w:val="left"/>
        </w:tabs>
        <w:numPr>
          <w:ilvl w:val="0"/>
          <w:numId w:val="443"/>
        </w:numPr>
        <w:rPr>
          <w:rFonts w:ascii="Arial" w:cs="Arial" w:eastAsia="Arial" w:hAnsi="Arial"/>
          <w:sz w:val="17"/>
          <w:szCs w:val="17"/>
          <w:color w:val="auto"/>
        </w:rPr>
      </w:pPr>
      <w:r>
        <w:rPr>
          <w:rFonts w:ascii="Arial" w:cs="Arial" w:eastAsia="Arial" w:hAnsi="Arial"/>
          <w:sz w:val="17"/>
          <w:szCs w:val="17"/>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furnish to each selling Holder of Registrable Securities (with respect to a Registration Statement filed pursuant to Section 3 hereof) and to each such Participating Broker-Dealer who so requests (with respect to any such Registration Statement) and to their respective counsel and each managing underwriter, if any, at the sole expense of the Company, one conformed copy of the Registration Statement or Registration Statements and each post-effective amendment thereto, including financial statements and schedules, and, if requested, all documents incorporated or deemed to be incorporated therein by reference and all exhibits.</w:t>
      </w:r>
    </w:p>
    <w:p>
      <w:pPr>
        <w:spacing w:after="0" w:line="69" w:lineRule="exact"/>
        <w:rPr>
          <w:rFonts w:ascii="Arial" w:cs="Arial" w:eastAsia="Arial" w:hAnsi="Arial"/>
          <w:sz w:val="17"/>
          <w:szCs w:val="17"/>
          <w:color w:val="auto"/>
        </w:rPr>
      </w:pPr>
    </w:p>
    <w:p>
      <w:pPr>
        <w:jc w:val="both"/>
        <w:ind w:right="20" w:firstLine="443"/>
        <w:spacing w:after="0" w:line="259" w:lineRule="auto"/>
        <w:tabs>
          <w:tab w:leader="none" w:pos="69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deliver to each selling Holder of Registrable Securities (with respect to a Registration Statement filed pursuant to Section 3 hereof),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351" w:name="page352"/>
    <w:bookmarkEnd w:id="35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such Participating Broker-Dealer (with respect to any such Registration Statement), as the case may be, their respective counsel, and the underwriters, if any, at the sole expense of the Company, as many copies of the Prospectus or Prospectuses (including each form of preliminary prospectus) and each amendment or supplement thereto and any documents incorporated by reference therein as such Persons may reasonably request; and, subject to the last paragraph of this Section 5, the Company hereby consents to the use of such Prospectus and each amendment or supplement thereto by each of the selling Holders of Registrable Securities or each such Participating Broker-Dealer, as the case may be, and the underwriters or agents, if any, and dealers, if any, in connection with the offering and sale of the Registrable Securities covered by, or the sale by Participating Broker-Dealers of the Exchange Securities pursuant to, such Prospectus and any amendment or supplement thereto.</w:t>
      </w:r>
    </w:p>
    <w:p>
      <w:pPr>
        <w:spacing w:after="0" w:line="59" w:lineRule="exact"/>
        <w:rPr>
          <w:sz w:val="20"/>
          <w:szCs w:val="20"/>
          <w:color w:val="auto"/>
        </w:rPr>
      </w:pPr>
    </w:p>
    <w:p>
      <w:pPr>
        <w:ind w:firstLine="443"/>
        <w:spacing w:after="0" w:line="286" w:lineRule="auto"/>
        <w:tabs>
          <w:tab w:leader="none" w:pos="69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Prior to any public offering of Registrable Securities or any delivery of a Prospectus contained in the Exchange Offer Registration Statement by any Participating Broker-Dealer who seeks to sell Exchange Securities during the Applicable Period, use its commercially reasonable efforts to register or qualify, and to cooperate with the selling Holders of Registrable Securities or each such Participating Broker-Dealer, as the case may be, the managing underwriter or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selling Holder, Participating Broker-Dealer, or the managing underwriter or underwriters reasonably request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where Exchange Securities held by Participating Broker-Dealers or Registrable Securities are offered other than through an Underwritten Offering, the Company agrees to cause their counsel to perform Blue Sky investigations and file registrations and qualifications required to be filed pursuant to this Section 5(h), keep each such registration or qualification (or exemption therefrom) effective during the period such Registration Statement is required to be kept effective and do any and all other acts or things reasonably necessary or advisable to enable the disposition in such jurisdictions of the Exchange Securities held by Participating Broker-Dealers or the Registrable Securities covered by the applicable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(A) qualify generally to do business in any jurisdiction where it is not then so qualified, (B) take any action that would subject it to general service of process in any such jurisdiction where it is not then so subject or (C) subject itself to taxation in any such jurisdiction where it is not then so subject.</w:t>
      </w:r>
    </w:p>
    <w:p>
      <w:pPr>
        <w:spacing w:after="0" w:line="63" w:lineRule="exact"/>
        <w:rPr>
          <w:rFonts w:ascii="Arial" w:cs="Arial" w:eastAsia="Arial" w:hAnsi="Arial"/>
          <w:sz w:val="16"/>
          <w:szCs w:val="16"/>
          <w:color w:val="auto"/>
        </w:rPr>
      </w:pPr>
    </w:p>
    <w:p>
      <w:pPr>
        <w:ind w:right="80" w:firstLine="443"/>
        <w:spacing w:after="0" w:line="257" w:lineRule="auto"/>
        <w:tabs>
          <w:tab w:leader="none" w:pos="65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a Shelf Registration is filed pursuant to Section 3 hereof, cooperate with the selling Holders of Registrable Securities and the managing underwriter or underwriters, if any, to facilitate the timely preparation and delivery of certificates representing Registrable Securities to be sold, which certificates shall not bear any restrictive legends and shall be in a form eligible for deposit with The Depository Trust Company; and enable such Registrable Securities to be in such denominations (subject to applicable requirements contained in the Indenture) and registered in such names as the managing underwriter or underwriters, if any, or Holders may request.</w:t>
      </w:r>
    </w:p>
    <w:p>
      <w:pPr>
        <w:spacing w:after="0" w:line="80" w:lineRule="exact"/>
        <w:rPr>
          <w:rFonts w:ascii="Arial" w:cs="Arial" w:eastAsia="Arial" w:hAnsi="Arial"/>
          <w:sz w:val="18"/>
          <w:szCs w:val="18"/>
          <w:color w:val="auto"/>
        </w:rPr>
      </w:pPr>
    </w:p>
    <w:p>
      <w:pPr>
        <w:ind w:right="80" w:firstLine="443"/>
        <w:spacing w:after="0" w:line="291" w:lineRule="auto"/>
        <w:tabs>
          <w:tab w:leader="none" w:pos="65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cause the Registrable Securities covered by the Registration Statement to be registered with or approved by such other U.S. governmental agencies or authorities as may be necessary to enable the seller or sellers thereof or the underwriter or underwriters, if any, to consummate the disposition of such Registrable Securities, except as may be required solely as a consequence of the nature of such selling Holder’s business, in which case the Company will cooperate in all reasonable respects with the filing of such Registration Statement and the granting of such approvals;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(A) qualify generally to do business in any jurisdiction where it is not then so qualified, (B) take any action that would subject it to general service of process in any such jurisdiction where it is not then so subject or (C) subject itself to taxation in any such jurisdiction where it is not then so subject.</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74" w:right="299" w:bottom="1440" w:gutter="0" w:footer="0" w:header="0"/>
        </w:sectPr>
      </w:pPr>
    </w:p>
    <w:bookmarkStart w:id="352" w:name="page353"/>
    <w:bookmarkEnd w:id="352"/>
    <w:p>
      <w:pPr>
        <w:ind w:right="20" w:firstLine="443"/>
        <w:spacing w:after="0" w:line="270" w:lineRule="auto"/>
        <w:tabs>
          <w:tab w:leader="none" w:pos="693" w:val="left"/>
        </w:tabs>
        <w:numPr>
          <w:ilvl w:val="0"/>
          <w:numId w:val="4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upon the occurrence of any event contemplated by Section 5(c)(v) or 5(c)(vi) hereof, as promptly as practicable prepare and (subject to Section 5(a) hereof) file with the SEC, at the sole expense of the Company,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(with respect to a Registration Statement filed pursuant to Section 3 hereof) or to the purchasers of the Exchange Securities to whom such Prospectus will be delivered by a Participating Broker-Dealer (with respect to any such Registration Statement), any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69" w:lineRule="exact"/>
        <w:rPr>
          <w:rFonts w:ascii="Arial" w:cs="Arial" w:eastAsia="Arial" w:hAnsi="Arial"/>
          <w:sz w:val="17"/>
          <w:szCs w:val="17"/>
          <w:color w:val="auto"/>
        </w:rPr>
      </w:pPr>
    </w:p>
    <w:p>
      <w:pPr>
        <w:jc w:val="both"/>
        <w:ind w:right="20" w:firstLine="443"/>
        <w:spacing w:after="0" w:line="259" w:lineRule="auto"/>
        <w:tabs>
          <w:tab w:leader="none" w:pos="65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the Registrable Securities covered by a Registration Statement or the Exchange Securities, as the case may be, to be rated with such appropriate rating agencies, if so requested in writing by the Holders of a majority in aggregate principal amount of Registrable Securities covered by such Registration Statement or the Exchange Securities, as the case may be, or the managing underwriter or underwriters, if any.</w:t>
      </w:r>
    </w:p>
    <w:p>
      <w:pPr>
        <w:spacing w:after="0" w:line="78" w:lineRule="exact"/>
        <w:rPr>
          <w:rFonts w:ascii="Arial" w:cs="Arial" w:eastAsia="Arial" w:hAnsi="Arial"/>
          <w:sz w:val="18"/>
          <w:szCs w:val="18"/>
          <w:color w:val="auto"/>
        </w:rPr>
      </w:pPr>
    </w:p>
    <w:p>
      <w:pPr>
        <w:ind w:right="40" w:firstLine="443"/>
        <w:spacing w:after="0" w:line="264" w:lineRule="auto"/>
        <w:tabs>
          <w:tab w:leader="none" w:pos="74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Prior to the effective date of the first Registration Statement relating to the Registrable Securities, (i) provide the Trustee with certificates for the Registrable Securities in a form eligible for deposit with The Depository Trust Company and (ii) provide a CUSIP number for the Registrable Securities.</w:t>
      </w:r>
    </w:p>
    <w:p>
      <w:pPr>
        <w:spacing w:after="0" w:line="73" w:lineRule="exact"/>
        <w:rPr>
          <w:rFonts w:ascii="Arial" w:cs="Arial" w:eastAsia="Arial" w:hAnsi="Arial"/>
          <w:sz w:val="18"/>
          <w:szCs w:val="18"/>
          <w:color w:val="auto"/>
        </w:rPr>
      </w:pPr>
    </w:p>
    <w:p>
      <w:pPr>
        <w:ind w:firstLine="443"/>
        <w:spacing w:after="0" w:line="286" w:lineRule="auto"/>
        <w:tabs>
          <w:tab w:leader="none" w:pos="693"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In connection with any Underwritten Offering of Registrable Securities pursuant to a Shelf Registration, enter into an underwriting agreement in form, substance and scope as is customary in Underwritten Offerings of debt securities similar to the Securities, and take all such other actions as are reasonably requested in writing by the managing underwriter or underwriters in order to expedite or facilitate the registration or the disposition of such Registrable Securities and, in such connection, (i) make such representations and warranties to, and covenants with, the underwriters with respect to the business of the Company (including any acquired business, properties or entity, if applicable) as then conducted, and the Registration Statement, Prospectus and documents, if any, incorporated or deemed to be incorporated by reference therein, in each case, in form, substance and scope as are customarily made by the Company to underwriters in Underwritten Offerings of debt securities similar to the Securities, and confirm the same in writing if and when reasonably required; (ii) obtain the written opinions of counsel to the Company, and written updates thereof in form, scope and substance reasonably satisfactory to the managing underwriter or underwriters, addressed to the underwriters covering the matters customarily covered in opinions reasonably requested in Underwritten Offerings; (iii) obtain “cold comfort” letters and updates thereof in form, scope and substance reasonably satisfactory to the managing underwriter or underwriters from the independent certified public accountants of the Company (and, if necessary, any other independent certified public accountants of the Company, or of any business acquired by the Company, for which financial statements and financial data are, or are required to be, included or incorporated by reference in the Registration Statement), addressed to each of the underwriters, such letters to be in customary form and covering matters of the type customarily</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73" w:right="279" w:bottom="1440" w:gutter="0" w:footer="0" w:header="0"/>
        </w:sectPr>
      </w:pPr>
    </w:p>
    <w:bookmarkStart w:id="353" w:name="page354"/>
    <w:bookmarkEnd w:id="353"/>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covered in “cold comfort” letters in connection with Underwritten Offerings of debt securities similar to the Securities; and (iv) if an underwriting agreement is entered into, the same shall contain indemnification provisions and procedures no less favorable to the sellers and underwriters, if any, than those set forth in Section 7 hereof (or such other less favorable provisions and procedures as are reasonably acceptable to Holders of a majority in aggregate principal amount of Registrable Securities covered by such Registration Statement and the managing underwriter or underwriters or agents, if any). The above shall be done at each closing under such underwriting agreement, or as and to the extent required thereunder.</w:t>
      </w:r>
    </w:p>
    <w:p>
      <w:pPr>
        <w:spacing w:after="0" w:line="50" w:lineRule="exact"/>
        <w:rPr>
          <w:sz w:val="20"/>
          <w:szCs w:val="20"/>
          <w:color w:val="auto"/>
        </w:rPr>
      </w:pPr>
    </w:p>
    <w:p>
      <w:pPr>
        <w:ind w:right="60" w:firstLine="443"/>
        <w:spacing w:after="0" w:line="283" w:lineRule="auto"/>
        <w:tabs>
          <w:tab w:leader="none" w:pos="693" w:val="left"/>
        </w:tabs>
        <w:numPr>
          <w:ilvl w:val="1"/>
          <w:numId w:val="446"/>
        </w:numPr>
        <w:rPr>
          <w:rFonts w:ascii="Arial" w:cs="Arial" w:eastAsia="Arial" w:hAnsi="Arial"/>
          <w:sz w:val="16"/>
          <w:szCs w:val="16"/>
          <w:color w:val="auto"/>
        </w:rPr>
      </w:pPr>
      <w:r>
        <w:rPr>
          <w:rFonts w:ascii="Arial" w:cs="Arial" w:eastAsia="Arial" w:hAnsi="Arial"/>
          <w:sz w:val="16"/>
          <w:szCs w:val="16"/>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make available for inspection by any Initial Purchaser, any selling Holder of such Registrable Securities being sold (with respect to a Registration Statement filed pursuant to Section 3 hereof), or each such Participating Broker-Dealer, as the case may be, any underwriter participating in any such disposition of Registrable Securities, if any, and any attorney, accountant or other agent retained by any such selling Holder or each such Participating Broker-Dealer (with respect to any such Registration Statement), as the case may be, or underwriter (any such Initial Purchasers, Holders, Participating Broker-Dealers, underwriters, attorneys, accountants or agents,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upon written request, at the offices where normally kept, during reasonable business hours, all pertinent financial and other records, pertinent corporate documents and instruments of the Company and subsidiaries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reasonably necessary to enable them to exercise any applicable due diligence responsibilities, and cause the officers, directors and employees of the Company and any of its subsidiaries to supply all information (“</w:t>
      </w:r>
      <w:r>
        <w:rPr>
          <w:rFonts w:ascii="Arial" w:cs="Arial" w:eastAsia="Arial" w:hAnsi="Arial"/>
          <w:sz w:val="16"/>
          <w:szCs w:val="16"/>
          <w:u w:val="single" w:color="auto"/>
          <w:color w:val="auto"/>
        </w:rPr>
        <w:t>Information</w:t>
      </w:r>
      <w:r>
        <w:rPr>
          <w:rFonts w:ascii="Arial" w:cs="Arial" w:eastAsia="Arial" w:hAnsi="Arial"/>
          <w:sz w:val="16"/>
          <w:szCs w:val="16"/>
          <w:color w:val="auto"/>
        </w:rPr>
        <w:t>”) reasonably requested in writing by any such Inspector in connection with such due diligence responsibilities. Each Inspector shall agree in writing that it will keep the Records and Information confidential and that it will not disclose any of the Records or Information that the Company determines, in good faith, to be confidential and notifies the Inspectors in writing are confidential unless (i) the disclosure of such Records or Information is necessary to avoid or correct a misstatement or omission in such Registration Statement or Prospectus,</w:t>
      </w:r>
    </w:p>
    <w:p>
      <w:pPr>
        <w:spacing w:after="0" w:line="2" w:lineRule="exact"/>
        <w:rPr>
          <w:rFonts w:ascii="Arial" w:cs="Arial" w:eastAsia="Arial" w:hAnsi="Arial"/>
          <w:sz w:val="16"/>
          <w:szCs w:val="16"/>
          <w:color w:val="auto"/>
        </w:rPr>
      </w:pPr>
    </w:p>
    <w:p>
      <w:pPr>
        <w:ind w:firstLine="4"/>
        <w:spacing w:after="0" w:line="267" w:lineRule="auto"/>
        <w:tabs>
          <w:tab w:leader="none" w:pos="265"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the release of such Records or Information is ordered pursuant to a subpoena or other order from a court of competent jurisdiction, (iii) disclosure of such Records or Information is necessary or advisable, in the opinion of counsel for any Inspector, in connection with any action, claim, suit or proceeding, directly or indirectly, involving or potentially involving such Inspector and arising out of, based upon, relating to, or involving this Agreement or the Purchase Agreement, or any transactions contemplated hereby or thereby or arising hereunder or thereunder, or (iv) the information in such Records or Information has been made generally available to the public other than by an Inspector or an “affiliate” (as defined in Rule 405)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notice shall be provided as soon as practicable to the Company of the potential disclosure of any information by such Inspector pursuant to clause (i), (ii) or (iii) of this Section 5(o) to permit the Company to obtain a protective order (or waive the provisions of this Section 5(o)) and that such Inspector shall take such actions as are reasonably necessary to protect the confidentiality of such information (if practicable) to the extent such action is otherwise not inconsistent with, an impairment of or in derogation of the rights and interests of the Holder or any Inspector. Each selling Holder of such Registrable Securities and each such Participating Broker-Dealer will be required to agree, in writing, that information obtained by it as a result of such inspections shall be deemed confidential and shall not be used by it as the basis for any market transactions in the securities of the Company unless and until such is made generally available to the public. Each Inspector, each selling Holder of such Entitled Securities and each such Participating Broker-Dealer will be required to further agree that it will, upon learning of the potential disclosure of such records, give notice to the Company</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354" w:name="page355"/>
    <w:bookmarkEnd w:id="35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to the extent practicable, use its commercially reasonable efforts to allow the Company, at its expense, to undertake appropriate action to prevent disclosure of the Records deemed confidential at its expense.</w:t>
      </w:r>
    </w:p>
    <w:p>
      <w:pPr>
        <w:spacing w:after="0" w:line="62" w:lineRule="exact"/>
        <w:rPr>
          <w:sz w:val="20"/>
          <w:szCs w:val="20"/>
          <w:color w:val="auto"/>
        </w:rPr>
      </w:pPr>
    </w:p>
    <w:p>
      <w:pPr>
        <w:ind w:right="180" w:firstLine="443"/>
        <w:spacing w:after="0" w:line="272" w:lineRule="auto"/>
        <w:tabs>
          <w:tab w:leader="none" w:pos="693" w:val="left"/>
        </w:tabs>
        <w:numPr>
          <w:ilvl w:val="0"/>
          <w:numId w:val="448"/>
        </w:numPr>
        <w:rPr>
          <w:rFonts w:ascii="Arial" w:cs="Arial" w:eastAsia="Arial" w:hAnsi="Arial"/>
          <w:sz w:val="17"/>
          <w:szCs w:val="17"/>
          <w:color w:val="auto"/>
        </w:rPr>
      </w:pPr>
      <w:r>
        <w:rPr>
          <w:rFonts w:ascii="Arial" w:cs="Arial" w:eastAsia="Arial" w:hAnsi="Arial"/>
          <w:sz w:val="17"/>
          <w:szCs w:val="17"/>
          <w:color w:val="auto"/>
        </w:rPr>
        <w:t>Provide an indenture trustee for the Registrable Securities or the Exchange Securities, as the case may be, and, unless exempt from qualification, cause the Indenture or the trust indenture provided for in Section 2(a) hereof, as the case may be, to be qualified under the TIA not later than the effective date of the first Registration Statement relating to the Registrable Securities; and in connection therewith, cooperate with the trustee under any such indenture and the Holders of the Registrable Securities, to effect such changes (if any) to such indenture as may be required for such indenture to be so qualified in accordance with the terms of the TIA; and execute, and use its commercially reasonable efforts to cause such trustee to execute, all documents as may be required to effect such changes, and all other forms and documents required to be filed with the SEC to enable such indenture to be so qualified in a timely manner.</w:t>
      </w:r>
    </w:p>
    <w:p>
      <w:pPr>
        <w:spacing w:after="0" w:line="69" w:lineRule="exact"/>
        <w:rPr>
          <w:rFonts w:ascii="Arial" w:cs="Arial" w:eastAsia="Arial" w:hAnsi="Arial"/>
          <w:sz w:val="17"/>
          <w:szCs w:val="17"/>
          <w:color w:val="auto"/>
        </w:rPr>
      </w:pPr>
    </w:p>
    <w:p>
      <w:pPr>
        <w:ind w:firstLine="443"/>
        <w:spacing w:after="0" w:line="293" w:lineRule="auto"/>
        <w:tabs>
          <w:tab w:leader="none" w:pos="693" w:val="left"/>
        </w:tabs>
        <w:numPr>
          <w:ilvl w:val="0"/>
          <w:numId w:val="448"/>
        </w:numPr>
        <w:rPr>
          <w:rFonts w:ascii="Arial" w:cs="Arial" w:eastAsia="Arial" w:hAnsi="Arial"/>
          <w:sz w:val="16"/>
          <w:szCs w:val="16"/>
          <w:color w:val="auto"/>
        </w:rPr>
      </w:pPr>
      <w:r>
        <w:rPr>
          <w:rFonts w:ascii="Arial" w:cs="Arial" w:eastAsia="Arial" w:hAnsi="Arial"/>
          <w:sz w:val="16"/>
          <w:szCs w:val="16"/>
          <w:color w:val="auto"/>
        </w:rPr>
        <w:t>Comply with all applicable rules and regulations of the SEC and make generally available to its securityholders with regard to any applicable Registration Statement, a consolidated earnings statement satisfying the provisions of Section 11(a) of the Securities Act and Rule 158 thereunder (or any similar rule promulgated under the Securities Act) no later than 45 days after the end of any fiscal quarter (or 90 days after the end of any 12-month period if such period is a fiscal year) (i) commencing at the end of any fiscal quarter in which Registrable Securities are sold to underwriters in a firm commitment or best efforts Underwritten Offering and (ii) if not sold to underwriters in such an offering, commencing on the first day of the first fiscal quarter of the Company, after the effective date of a Registration Statement, which statements shall cover said 12-month periods.</w:t>
      </w:r>
    </w:p>
    <w:p>
      <w:pPr>
        <w:spacing w:after="0" w:line="56" w:lineRule="exact"/>
        <w:rPr>
          <w:rFonts w:ascii="Arial" w:cs="Arial" w:eastAsia="Arial" w:hAnsi="Arial"/>
          <w:sz w:val="16"/>
          <w:szCs w:val="16"/>
          <w:color w:val="auto"/>
        </w:rPr>
      </w:pPr>
    </w:p>
    <w:p>
      <w:pPr>
        <w:ind w:firstLine="443"/>
        <w:spacing w:after="0" w:line="289" w:lineRule="auto"/>
        <w:tabs>
          <w:tab w:leader="none" w:pos="663" w:val="left"/>
        </w:tabs>
        <w:numPr>
          <w:ilvl w:val="0"/>
          <w:numId w:val="448"/>
        </w:numPr>
        <w:rPr>
          <w:rFonts w:ascii="Arial" w:cs="Arial" w:eastAsia="Arial" w:hAnsi="Arial"/>
          <w:sz w:val="16"/>
          <w:szCs w:val="16"/>
          <w:color w:val="auto"/>
        </w:rPr>
      </w:pPr>
      <w:r>
        <w:rPr>
          <w:rFonts w:ascii="Arial" w:cs="Arial" w:eastAsia="Arial" w:hAnsi="Arial"/>
          <w:sz w:val="16"/>
          <w:szCs w:val="16"/>
          <w:color w:val="auto"/>
        </w:rPr>
        <w:t>Upon consummation of the Exchange Offer or a Private Exchange, obtain an opinion of counsel to the Company, in a form customary for underwritten transactions, addressed to the Trustee for the benefit of all Holders of Registrable Securities participating in the Exchange Offer or the Private Exchange, as the case may be, that the Exchange Securities or Private Exchange Securities (and the related Guarantees), as the case may be, and the related indenture each constitute a legal, valid and binding obligation of the Company, enforceable against the Company in accordance with its terms, subject to customary exceptions and qualifications. If the Exchange Offer or a Private Exchange is to be consummated, upon delivery of the Registrable Securities by Holders to the Company (or to such other Person as directed by the Company), in exchange for the Exchange Securities or the Private Exchange Securities (and the related Guarantees), as the case may be, the Company shall mark, or cause to be marked, on such Registrable Securities that such Registrable Securities are being cancelled in exchange for the Exchange Securities or the Private Exchange Securities (and the related Guarantees), as the case may be; in no event shall such Registrable Securities be marked as paid or otherwise satisfied.</w:t>
      </w:r>
    </w:p>
    <w:p>
      <w:pPr>
        <w:spacing w:after="0" w:line="58" w:lineRule="exact"/>
        <w:rPr>
          <w:rFonts w:ascii="Arial" w:cs="Arial" w:eastAsia="Arial" w:hAnsi="Arial"/>
          <w:sz w:val="16"/>
          <w:szCs w:val="16"/>
          <w:color w:val="auto"/>
        </w:rPr>
      </w:pPr>
    </w:p>
    <w:p>
      <w:pPr>
        <w:ind w:right="220" w:firstLine="443"/>
        <w:spacing w:after="0" w:line="308" w:lineRule="auto"/>
        <w:tabs>
          <w:tab w:leader="none" w:pos="673" w:val="left"/>
        </w:tabs>
        <w:numPr>
          <w:ilvl w:val="0"/>
          <w:numId w:val="448"/>
        </w:numPr>
        <w:rPr>
          <w:rFonts w:ascii="Arial" w:cs="Arial" w:eastAsia="Arial" w:hAnsi="Arial"/>
          <w:sz w:val="17"/>
          <w:szCs w:val="17"/>
          <w:color w:val="auto"/>
        </w:rPr>
      </w:pPr>
      <w:r>
        <w:rPr>
          <w:rFonts w:ascii="Arial" w:cs="Arial" w:eastAsia="Arial" w:hAnsi="Arial"/>
          <w:sz w:val="17"/>
          <w:szCs w:val="17"/>
          <w:color w:val="auto"/>
        </w:rPr>
        <w:t>Cooperate with each seller of Registrable Securities covered by any Registration Statement and each underwriter, if any, participating in the disposition of such Registrable Securities and their respective counsel in connection with any filings required to be made with FINRA.</w:t>
      </w:r>
    </w:p>
    <w:p>
      <w:pPr>
        <w:spacing w:after="0" w:line="38" w:lineRule="exact"/>
        <w:rPr>
          <w:rFonts w:ascii="Arial" w:cs="Arial" w:eastAsia="Arial" w:hAnsi="Arial"/>
          <w:sz w:val="17"/>
          <w:szCs w:val="17"/>
          <w:color w:val="auto"/>
        </w:rPr>
      </w:pPr>
    </w:p>
    <w:p>
      <w:pPr>
        <w:ind w:right="380" w:firstLine="443"/>
        <w:spacing w:after="0" w:line="277" w:lineRule="auto"/>
        <w:tabs>
          <w:tab w:leader="none" w:pos="65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Use their respective commercially reasonable efforts to take all other steps reasonably necessary to effect the registration of the Exchange Securities and/or Registrable Securities covered by a Registration Statement contemplated hereby.</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355" w:name="page356"/>
    <w:bookmarkEnd w:id="355"/>
    <w:p>
      <w:pPr>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require each seller of Registrable Securities or Participating Broker-Dealer as to which any registration is being effected to furnish to the Company such information regarding such seller or Participating Broker-Dealer and the distribution of such Registrable Securities as the Company may, from time to time, reasonably request. The Company may exclude from such registration the Registrable Securities of any seller so long as such seller fails to furnish such information within a reasonable time after receiving such request (which time in no event shall exceed 30 days, subject to Section 3(d) hereof). Each seller as to which any Shelf Registration is being effected agrees to furnish promptly to the Company all information required to be disclosed in order to make the information previously furnished to the Company by such seller not materially misleading.</w:t>
      </w:r>
    </w:p>
    <w:p>
      <w:pPr>
        <w:spacing w:after="0" w:line="17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If any such Registration Statement refers to any Holder by name or otherwise as the holder of any securities of the Company, then such Holder shall have the right to require (i) the insertion therein of language, in form and substance reasonably satisfactory to such Holder, to the effect that the holding by such Holder of such securities is not to be construed as a recommendation by such Holder of the investment quality of the securities covered thereby and that such holding does not imply that such Holder will assist in meeting any future financial requirements of the Company, or (ii) in the event that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 Any exercise of the foregoing right by the Holder shall be in writing.</w:t>
      </w:r>
    </w:p>
    <w:p>
      <w:pPr>
        <w:spacing w:after="0" w:line="178"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Each Holder of Registrable Securities and each Participating Broker-Dealer agrees by its acquisition of such Registrable Securities or Exchange Securities to be sold by such Participating Broker-Dealer, as the case may be, that, upon actual receipt of any notice from the Company of the happening of any event of the kind described in Section 5(c)(ii), 5(c)(iv), 5(c)(v), or 5(c)(vi) hereof, such Holder will forthwith discontinue disposition of such Registrable Securities covered by such Registration Statement or Prospectus or Exchange Securities to be sold by such Holder or Participating Broker-Dealer, as the case may be, until such Holder’s or Participating Broker-Dealer’s receipt of the copies of the supplemented or amended Prospectus contemplated by Section 5(k) hereof, or until it is advised in writing (such written advice from the Company, the “</w:t>
      </w:r>
      <w:r>
        <w:rPr>
          <w:rFonts w:ascii="Arial" w:cs="Arial" w:eastAsia="Arial" w:hAnsi="Arial"/>
          <w:sz w:val="16"/>
          <w:szCs w:val="16"/>
          <w:u w:val="single" w:color="auto"/>
          <w:color w:val="auto"/>
        </w:rPr>
        <w:t>Advice</w:t>
      </w:r>
      <w:r>
        <w:rPr>
          <w:rFonts w:ascii="Arial" w:cs="Arial" w:eastAsia="Arial" w:hAnsi="Arial"/>
          <w:sz w:val="16"/>
          <w:szCs w:val="16"/>
          <w:color w:val="auto"/>
        </w:rPr>
        <w:t>”) that the use of the applicable Prospectus may be resumed, and has received copies of any amendments or supplements thereto. In the event that the Company shall give any such notice, each of the Applicable Period and the Effectiveness Period shall be extended by the number of days during such periods from and including the date of the giving of such notice to and including the date when each seller of Registrable Securities covered by such Registration Statement or Exchange Securities to be sold by such Participating Broker-Dealer, as the case may be, shall have received (x) the copies of the supplemented or amended Prospectus contemplated by Section 5(k) hereof or</w:t>
      </w:r>
    </w:p>
    <w:p>
      <w:pPr>
        <w:spacing w:after="0" w:line="6" w:lineRule="exact"/>
        <w:rPr>
          <w:sz w:val="20"/>
          <w:szCs w:val="20"/>
          <w:color w:val="auto"/>
        </w:rPr>
      </w:pPr>
    </w:p>
    <w:p>
      <w:pPr>
        <w:ind w:left="260" w:hanging="252"/>
        <w:spacing w:after="0"/>
        <w:tabs>
          <w:tab w:leader="none" w:pos="2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Advice.</w:t>
      </w:r>
    </w:p>
    <w:p>
      <w:pPr>
        <w:spacing w:after="0" w:line="359" w:lineRule="exact"/>
        <w:rPr>
          <w:rFonts w:ascii="Arial" w:cs="Arial" w:eastAsia="Arial" w:hAnsi="Arial"/>
          <w:sz w:val="18"/>
          <w:szCs w:val="18"/>
          <w:color w:val="auto"/>
        </w:rPr>
      </w:pPr>
    </w:p>
    <w:p>
      <w:pPr>
        <w:ind w:left="900" w:hanging="446"/>
        <w:spacing w:after="0"/>
        <w:tabs>
          <w:tab w:leader="none" w:pos="900" w:val="left"/>
        </w:tabs>
        <w:numPr>
          <w:ilvl w:val="1"/>
          <w:numId w:val="449"/>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All fees and expenses incident to the performance of or compliance with this Agreement by the Company shall be borne by the Company, whether or not the Exchange Offer Registration Statement or any Shelf Registration Statement is filed or becomes effective or the Exchange Offer is consummated, including, without limitation, (i) all registration and filing fees (including, without limitation, (A) fees with respect to filings required to be made with FINRA in connection with an Underwritten Offering and (B) fees and expenses of compliance with state securities or Blue Sky laws (including, without limitation, reasonable, pre-approved fees and disbursements of counsel (not to exceed $10,000 in the aggregate) in connection with Blue Sky qualifications of the Registrable Securities or Exchange Securities and determination of the eligibility of the Registrable Securities or Exchange Securities for investment under the laws of such jurisdictions (x) where the holders of Registrable Securities are located, in the case of the Exchange Securities, or (y) as provided in Section 5(h) hereof, in the case of Registrable 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56" w:name="page357"/>
    <w:bookmarkEnd w:id="35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Exchange Securities to be sold by a Participating Broker-Dealer during the Applicable Period)), (ii) printing expenses, including, without limitation, expenses of printing prospectuses if the printing of prospectuses is requested by the managing underwriter or underwriters, if any, by the Holders of a majority in aggregate principal amount of the Registrable Securities included in any Registration Statement or in respect of Registrable Securities or Exchange Securities to be sold by any Participating Broker-Dealer during the Applicable Period, as the case may be, (iii) fees and expenses of the Trustee, any exchange agent and their respective counsel, (iv) fees and disbursements of counsel for the Company and, in the case of a Shelf Registration, reasonable fees and disbursements of one special counsel for all of the sellers of Registrable Securities selected by the Holders of a majority in aggregate principal amount of Registrable Securities covered by such Shelf Registration (exclusive any counsel retained pursuant to Section 7 hereof), (v) fees and disbursements of all independent certified public accountants referred to in Section 5(n)(iii) hereof (including, without limitation, the expenses of any “cold comfort” letters required by or incident to such performance), (vi) rating agency fees, if any, associated with making the Registrable Securities or Exchange Securities eligible for trading through the Depository Trust Company, (vii) Securities Act liability insurance, if the Company desires such insurance, (viii) fees and expenses of all other Persons retained by the Company, (ix) internal expenses of the Company (including, without limitation, all salaries and expenses of officers and employees of the Company performing legal or accounting duties), (x) the expense of any annual audit of the Company, (xi) any fees and expenses incurred in connection with the listing of the securities to be registered on any securities exchange, and the obtaining of a rating of the securities, in each case, if applicable, (xii) the expenses relating to printing, word processing and distributing all Registration Statements, underwriting agreements, indentures and any other documents necessary in order to comply with this Agreement and (xiii) messenger, telephone and delivery expenses relating to the offering incurred in connection with the performance of the Company’s obligations hereunder (collectively, the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promptly after receipt of a request therefor, reimburse the Holders in full for the full amount of any Registration Expenses actually incurred, assumed or paid by the Holders (to extent any Holders incur, assume or pay any Registration Expenses), to the extent evidence is provided therefor.</w:t>
      </w:r>
    </w:p>
    <w:p>
      <w:pPr>
        <w:spacing w:after="0" w:line="17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Other than as specifically provided for in the immediately preceding paragraph, the holders of the Registrable Securities being registered shall pay all agency fees and commissions and underwriting discounts and commissions attributable to the sale of such Registrable Securities and the fees and disbursements of any counsel (exclusive any counsel retained pursuant to Section 7 hereof) or other advisors or experts retained by such holders (severally or jointly).</w:t>
      </w:r>
    </w:p>
    <w:p>
      <w:pPr>
        <w:spacing w:after="0" w:line="335" w:lineRule="exact"/>
        <w:rPr>
          <w:sz w:val="20"/>
          <w:szCs w:val="20"/>
          <w:color w:val="auto"/>
        </w:rPr>
      </w:pPr>
    </w:p>
    <w:p>
      <w:pPr>
        <w:ind w:left="900" w:hanging="446"/>
        <w:spacing w:after="0"/>
        <w:tabs>
          <w:tab w:leader="none" w:pos="90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73" w:lineRule="auto"/>
        <w:tabs>
          <w:tab w:leader="none" w:pos="1158" w:val="left"/>
        </w:tabs>
        <w:numPr>
          <w:ilvl w:val="2"/>
          <w:numId w:val="450"/>
        </w:numPr>
        <w:rPr>
          <w:rFonts w:ascii="Arial" w:cs="Arial" w:eastAsia="Arial" w:hAnsi="Arial"/>
          <w:sz w:val="17"/>
          <w:szCs w:val="17"/>
          <w:color w:val="auto"/>
        </w:rPr>
      </w:pPr>
      <w:r>
        <w:rPr>
          <w:rFonts w:ascii="Arial" w:cs="Arial" w:eastAsia="Arial" w:hAnsi="Arial"/>
          <w:sz w:val="17"/>
          <w:szCs w:val="17"/>
          <w:color w:val="auto"/>
        </w:rPr>
        <w:t>The Company and the Guarantors jointly and severally agree to indemnify and hold harmless each Holder of Registrable Securities, each Participating Broker-Dealer selling Exchange Securities during the Applicable Period, the directors, officers, employees, Affiliates and agents of each such Holder or Participating Broker-Dealer and each Person, if any, who controls any such Holder or Participating Broker-Dealer or its affiliates within the meaning of Section 15 of the Act or Section 20 of the Exchange Act (each, a “</w:t>
      </w:r>
      <w:r>
        <w:rPr>
          <w:rFonts w:ascii="Arial" w:cs="Arial" w:eastAsia="Arial" w:hAnsi="Arial"/>
          <w:sz w:val="17"/>
          <w:szCs w:val="17"/>
          <w:u w:val="single" w:color="auto"/>
          <w:color w:val="auto"/>
        </w:rPr>
        <w:t>Participant</w:t>
      </w:r>
      <w:r>
        <w:rPr>
          <w:rFonts w:ascii="Arial" w:cs="Arial" w:eastAsia="Arial" w:hAnsi="Arial"/>
          <w:sz w:val="17"/>
          <w:szCs w:val="17"/>
          <w:color w:val="auto"/>
        </w:rPr>
        <w:t>”) against any losses, claims, damages or liabilities, joint or several, to which any Participant may become subject under the Securities Act, the Exchange Act or otherwise, insofar as any such losses, claims, damages or liabilities (or actions in respect thereof) arise out of or are based upon:</w:t>
      </w:r>
    </w:p>
    <w:p>
      <w:pPr>
        <w:spacing w:after="0" w:line="70" w:lineRule="exact"/>
        <w:rPr>
          <w:rFonts w:ascii="Arial" w:cs="Arial" w:eastAsia="Arial" w:hAnsi="Arial"/>
          <w:sz w:val="17"/>
          <w:szCs w:val="17"/>
          <w:color w:val="auto"/>
        </w:rPr>
      </w:pPr>
    </w:p>
    <w:p>
      <w:pPr>
        <w:jc w:val="both"/>
        <w:ind w:left="460" w:right="160" w:firstLine="443"/>
        <w:spacing w:after="0" w:line="259" w:lineRule="auto"/>
        <w:tabs>
          <w:tab w:leader="none" w:pos="1113"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any material fact made by the Company contained in any application or any other document or any amendment or supplement thereto executed by the Company based upon written information furnished by or on behalf of the Company filed in any jurisdiction in order to qualify the Notes under the securities or “Blue Sky” laws thereof or filed with the SEC or any securities association or securities exchange (each, an “</w:t>
      </w:r>
      <w:r>
        <w:rPr>
          <w:rFonts w:ascii="Arial" w:cs="Arial" w:eastAsia="Arial" w:hAnsi="Arial"/>
          <w:sz w:val="18"/>
          <w:szCs w:val="18"/>
          <w:u w:val="single" w:color="auto"/>
          <w:color w:val="auto"/>
        </w:rPr>
        <w:t>Application</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357" w:name="page358"/>
    <w:bookmarkEnd w:id="357"/>
    <w:p>
      <w:pPr>
        <w:ind w:left="460" w:right="80" w:firstLine="443"/>
        <w:spacing w:after="0" w:line="264" w:lineRule="auto"/>
        <w:tabs>
          <w:tab w:leader="none" w:pos="1163" w:val="left"/>
        </w:tabs>
        <w:numPr>
          <w:ilvl w:val="0"/>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untrue statement or alleged untrue statement of any material fact contained in any Registration Statement (or any amendment thereto) or Prospectus (as amended or supplemented if the Company shall have furnished any amendments or supplements thereto) or any preliminary prospectus; or</w:t>
      </w:r>
    </w:p>
    <w:p>
      <w:pPr>
        <w:spacing w:after="0" w:line="73" w:lineRule="exact"/>
        <w:rPr>
          <w:rFonts w:ascii="Arial" w:cs="Arial" w:eastAsia="Arial" w:hAnsi="Arial"/>
          <w:sz w:val="18"/>
          <w:szCs w:val="18"/>
          <w:color w:val="auto"/>
        </w:rPr>
      </w:pPr>
    </w:p>
    <w:p>
      <w:pPr>
        <w:ind w:left="460" w:right="200" w:firstLine="443"/>
        <w:spacing w:after="0" w:line="259" w:lineRule="auto"/>
        <w:tabs>
          <w:tab w:leader="none" w:pos="121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omission or alleged omission to state, in any Registration Statement (or any amendment thereto) or Prospectus (as amended or supplemented if the Company shall have furnished any amendments or supplements thereto) or any preliminary prospectus or any Application or any other document or any amendment or supplement thereto, a material fact required to be stated therein or necessary to make the statements therein not misleading;</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and will reimburse, as incurred, the Participant for any legal or other expenses incurred by the Participant in connection with investigating, defending against or appearing as a third-party witness in connection with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will not be liable in any such case to the extent that any such loss, claim, damage, or liability arises out of or is based upon any untrue statement or alleged untrue statement or omission or alleged omission made in any Registration Statement (or any amendment thereto) or Prospectus (as amended or supplemented if the Company shall have furnished any amendments or supplements thereto) or any preliminary prospectus or Application or any amendment or supplement thereto in reliance upon and in conformity with written information relating to any Participant furnished to the Company by or on behalf of such Participant specifically for use therein. The indemnity provided for in this Section 7 will be in addition to any liability that the Company may otherwise have to the indemnified parties. The Company and the Guarantors shall not be liable under this Section 7 for any settlement of any claim or action effected without their prior written consent, which shall not be unreasonably withheld.</w:t>
      </w:r>
    </w:p>
    <w:p>
      <w:pPr>
        <w:spacing w:after="0" w:line="182" w:lineRule="exact"/>
        <w:rPr>
          <w:sz w:val="20"/>
          <w:szCs w:val="20"/>
          <w:color w:val="auto"/>
        </w:rPr>
      </w:pPr>
    </w:p>
    <w:p>
      <w:pPr>
        <w:ind w:firstLine="921"/>
        <w:spacing w:after="0" w:line="268" w:lineRule="auto"/>
        <w:tabs>
          <w:tab w:leader="none" w:pos="1168" w:val="left"/>
        </w:tabs>
        <w:numPr>
          <w:ilvl w:val="0"/>
          <w:numId w:val="452"/>
        </w:numPr>
        <w:rPr>
          <w:rFonts w:ascii="Arial" w:cs="Arial" w:eastAsia="Arial" w:hAnsi="Arial"/>
          <w:sz w:val="17"/>
          <w:szCs w:val="17"/>
          <w:color w:val="auto"/>
        </w:rPr>
      </w:pPr>
      <w:r>
        <w:rPr>
          <w:rFonts w:ascii="Arial" w:cs="Arial" w:eastAsia="Arial" w:hAnsi="Arial"/>
          <w:sz w:val="17"/>
          <w:szCs w:val="17"/>
          <w:color w:val="auto"/>
        </w:rPr>
        <w:t>Each Participant, severally and not jointly, agrees to indemnify and hold harmless the Company, the Guarantors, their respective directors, their respective officers and each person, if any, who controls the Company or its affiliates within the meaning of Section 15 of the Act or Section 20 of the Exchange Act against any losses, claims, damages or liabilities to which the Company, the Guarantors or any such director, officer or controlling person may become subject under the Act, the Exchange Act or otherwise, insofar as such losses, claims, damages or liabilities (or actions in respect thereof) arise out of or are based upon (i) any untrue statement or alleged untrue statement of any material fact contained in any Registration Statement, Prospectus or Application, any amendment or supplement thereto, or any preliminary prospectus, or (ii) the omission or the alleged omission to state therein a material fact necessary to make the statements therein not misleading, in each case to the extent, but only to the extent, that such untrue statement or alleged untrue statement or omission or alleged omission was made in reliance upon and in conformity with written information concerning such Participant, furnished to the Company by or on behalf of such Participant, specifically for use therein; and subject to the limitation set forth immediately preceding this clause, will reimburse, as incurred, any reasonable legal or other expenses incurred by the Company, the Guarantors or any such director, officer or controlling person in connection with investigating or defending against or appearing as a third party witness in connection with any such loss, claim, damage, liability or action in respect thereof. The indemnity provided for in this Section 7 will be in addition to any liability that the Participants may otherwise have to the indemnified parties. The Participants shall not be liable under this Section 7 for any settlement of any claim or action effected without their consent, which shall not be unreasonably withheld. The Company and the Guarantors shall not, without the prior written consent of such Participant, effect any settlement or compromise of any pending or threatened proceeding in respect of which such Participant is or could have been a party, or indemnity could have been sought hereunder by such Participant, unless such settlement (A) includes 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58" w:name="page359"/>
    <w:bookmarkEnd w:id="358"/>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unconditional written release of such Participant, in form and substance reasonably satisfactory to such Participant, from all liability on claims that are the subject matter of such proceeding and (B) does not include any statement as to an admission of fault, culpability or failure to act by or on behalf of such Participant.</w:t>
      </w:r>
    </w:p>
    <w:p>
      <w:pPr>
        <w:spacing w:after="0" w:line="181" w:lineRule="exact"/>
        <w:rPr>
          <w:sz w:val="20"/>
          <w:szCs w:val="20"/>
          <w:color w:val="auto"/>
        </w:rPr>
      </w:pPr>
    </w:p>
    <w:p>
      <w:pPr>
        <w:ind w:right="20" w:firstLine="921"/>
        <w:spacing w:after="0" w:line="284" w:lineRule="auto"/>
        <w:tabs>
          <w:tab w:leader="none" w:pos="1158"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 of notice of the commencement of any action for which such indemnified party is entitled to indemnification under this Section 7, such indemnified party will, if a claim in respect thereof is to be made against the indemnifying party under this Section 7, notify the indemnifying party of the commencement thereof in writing; but the omission to so notify the indemnifying party (i) will not relieve it from any liability under paragraph (a) or (b) above unless and to the extent such failure results in the forfeiture by the indemnifying party of substantial rights and defenses and (ii) will not, in any event, relieve the indemnifying party from any obligations to any indemnified party other than the indemnification obligation provided in paragraphs (a) and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 the use of counsel chosen by the indemnifying party to represent the indemnified party would present such counsel with a conflict of interest, (ii) the defendants in any such action include both the indemnified party and the indemnifying party and the indemnified party shall have been advised by counsel that there may be one or more legal defenses available to it and/or other indemnified parties that are different from or additional to those available to the indemnifying party, or (iii) the indemnifying party shall not have employed counsel reasonably satisfactory to the indemnified party to represent the indemnified party within a reasonable time after receipt by the indemnifying party of notice of the institution of such action, then, in each such case, the indemnifying party shall not have the right to direct the defense of such action on behalf of such indemnified party or parties and such indemnified party or parties shall have the right to select separate counsel to defend such action on behalf of such indemnified party or parties. After notice from the indemnifying party to such indemnified party of its election so to assume the defense thereof and approval by such indemnified party of counsel appointed to defend such action, the indemnifying party will not be liable to such indemnified party under this Section 7 for any legal or other expenses, other than reasonable costs of investigation, subsequently incurred by such indemnified party in connection with the defense thereof, unless (i) the indemnified party shall have employed separate counsel in accordance with the proviso to the immediately preceding sentence (it being understood, however, that in connection with such action the indemnifying party shall not be liable for the expenses of more than one separate counsel (in addition to local counsel) in any one action or separate but substantially similar actions in the same jurisdiction arising out of the same general allegations or circumstances, designated by Participants who sold a majority in interest of the Registrable Securities and Exchange Securities sold by all such Participants in the case of paragraph (a) of this Section 7 or the Company in the case of paragraph (b) of this Section 7, representing the indemnified parties under such paragraph (a) or paragraph (b), as the case may be, who are parties to such action or actions) or (ii) the indemnifying party has authorized in writing the employment of counsel for the indemnified party at the expense of the indemnifying party. All fees and expenses reimbursed pursuant to this paragraph (c) shall be reimbursed as they are incurred.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unless such indemnified party waived in writing its rights under this Section 7, in which case the indemnified party may effect such a settlement without such consent.</w:t>
      </w:r>
    </w:p>
    <w:p>
      <w:pPr>
        <w:spacing w:after="0" w:line="386" w:lineRule="exact"/>
        <w:rPr>
          <w:rFonts w:ascii="Arial" w:cs="Arial" w:eastAsia="Arial" w:hAnsi="Arial"/>
          <w:sz w:val="16"/>
          <w:szCs w:val="16"/>
          <w:color w:val="auto"/>
        </w:rPr>
      </w:pPr>
    </w:p>
    <w:p>
      <w:pPr>
        <w:ind w:firstLine="921"/>
        <w:spacing w:after="0" w:line="277" w:lineRule="auto"/>
        <w:tabs>
          <w:tab w:leader="none" w:pos="116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 circumstances in which the indemnity agreement provided for in the preceding paragraphs of this Section 7 is unavailable to, or insufficient to hold harmless, an indemnified party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59" w:name="page360"/>
    <w:bookmarkEnd w:id="35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of any losses, claims, damages or liabilities (or actions in respect thereof), each indemnifying party, in order to provide for just and equitable contribution, shall 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 (i) 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 damages or liabilities (or actions in respect thereof). The relative benefits received by the Company and the Guarantors on the one hand and such Participant on the other shall be deemed to be in the same proportion as the total proceeds from the offering (before deducting expenses) of the Securities received by the Company bear to the total net profit received by such Participant in connection with the sale of the Securities.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the Participants on the other, the parties’ relative intent, knowledge, access to information and opportunity to correct or prevent such statement or omission or alleged statement or omission, and any other equitable considerations appropriate in the circumstances. The parties agree that it would not be equitable if the amount of such contribution were determined by pro rata or per capita allocation or by any other method of allocation that does not take into account the equitable considerations referred to in the first sentence of this paragraph (d). Notwithstanding any other provision of this paragraph (d), no Participant shall be obligated to make contributions hereunder that in the aggregate exceed the total net profit received by such Participant in connection with the sale of the Securities, less the aggregate amount of any damages that such Participant has otherwise been required to pay by reason of the untrue or alleged untrue statements or the omissions or alleged omissions to state a material fact, and no person guilty of fraudulent misrepresentation (within the meaning of Section 11(f) of the Securities Act) shall be entitled to contribution from any person who was not guilty of such fraudulent misrepresentation. For purposes of this paragraph (d), each person, if any, who controls a Participant within the meaning of Section 15 of the Act or Section 20 of the Exchange Act shall have the same rights to contribution as the Participants, and each director of the Company and the Guarantors, each officer of the Company and the Guarantors and each person, if any, who controls the Company and the Guarantors within the meaning of Section 15 of the Act or Section 20 of the Exchange Act, shall have the same rights to contribution as the Company.</w:t>
      </w:r>
    </w:p>
    <w:p>
      <w:pPr>
        <w:spacing w:after="0" w:line="329" w:lineRule="exact"/>
        <w:rPr>
          <w:sz w:val="20"/>
          <w:szCs w:val="20"/>
          <w:color w:val="auto"/>
        </w:rPr>
      </w:pPr>
    </w:p>
    <w:p>
      <w:pPr>
        <w:ind w:left="900" w:hanging="446"/>
        <w:spacing w:after="0"/>
        <w:tabs>
          <w:tab w:leader="none" w:pos="90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Rules 144A</w:t>
      </w:r>
    </w:p>
    <w:p>
      <w:pPr>
        <w:spacing w:after="0" w:line="117" w:lineRule="exact"/>
        <w:rPr>
          <w:rFonts w:ascii="Arial" w:cs="Arial" w:eastAsia="Arial" w:hAnsi="Arial"/>
          <w:sz w:val="18"/>
          <w:szCs w:val="18"/>
          <w:color w:val="auto"/>
        </w:rPr>
      </w:pPr>
    </w:p>
    <w:p>
      <w:pPr>
        <w:ind w:right="40" w:firstLine="921"/>
        <w:spacing w:after="0" w:line="269" w:lineRule="auto"/>
        <w:tabs>
          <w:tab w:leader="none" w:pos="1157" w:val="left"/>
        </w:tabs>
        <w:numPr>
          <w:ilvl w:val="1"/>
          <w:numId w:val="454"/>
        </w:numPr>
        <w:rPr>
          <w:rFonts w:ascii="Arial" w:cs="Arial" w:eastAsia="Arial" w:hAnsi="Arial"/>
          <w:sz w:val="17"/>
          <w:szCs w:val="17"/>
          <w:color w:val="auto"/>
        </w:rPr>
      </w:pPr>
      <w:r>
        <w:rPr>
          <w:rFonts w:ascii="Arial" w:cs="Arial" w:eastAsia="Arial" w:hAnsi="Arial"/>
          <w:sz w:val="17"/>
          <w:szCs w:val="17"/>
          <w:u w:val="single" w:color="auto"/>
          <w:color w:val="auto"/>
        </w:rPr>
        <w:t>Facilitation of Sales Pursuant to Rule 144A</w:t>
      </w:r>
      <w:r>
        <w:rPr>
          <w:rFonts w:ascii="Arial" w:cs="Arial" w:eastAsia="Arial" w:hAnsi="Arial"/>
          <w:sz w:val="17"/>
          <w:szCs w:val="17"/>
          <w:color w:val="auto"/>
        </w:rPr>
        <w:t>. The Company covenants and agrees that it will use its commercially reasonable efforts to file the reports required to be filed by it under the Securities Act and the Exchange Act and the rules and regulations adopted by the SEC thereunder in a timely manner in accordance with the requirements of the Securities Act and the Exchange Act and, if at any time the Company is not required to file such reports, the Company will, upon the written request of any Holder or beneficial owner of Registrable Securities, make available such information necessary to permit sales pursuant to Rule 144A. The Company further covenants and agrees, for so long as any Registrable Securities remain outstanding that it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Rule 144A unless the Company is then subject to Section 13 or 15(d) of the Exchange Act and reports filed thereunder satisfy the information requirements of Rule 144A then in effect. Upon the request of any Holder, the Company shall deliver to such Holder a written statement as to whether it has complied with such information and requirements. The Company will be deemed to have satisfied the foregoing requirements if the Company files such reports required by the Indenture within the applicable time periods set forth therein.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60" w:name="page361"/>
    <w:bookmarkEnd w:id="360"/>
    <w:p>
      <w:pPr>
        <w:ind w:firstLine="921"/>
        <w:spacing w:after="0" w:line="259" w:lineRule="auto"/>
        <w:tabs>
          <w:tab w:leader="none" w:pos="1168" w:val="left"/>
        </w:tabs>
        <w:numPr>
          <w:ilvl w:val="1"/>
          <w:numId w:val="4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Availability of Rule 144A Not Excuse of Obligations Under Section 2 of This Agreement</w:t>
      </w:r>
      <w:r>
        <w:rPr>
          <w:rFonts w:ascii="Arial" w:cs="Arial" w:eastAsia="Arial" w:hAnsi="Arial"/>
          <w:sz w:val="18"/>
          <w:szCs w:val="18"/>
          <w:color w:val="auto"/>
        </w:rPr>
        <w:t>. The fact that Holders of Registrable Securities may become eligible to sell such Registrable Securities pursuant to Rule 144 shall not (1) cause such Securities to cease to be Registrable Securities or (2) excuse the Company’s obligations set forth in Section 2 of this Agreement, including without limitation the obligations in respect of an Exchange Offer, Shelf Registration and Additional Interest.</w:t>
      </w: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any of the Registrable Securities covered by any Shelf Registration are to be sold in an Underwritten Offering, the investment banker or investment bankers and manager or managers that will manage the offering will be selected by the Holders of a majority in aggregate principal amount of such Registrable Securities included in such offering; provided, however, that such investment banker or investment bankers and manager or managers must be reasonably acceptable to the Company.</w:t>
      </w:r>
    </w:p>
    <w:p>
      <w:pPr>
        <w:spacing w:after="0" w:line="18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No Holder of Registrable Securities may participate in any Underwritten Registration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335" w:lineRule="exact"/>
        <w:rPr>
          <w:sz w:val="20"/>
          <w:szCs w:val="20"/>
          <w:color w:val="auto"/>
        </w:rPr>
      </w:pPr>
    </w:p>
    <w:p>
      <w:pPr>
        <w:ind w:left="900" w:hanging="446"/>
        <w:spacing w:after="0"/>
        <w:tabs>
          <w:tab w:leader="none" w:pos="900" w:val="left"/>
        </w:tabs>
        <w:numPr>
          <w:ilvl w:val="1"/>
          <w:numId w:val="45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right="80" w:firstLine="921"/>
        <w:spacing w:after="0" w:line="264" w:lineRule="auto"/>
        <w:tabs>
          <w:tab w:leader="none" w:pos="1157" w:val="left"/>
        </w:tabs>
        <w:numPr>
          <w:ilvl w:val="2"/>
          <w:numId w:val="45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181" w:lineRule="exact"/>
        <w:rPr>
          <w:rFonts w:ascii="Arial" w:cs="Arial" w:eastAsia="Arial" w:hAnsi="Arial"/>
          <w:sz w:val="18"/>
          <w:szCs w:val="18"/>
          <w:color w:val="auto"/>
        </w:rPr>
      </w:pPr>
    </w:p>
    <w:p>
      <w:pPr>
        <w:ind w:firstLine="921"/>
        <w:spacing w:after="0" w:line="255" w:lineRule="auto"/>
        <w:tabs>
          <w:tab w:leader="none" w:pos="1168" w:val="left"/>
        </w:tabs>
        <w:numPr>
          <w:ilvl w:val="2"/>
          <w:numId w:val="457"/>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has not as of the date hereof, and the Company shall not after the date of this Agreement, enter into any agreement with respect to any of its securities that is inconsistent with the rights granted to the Holders of Registrable Securities in this Agreement or otherwise conflicts with the provisions hereof. The rights granted to the Holders hereunder do not in any way conflict with and are not inconsistent with the rights granted to the holders of the Company’s other issued and outstanding securities under any such agreements. The Company will not enter into any agreement (other than this Agreement in respect of the Notes) with respect to any of its securities which will grant to any Person piggy-back registration rights with respect to any Registration Statement.</w:t>
      </w:r>
    </w:p>
    <w:p>
      <w:pPr>
        <w:spacing w:after="0" w:line="193" w:lineRule="exact"/>
        <w:rPr>
          <w:rFonts w:ascii="Arial" w:cs="Arial" w:eastAsia="Arial" w:hAnsi="Arial"/>
          <w:sz w:val="18"/>
          <w:szCs w:val="18"/>
          <w:color w:val="auto"/>
        </w:rPr>
      </w:pPr>
    </w:p>
    <w:p>
      <w:pPr>
        <w:ind w:right="220" w:firstLine="921"/>
        <w:spacing w:after="0" w:line="264" w:lineRule="auto"/>
        <w:tabs>
          <w:tab w:leader="none" w:pos="1157" w:val="left"/>
        </w:tabs>
        <w:numPr>
          <w:ilvl w:val="2"/>
          <w:numId w:val="457"/>
        </w:numPr>
        <w:rPr>
          <w:rFonts w:ascii="Arial" w:cs="Arial" w:eastAsia="Arial" w:hAnsi="Arial"/>
          <w:sz w:val="18"/>
          <w:szCs w:val="18"/>
          <w:color w:val="auto"/>
        </w:rPr>
      </w:pPr>
      <w:r>
        <w:rPr>
          <w:rFonts w:ascii="Arial" w:cs="Arial" w:eastAsia="Arial" w:hAnsi="Arial"/>
          <w:sz w:val="18"/>
          <w:szCs w:val="18"/>
          <w:u w:val="single" w:color="auto"/>
          <w:color w:val="auto"/>
        </w:rPr>
        <w:t>Adjustments Affecting Registrable Securities</w:t>
      </w:r>
      <w:r>
        <w:rPr>
          <w:rFonts w:ascii="Arial" w:cs="Arial" w:eastAsia="Arial" w:hAnsi="Arial"/>
          <w:sz w:val="18"/>
          <w:szCs w:val="18"/>
          <w:color w:val="auto"/>
        </w:rPr>
        <w:t>. The Company shall not, directly or indirectly, take any action with respect to the Registrable Securities as a class that would adversely affect the ability of the Holders of Registrable Securities to include such Registrable Securities in a registration undertaken pursuant to this Agreement.</w:t>
      </w:r>
    </w:p>
    <w:p>
      <w:pPr>
        <w:spacing w:after="0" w:line="181" w:lineRule="exact"/>
        <w:rPr>
          <w:rFonts w:ascii="Arial" w:cs="Arial" w:eastAsia="Arial" w:hAnsi="Arial"/>
          <w:sz w:val="18"/>
          <w:szCs w:val="18"/>
          <w:color w:val="auto"/>
        </w:rPr>
      </w:pPr>
    </w:p>
    <w:p>
      <w:pPr>
        <w:ind w:right="160" w:firstLine="921"/>
        <w:spacing w:after="0" w:line="288" w:lineRule="auto"/>
        <w:tabs>
          <w:tab w:leader="none" w:pos="1168" w:val="left"/>
        </w:tabs>
        <w:numPr>
          <w:ilvl w:val="2"/>
          <w:numId w:val="457"/>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not be amended, modified or supplemented, and waivers or consents to departures from the provisions hereof may not be given, otherwise than with the prior written consent of (I) the Company, and (II) (A) in circumstances that would adversely affect the Holders, the Holders of not less than a majority in aggregate principal amount of the then outstanding Registrable Securities and</w:t>
      </w:r>
    </w:p>
    <w:p>
      <w:pPr>
        <w:ind w:right="600" w:firstLine="8"/>
        <w:spacing w:after="0" w:line="261" w:lineRule="auto"/>
        <w:tabs>
          <w:tab w:leader="none" w:pos="28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circumstances that would adversely affect the Participating Broker-Dealers, the Participating Broker-Dealers holding not less than a majority in aggregate principal amount of the Exchange Notes held by all Participating Broker-Dealers;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3" w:right="259" w:bottom="1440" w:gutter="0" w:footer="0" w:header="0"/>
        </w:sectPr>
      </w:pPr>
    </w:p>
    <w:bookmarkStart w:id="361" w:name="page362"/>
    <w:bookmarkEnd w:id="361"/>
    <w:p>
      <w:pPr>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Section 7 hereof and this Section 10(d) may not be amended, modified or supplemented without the prior written consent of each Holder and each Participating Broker-Dealer (including any person who was a Holder or Participating Broker-Dealer of Registrable Securities or Exchange Securities, as the case may be, disposed of pursuant to any Registration Statement) affected by any such amendment, modification or supplement.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impair, limit or compromise the rights of Holders of Registrable Securities not being sold pursuant to such Registration Statement may be given by Holders of at least a majority in aggregate principal amount of the Registrable Securities being sold pursuant to such Registration Statement.</w:t>
      </w:r>
    </w:p>
    <w:p>
      <w:pPr>
        <w:spacing w:after="0" w:line="167" w:lineRule="exact"/>
        <w:rPr>
          <w:sz w:val="20"/>
          <w:szCs w:val="20"/>
          <w:color w:val="auto"/>
        </w:rPr>
      </w:pPr>
    </w:p>
    <w:p>
      <w:pPr>
        <w:ind w:right="80" w:firstLine="921"/>
        <w:spacing w:after="0" w:line="308" w:lineRule="auto"/>
        <w:tabs>
          <w:tab w:leader="none" w:pos="1157" w:val="left"/>
        </w:tabs>
        <w:numPr>
          <w:ilvl w:val="1"/>
          <w:numId w:val="45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(including, without limitation, any notices or other communications to the Trustee hereunder) provided for or permitted hereunder shall be made in writing by hand-delivery, registered first-class mail, next-day air courier or facsimile:</w:t>
      </w:r>
    </w:p>
    <w:p>
      <w:pPr>
        <w:spacing w:after="0" w:line="38" w:lineRule="exact"/>
        <w:rPr>
          <w:rFonts w:ascii="Arial" w:cs="Arial" w:eastAsia="Arial" w:hAnsi="Arial"/>
          <w:sz w:val="17"/>
          <w:szCs w:val="17"/>
          <w:color w:val="auto"/>
        </w:rPr>
      </w:pPr>
    </w:p>
    <w:p>
      <w:pPr>
        <w:ind w:left="460" w:right="220" w:firstLine="443"/>
        <w:spacing w:after="0" w:line="264" w:lineRule="auto"/>
        <w:tabs>
          <w:tab w:leader="none" w:pos="111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to a Holder of the Registrable Securities or any Participating Broker-Dealer, at the most current address of such Holder or Participating Broker-Dealer, as the case may be, set forth on the records of the registrar under the Indenture, with a copy in like manner to the Initial Purchasers as follows:</w:t>
      </w:r>
    </w:p>
    <w:p>
      <w:pPr>
        <w:spacing w:after="0" w:line="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3333 Peachtree Road, 10th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(800) 685-4786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STRHdocs@SunTrust.com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Cahill Gordon &amp; Reindel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 Pine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(212) 269-5420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James J. Clark, Esq.</w:t>
      </w:r>
    </w:p>
    <w:p>
      <w:pPr>
        <w:spacing w:after="0" w:line="116" w:lineRule="exact"/>
        <w:rPr>
          <w:sz w:val="20"/>
          <w:szCs w:val="20"/>
          <w:color w:val="auto"/>
        </w:rPr>
      </w:pPr>
    </w:p>
    <w:p>
      <w:pPr>
        <w:ind w:left="1480" w:hanging="567"/>
        <w:spacing w:after="0"/>
        <w:tabs>
          <w:tab w:leader="none" w:pos="14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to the Initial Purchasers, at the address specified in Section 10(e)(i);</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to the Company, at the address as follows:</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23" w:lineRule="exact"/>
        <w:rPr>
          <w:rFonts w:ascii="Arial" w:cs="Arial" w:eastAsia="Arial" w:hAnsi="Arial"/>
          <w:sz w:val="18"/>
          <w:szCs w:val="18"/>
          <w:color w:val="auto"/>
        </w:rPr>
      </w:pPr>
    </w:p>
    <w:p>
      <w:pPr>
        <w:ind w:left="1500" w:right="7680"/>
        <w:spacing w:after="0" w:line="281" w:lineRule="auto"/>
        <w:rPr>
          <w:rFonts w:ascii="Arial" w:cs="Arial" w:eastAsia="Arial" w:hAnsi="Arial"/>
          <w:sz w:val="18"/>
          <w:szCs w:val="18"/>
          <w:color w:val="auto"/>
        </w:rPr>
      </w:pPr>
      <w:r>
        <w:rPr>
          <w:rFonts w:ascii="Arial" w:cs="Arial" w:eastAsia="Arial" w:hAnsi="Arial"/>
          <w:sz w:val="16"/>
          <w:szCs w:val="16"/>
          <w:color w:val="auto"/>
        </w:rPr>
        <w:t>207 Mockingbird Lane Johnson City, TN 37604 Facsimile No.: (423) 743-2670</w:t>
      </w:r>
    </w:p>
    <w:p>
      <w:pPr>
        <w:spacing w:after="0" w:line="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Attention: James H. Dorton, Senior Vice President - Chief Financial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62" w:name="page363"/>
    <w:bookmarkEnd w:id="362"/>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(423) 434-8389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Matthew S. Heiter, Senior Vice President and General Counsel</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and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Baker, Donelson, Bearman, Caldwell &amp; Berkowitz, PC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First Tennessee Building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165 Madison Avenue, Suite 2000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Memphis, TN 38103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(901) 577-4234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Richard F. Mattern</w:t>
      </w:r>
    </w:p>
    <w:p>
      <w:pPr>
        <w:spacing w:after="0" w:line="21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upon written confirmation, if sent by facsimile.</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and in the manner specified in such Indenture.</w:t>
      </w:r>
    </w:p>
    <w:p>
      <w:pPr>
        <w:spacing w:after="0" w:line="170" w:lineRule="exact"/>
        <w:rPr>
          <w:sz w:val="20"/>
          <w:szCs w:val="20"/>
          <w:color w:val="auto"/>
        </w:rPr>
      </w:pPr>
    </w:p>
    <w:p>
      <w:pPr>
        <w:ind w:right="100" w:firstLine="921"/>
        <w:spacing w:after="0" w:line="264" w:lineRule="auto"/>
        <w:tabs>
          <w:tab w:leader="none" w:pos="1138"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successors and assigns of each of the parties hereto, the Holders and the Participating Broker-Dealers;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deemed to permit any assignment, transfer or other disposition of Registrable Securities in violation of the terms of the Purchase Agreement or the Indenture.</w:t>
      </w:r>
    </w:p>
    <w:p>
      <w:pPr>
        <w:spacing w:after="0" w:line="181" w:lineRule="exact"/>
        <w:rPr>
          <w:rFonts w:ascii="Arial" w:cs="Arial" w:eastAsia="Arial" w:hAnsi="Arial"/>
          <w:sz w:val="18"/>
          <w:szCs w:val="18"/>
          <w:color w:val="auto"/>
        </w:rPr>
      </w:pPr>
    </w:p>
    <w:p>
      <w:pPr>
        <w:ind w:right="380" w:firstLine="921"/>
        <w:spacing w:after="0" w:line="308" w:lineRule="auto"/>
        <w:tabs>
          <w:tab w:leader="none" w:pos="1168"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46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244" w:lineRule="exact"/>
        <w:rPr>
          <w:rFonts w:ascii="Arial" w:cs="Arial" w:eastAsia="Arial" w:hAnsi="Arial"/>
          <w:sz w:val="16"/>
          <w:szCs w:val="16"/>
          <w:color w:val="auto"/>
        </w:rPr>
      </w:pPr>
    </w:p>
    <w:p>
      <w:pPr>
        <w:ind w:right="80" w:firstLine="921"/>
        <w:spacing w:after="0" w:line="261" w:lineRule="auto"/>
        <w:tabs>
          <w:tab w:leader="none" w:pos="1128" w:val="left"/>
        </w:tabs>
        <w:numPr>
          <w:ilvl w:val="0"/>
          <w:numId w:val="4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Waiver of Jury Trial</w:t>
      </w:r>
      <w:r>
        <w:rPr>
          <w:rFonts w:ascii="Arial" w:cs="Arial" w:eastAsia="Arial" w:hAnsi="Arial"/>
          <w:sz w:val="18"/>
          <w:szCs w:val="18"/>
          <w:b w:val="1"/>
          <w:bCs w:val="1"/>
          <w:color w:val="auto"/>
        </w:rPr>
        <w:t>. THIS AGREEMENT SHALL BE GOVERNED BY AND CONSTRUED IN ACCORDANCE WITH, THE LAW OF THE STATE OF NEW YORK, INCLUDING, WITHOUT LIMITATION, SECTION 5-1401 OF THE NEW YORK GENERAL OBLIGATIONS LAW. EACH OF THE PARTIES HEREBY WAIVES ANY RIGHT TO TRIAL BY JURY IN ANY ACTION, PROCEEDING OR COUNTERCLAIM ARISING OUT OF OR RELATING TO THIS AGREEMENT.</w:t>
      </w:r>
    </w:p>
    <w:p>
      <w:pPr>
        <w:spacing w:after="0" w:line="184" w:lineRule="exact"/>
        <w:rPr>
          <w:rFonts w:ascii="Arial" w:cs="Arial" w:eastAsia="Arial" w:hAnsi="Arial"/>
          <w:sz w:val="18"/>
          <w:szCs w:val="18"/>
          <w:color w:val="auto"/>
        </w:rPr>
      </w:pPr>
    </w:p>
    <w:p>
      <w:pPr>
        <w:ind w:firstLine="921"/>
        <w:spacing w:after="0" w:line="259" w:lineRule="auto"/>
        <w:tabs>
          <w:tab w:leader="none" w:pos="1128"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63" w:name="page364"/>
    <w:bookmarkEnd w:id="363"/>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1" w:lineRule="exact"/>
        <w:rPr>
          <w:sz w:val="20"/>
          <w:szCs w:val="20"/>
          <w:color w:val="auto"/>
        </w:rPr>
      </w:pPr>
    </w:p>
    <w:p>
      <w:pPr>
        <w:ind w:right="300" w:firstLine="921"/>
        <w:spacing w:after="0" w:line="286" w:lineRule="auto"/>
        <w:tabs>
          <w:tab w:leader="none" w:pos="1168"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Securities Held by the Company or Its Affiliates</w:t>
      </w:r>
      <w:r>
        <w:rPr>
          <w:rFonts w:ascii="Arial" w:cs="Arial" w:eastAsia="Arial" w:hAnsi="Arial"/>
          <w:sz w:val="17"/>
          <w:szCs w:val="17"/>
          <w:color w:val="auto"/>
        </w:rPr>
        <w:t>. Whenever the consent or approval of Holders of a specified percentage of Registrable Securities is required hereunder, Registrable Securities held by the Company or its affiliates (as such term is defined in Rule 405 under the Securities Act) shall not be counted in determining whether such consent or approval was given by the Holders of such required percentage.</w:t>
      </w:r>
    </w:p>
    <w:p>
      <w:pPr>
        <w:spacing w:after="0" w:line="165" w:lineRule="exact"/>
        <w:rPr>
          <w:rFonts w:ascii="Arial" w:cs="Arial" w:eastAsia="Arial" w:hAnsi="Arial"/>
          <w:sz w:val="17"/>
          <w:szCs w:val="17"/>
          <w:color w:val="auto"/>
        </w:rPr>
      </w:pPr>
    </w:p>
    <w:p>
      <w:pPr>
        <w:ind w:right="320" w:firstLine="921"/>
        <w:spacing w:after="0" w:line="277" w:lineRule="auto"/>
        <w:tabs>
          <w:tab w:leader="none" w:pos="1128"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Holders of Registrable Securities and Participating Broker-Dealers are intended third-party beneficiaries of this Agreement, and this Agreement may be enforced by such Persons.</w:t>
      </w:r>
    </w:p>
    <w:p>
      <w:pPr>
        <w:spacing w:after="0" w:line="170" w:lineRule="exact"/>
        <w:rPr>
          <w:rFonts w:ascii="Arial" w:cs="Arial" w:eastAsia="Arial" w:hAnsi="Arial"/>
          <w:sz w:val="18"/>
          <w:szCs w:val="18"/>
          <w:color w:val="auto"/>
        </w:rPr>
      </w:pPr>
    </w:p>
    <w:p>
      <w:pPr>
        <w:ind w:firstLine="921"/>
        <w:spacing w:after="0" w:line="276" w:lineRule="auto"/>
        <w:tabs>
          <w:tab w:leader="none" w:pos="1218"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Purchase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Holders on the one hand and the Company on the other, or between or among any agents, representatives, parents, subsidiaries, affiliates, predecessors in interest or successors in interest with respect to the subject matter hereof and thereof are merged herein and replaced hereby.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Richard D. Holder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xml:space="preserve">INDUSTRIAL MOLDING CORPORATION, </w:t>
      </w:r>
      <w:r>
        <w:rPr>
          <w:rFonts w:ascii="Arial" w:cs="Arial" w:eastAsia="Arial" w:hAnsi="Arial"/>
          <w:sz w:val="18"/>
          <w:szCs w:val="18"/>
          <w:color w:val="auto"/>
        </w:rPr>
        <w:t>as a</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xml:space="preserve">WHIRLAWAY CORPORATION, </w:t>
      </w:r>
      <w:r>
        <w:rPr>
          <w:rFonts w:ascii="Arial" w:cs="Arial" w:eastAsia="Arial" w:hAnsi="Arial"/>
          <w:sz w:val="18"/>
          <w:szCs w:val="18"/>
          <w:color w:val="auto"/>
        </w:rPr>
        <w:t>as a Guarantor</w:t>
      </w:r>
    </w:p>
    <w:p>
      <w:pPr>
        <w:spacing w:after="0" w:line="229"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 xml:space="preserve">PNC ACQUISITION COMPANY, INC., </w:t>
      </w:r>
      <w:r>
        <w:rPr>
          <w:rFonts w:ascii="Arial" w:cs="Arial" w:eastAsia="Arial" w:hAnsi="Arial"/>
          <w:sz w:val="17"/>
          <w:szCs w:val="17"/>
          <w:color w:val="auto"/>
        </w:rPr>
        <w:t>as a Guarantor</w:t>
      </w:r>
    </w:p>
    <w:p>
      <w:pPr>
        <w:spacing w:after="0" w:line="241"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 xml:space="preserve">PMC ACQUISITION COMPANY, INC., </w:t>
      </w:r>
      <w:r>
        <w:rPr>
          <w:rFonts w:ascii="Arial" w:cs="Arial" w:eastAsia="Arial" w:hAnsi="Arial"/>
          <w:sz w:val="17"/>
          <w:szCs w:val="17"/>
          <w:color w:val="auto"/>
        </w:rPr>
        <w:t>as a Guarantor</w:t>
      </w:r>
    </w:p>
    <w:p>
      <w:pPr>
        <w:spacing w:after="0" w:line="241"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180"/>
          </w:cols>
          <w:pgMar w:left="1160" w:top="274" w:right="559" w:bottom="1440" w:gutter="0" w:footer="0" w:header="0"/>
        </w:sectPr>
      </w:pPr>
    </w:p>
    <w:bookmarkStart w:id="365" w:name="page366"/>
    <w:bookmarkEnd w:id="36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PMC USA ACQUISITION COMPANY, INC., </w:t>
      </w:r>
      <w:r>
        <w:rPr>
          <w:rFonts w:ascii="Arial" w:cs="Arial" w:eastAsia="Arial" w:hAnsi="Arial"/>
          <w:sz w:val="18"/>
          <w:szCs w:val="18"/>
          <w:color w:val="auto"/>
        </w:rPr>
        <w:t>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THE DELTA RUBBER COMPANY, </w:t>
      </w:r>
      <w:r>
        <w:rPr>
          <w:rFonts w:ascii="Arial" w:cs="Arial" w:eastAsia="Arial" w:hAnsi="Arial"/>
          <w:sz w:val="18"/>
          <w:szCs w:val="18"/>
          <w:color w:val="auto"/>
        </w:rPr>
        <w:t>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 xml:space="preserve">CAPROCK MANUFACTURING, INC., </w:t>
      </w:r>
      <w:r>
        <w:rPr>
          <w:rFonts w:ascii="Arial" w:cs="Arial" w:eastAsia="Arial" w:hAnsi="Arial"/>
          <w:sz w:val="17"/>
          <w:szCs w:val="17"/>
          <w:color w:val="auto"/>
        </w:rPr>
        <w:t>as a Guarantor</w:t>
      </w:r>
    </w:p>
    <w:p>
      <w:pPr>
        <w:spacing w:after="0" w:line="24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CAPROCK ENCLOSURES, LLC, </w:t>
      </w:r>
      <w:r>
        <w:rPr>
          <w:rFonts w:ascii="Arial" w:cs="Arial" w:eastAsia="Arial" w:hAnsi="Arial"/>
          <w:sz w:val="18"/>
          <w:szCs w:val="18"/>
          <w:color w:val="auto"/>
        </w:rPr>
        <w:t>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NN PRECISION PLASTICS, INC., </w:t>
      </w:r>
      <w:r>
        <w:rPr>
          <w:rFonts w:ascii="Arial" w:cs="Arial" w:eastAsia="Arial" w:hAnsi="Arial"/>
          <w:sz w:val="18"/>
          <w:szCs w:val="18"/>
          <w:color w:val="auto"/>
        </w:rPr>
        <w:t>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860"/>
          </w:cols>
          <w:pgMar w:left="1440" w:top="269" w:right="599" w:bottom="1440" w:gutter="0" w:footer="0" w:header="0"/>
        </w:sectPr>
      </w:pPr>
    </w:p>
    <w:bookmarkStart w:id="366" w:name="page367"/>
    <w:bookmarkEnd w:id="36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AUTOCAM CORPORATION, </w:t>
      </w:r>
      <w:r>
        <w:rPr>
          <w:rFonts w:ascii="Arial" w:cs="Arial" w:eastAsia="Arial" w:hAnsi="Arial"/>
          <w:sz w:val="17"/>
          <w:szCs w:val="17"/>
          <w:color w:val="auto"/>
        </w:rPr>
        <w:t>as a Guarantor</w:t>
      </w:r>
    </w:p>
    <w:p>
      <w:pPr>
        <w:spacing w:after="0" w:line="24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AUTOCAM-PAX, INC., </w:t>
      </w:r>
      <w:r>
        <w:rPr>
          <w:rFonts w:ascii="Arial" w:cs="Arial" w:eastAsia="Arial" w:hAnsi="Arial"/>
          <w:sz w:val="18"/>
          <w:szCs w:val="18"/>
          <w:color w:val="auto"/>
        </w:rPr>
        <w:t>as a Guarantor</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140"/>
          </w:cols>
          <w:pgMar w:left="1440" w:top="269" w:right="131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confirmed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Challas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William Challas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Initial Purchasers.</w:t>
      </w:r>
    </w:p>
    <w:p>
      <w:pPr>
        <w:spacing w:after="0" w:line="211"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219"/>
          </w:cols>
          <w:pgMar w:left="240" w:top="274" w:right="1440"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207"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Reference is made to that registration rights agreement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dated as of October 19, 2015 among NN,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NN Guarantors, and SunTrust Robinson Humphrey, Inc., as the Representative, relating to the issuance and sale to the Initial Purchasers of $300,000,000 aggregate principal amount of the Company’s 10.25% Senior Notes due 2020 (the “</w:t>
      </w:r>
      <w:r>
        <w:rPr>
          <w:rFonts w:ascii="Arial" w:cs="Arial" w:eastAsia="Arial" w:hAnsi="Arial"/>
          <w:sz w:val="17"/>
          <w:szCs w:val="17"/>
          <w:b w:val="1"/>
          <w:bCs w:val="1"/>
          <w:color w:val="auto"/>
        </w:rPr>
        <w:t>Notes</w:t>
      </w:r>
      <w:r>
        <w:rPr>
          <w:rFonts w:ascii="Arial" w:cs="Arial" w:eastAsia="Arial" w:hAnsi="Arial"/>
          <w:sz w:val="17"/>
          <w:szCs w:val="17"/>
          <w:color w:val="auto"/>
        </w:rPr>
        <w:t>”). Capitalized terms used herein and not otherwise defined herein shall have the meanings ascribed to such terms in the Registration Rights Agreement.</w:t>
      </w:r>
    </w:p>
    <w:p>
      <w:pPr>
        <w:spacing w:after="0" w:line="169"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Registration Rights Agreement contemplates that substantially concurrently with the consummation of the Acquisition, Precision Engineered Products Holdings, Inc. and each of its subsidiaries that guarantee the Notes will becomes parties to the Registration Rights Agreement by executing this Registration Rights Joinder.</w:t>
      </w:r>
    </w:p>
    <w:p>
      <w:pPr>
        <w:spacing w:after="0" w:line="181" w:lineRule="exact"/>
        <w:rPr>
          <w:sz w:val="20"/>
          <w:szCs w:val="20"/>
          <w:color w:val="auto"/>
        </w:rPr>
      </w:pPr>
    </w:p>
    <w:p>
      <w:pPr>
        <w:ind w:right="100" w:firstLine="464"/>
        <w:spacing w:after="0" w:line="286" w:lineRule="auto"/>
        <w:tabs>
          <w:tab w:leader="none" w:pos="636" w:val="left"/>
        </w:tabs>
        <w:numPr>
          <w:ilvl w:val="1"/>
          <w:numId w:val="464"/>
        </w:numPr>
        <w:rPr>
          <w:rFonts w:ascii="Arial" w:cs="Arial" w:eastAsia="Arial" w:hAnsi="Arial"/>
          <w:sz w:val="16"/>
          <w:szCs w:val="16"/>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Each of the undersigned hereby acknowledges that it has received and reviewed a copy of the Registration Rights Agreement and all other documents it requires to enter into this Joinder Agreement (the “</w:t>
      </w:r>
      <w:r>
        <w:rPr>
          <w:rFonts w:ascii="Arial" w:cs="Arial" w:eastAsia="Arial" w:hAnsi="Arial"/>
          <w:sz w:val="16"/>
          <w:szCs w:val="16"/>
          <w:b w:val="1"/>
          <w:bCs w:val="1"/>
          <w:color w:val="auto"/>
        </w:rPr>
        <w:t>Registration Rights Joinder</w:t>
      </w:r>
      <w:r>
        <w:rPr>
          <w:rFonts w:ascii="Arial" w:cs="Arial" w:eastAsia="Arial" w:hAnsi="Arial"/>
          <w:sz w:val="16"/>
          <w:szCs w:val="16"/>
          <w:color w:val="auto"/>
        </w:rPr>
        <w:t>”), and acknowledges and agrees to (i) join and become a party to the Registration Rights Agreement as indicated by its signature below; (ii) be bound by all covenants, agreements, representations, warranties and acknowledgements attributable to a Guarantor in the Registration Rights Agreement as if made by, and with respect to, each Guarantor signatory hereto;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perform all obligations and duties required of a Guarantor pursuant to the Registration Rights Agreement.</w:t>
      </w:r>
    </w:p>
    <w:p>
      <w:pPr>
        <w:spacing w:after="0" w:line="210" w:lineRule="exact"/>
        <w:rPr>
          <w:rFonts w:ascii="Arial" w:cs="Arial" w:eastAsia="Arial" w:hAnsi="Arial"/>
          <w:sz w:val="18"/>
          <w:szCs w:val="18"/>
          <w:color w:val="auto"/>
        </w:rPr>
      </w:pPr>
    </w:p>
    <w:p>
      <w:pPr>
        <w:ind w:right="200" w:firstLine="464"/>
        <w:spacing w:after="0" w:line="342" w:lineRule="auto"/>
        <w:tabs>
          <w:tab w:leader="none" w:pos="636" w:val="left"/>
        </w:tabs>
        <w:numPr>
          <w:ilvl w:val="1"/>
          <w:numId w:val="465"/>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Registration Rights Joinder may be signed in one or more counterparts (which may be delivered in original form or facsimile or “pdf” file thereof), each of which shall constitute an original when so executed and all of which together shall constitute one and the same agreement.</w:t>
      </w:r>
    </w:p>
    <w:p>
      <w:pPr>
        <w:spacing w:after="0" w:line="123" w:lineRule="exact"/>
        <w:rPr>
          <w:rFonts w:ascii="Arial" w:cs="Arial" w:eastAsia="Arial" w:hAnsi="Arial"/>
          <w:sz w:val="16"/>
          <w:szCs w:val="16"/>
          <w:color w:val="auto"/>
        </w:rPr>
      </w:pPr>
    </w:p>
    <w:p>
      <w:pPr>
        <w:ind w:right="40" w:firstLine="464"/>
        <w:spacing w:after="0" w:line="277" w:lineRule="auto"/>
        <w:tabs>
          <w:tab w:leader="none" w:pos="636" w:val="left"/>
        </w:tabs>
        <w:numPr>
          <w:ilvl w:val="1"/>
          <w:numId w:val="46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amendment or waiver of any provision of this Registration Rights Joinder, nor any consent or approval to any departure therefrom, shall in any event be effective unless the same shall be in writing and signed by the parties thereto.</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1"/>
          <w:numId w:val="4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right="100" w:firstLine="464"/>
        <w:spacing w:after="0" w:line="277" w:lineRule="auto"/>
        <w:tabs>
          <w:tab w:leader="none" w:pos="636" w:val="left"/>
        </w:tabs>
        <w:numPr>
          <w:ilvl w:val="1"/>
          <w:numId w:val="46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REGISTRATION RIGHTS JOINDER SHALL BE GOVERNED BY AND CONSTRUED IN ACCORDANCE WITH THE LAWS OF THE STATE OF NEW YORK, WITHOUT REGARD TO THE CONFLICTS OF LAW RULES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369" w:name="page370"/>
    <w:bookmarkEnd w:id="36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 this Registration Rights Joinder to be duly executed and delivered, by its proper and duly authorized officer as of the date set forth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 of the Initial Purchasers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207"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Reference is made to that registration rights agreement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dated as of October 19, 2015 among NN,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NN Guarantors, and SunTrust Robinson Humphrey, Inc., as the Representative, relating to the issuance and sale to the Initial Purchasers of $300,000,000 aggregate principal amount of the Company’s 10.25% Senior Notes due 2020 (the “</w:t>
      </w:r>
      <w:r>
        <w:rPr>
          <w:rFonts w:ascii="Arial" w:cs="Arial" w:eastAsia="Arial" w:hAnsi="Arial"/>
          <w:sz w:val="17"/>
          <w:szCs w:val="17"/>
          <w:b w:val="1"/>
          <w:bCs w:val="1"/>
          <w:color w:val="auto"/>
        </w:rPr>
        <w:t>Notes</w:t>
      </w:r>
      <w:r>
        <w:rPr>
          <w:rFonts w:ascii="Arial" w:cs="Arial" w:eastAsia="Arial" w:hAnsi="Arial"/>
          <w:sz w:val="17"/>
          <w:szCs w:val="17"/>
          <w:color w:val="auto"/>
        </w:rPr>
        <w:t>”). Capitalized terms used herein and not otherwise defined herein shall have the meanings ascribed to such terms in the Registration Rights Agreement.</w:t>
      </w:r>
    </w:p>
    <w:p>
      <w:pPr>
        <w:spacing w:after="0" w:line="169"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Registration Rights Agreement contemplates that substantially concurrently with the consummation of the Acquisition, Precision Engineered Products Holdings, Inc. and each of its subsidiaries that guarantee the Notes will becomes parties to the Registration Rights Agreement by executing this Registration Rights Joinder.</w:t>
      </w:r>
    </w:p>
    <w:p>
      <w:pPr>
        <w:spacing w:after="0" w:line="181" w:lineRule="exact"/>
        <w:rPr>
          <w:sz w:val="20"/>
          <w:szCs w:val="20"/>
          <w:color w:val="auto"/>
        </w:rPr>
      </w:pPr>
    </w:p>
    <w:p>
      <w:pPr>
        <w:ind w:right="100" w:firstLine="464"/>
        <w:spacing w:after="0" w:line="286" w:lineRule="auto"/>
        <w:tabs>
          <w:tab w:leader="none" w:pos="636" w:val="left"/>
        </w:tabs>
        <w:numPr>
          <w:ilvl w:val="1"/>
          <w:numId w:val="466"/>
        </w:numPr>
        <w:rPr>
          <w:rFonts w:ascii="Arial" w:cs="Arial" w:eastAsia="Arial" w:hAnsi="Arial"/>
          <w:sz w:val="16"/>
          <w:szCs w:val="16"/>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Each of the undersigned hereby acknowledges that it has received and reviewed a copy of the Registration Rights Agreement and all other documents it requires to enter into this Joinder Agreement (the “</w:t>
      </w:r>
      <w:r>
        <w:rPr>
          <w:rFonts w:ascii="Arial" w:cs="Arial" w:eastAsia="Arial" w:hAnsi="Arial"/>
          <w:sz w:val="16"/>
          <w:szCs w:val="16"/>
          <w:b w:val="1"/>
          <w:bCs w:val="1"/>
          <w:color w:val="auto"/>
        </w:rPr>
        <w:t>Registration Rights Joinder</w:t>
      </w:r>
      <w:r>
        <w:rPr>
          <w:rFonts w:ascii="Arial" w:cs="Arial" w:eastAsia="Arial" w:hAnsi="Arial"/>
          <w:sz w:val="16"/>
          <w:szCs w:val="16"/>
          <w:color w:val="auto"/>
        </w:rPr>
        <w:t>”), and acknowledges and agrees to (i) join and become a party to the Registration Rights Agreement as indicated by its signature below; (ii) be bound by all covenants, agreements, representations, warranties and acknowledgements attributable to a Guarantor in the Registration Rights Agreement as if made by, and with respect to, each Guarantor signatory hereto;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perform all obligations and duties required of a Guarantor pursuant to the Registration Rights Agreement.</w:t>
      </w:r>
    </w:p>
    <w:p>
      <w:pPr>
        <w:spacing w:after="0" w:line="210" w:lineRule="exact"/>
        <w:rPr>
          <w:rFonts w:ascii="Arial" w:cs="Arial" w:eastAsia="Arial" w:hAnsi="Arial"/>
          <w:sz w:val="18"/>
          <w:szCs w:val="18"/>
          <w:color w:val="auto"/>
        </w:rPr>
      </w:pPr>
    </w:p>
    <w:p>
      <w:pPr>
        <w:ind w:right="200" w:firstLine="464"/>
        <w:spacing w:after="0" w:line="342" w:lineRule="auto"/>
        <w:tabs>
          <w:tab w:leader="none" w:pos="636" w:val="left"/>
        </w:tabs>
        <w:numPr>
          <w:ilvl w:val="1"/>
          <w:numId w:val="46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Registration Rights Joinder may be signed in one or more counterparts (which may be delivered in original form or facsimile or “pdf” file thereof), each of which shall constitute an original when so executed and all of which together shall constitute one and the same agreement.</w:t>
      </w:r>
    </w:p>
    <w:p>
      <w:pPr>
        <w:spacing w:after="0" w:line="123" w:lineRule="exact"/>
        <w:rPr>
          <w:rFonts w:ascii="Arial" w:cs="Arial" w:eastAsia="Arial" w:hAnsi="Arial"/>
          <w:sz w:val="16"/>
          <w:szCs w:val="16"/>
          <w:color w:val="auto"/>
        </w:rPr>
      </w:pPr>
    </w:p>
    <w:p>
      <w:pPr>
        <w:ind w:right="40" w:firstLine="464"/>
        <w:spacing w:after="0" w:line="277" w:lineRule="auto"/>
        <w:tabs>
          <w:tab w:leader="none" w:pos="636" w:val="left"/>
        </w:tabs>
        <w:numPr>
          <w:ilvl w:val="1"/>
          <w:numId w:val="46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amendment or waiver of any provision of this Registration Rights Joinder, nor any consent or approval to any departure therefrom, shall in any event be effective unless the same shall be in writing and signed by the parties thereto.</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1"/>
          <w:numId w:val="46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right="100" w:firstLine="464"/>
        <w:spacing w:after="0" w:line="277" w:lineRule="auto"/>
        <w:tabs>
          <w:tab w:leader="none" w:pos="636" w:val="left"/>
        </w:tabs>
        <w:numPr>
          <w:ilvl w:val="1"/>
          <w:numId w:val="46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REGISTRATION RIGHTS JOINDER SHALL BE GOVERNED BY AND CONSTRUED IN ACCORDANCE WITH THE LAWS OF THE STATE OF NEW YORK, WITHOUT REGARD TO THE CONFLICTS OF LAW RULES THEREOF.</w:t>
      </w:r>
    </w:p>
    <w:p>
      <w:pPr>
        <w:sectPr>
          <w:pgSz w:w="11900" w:h="16838" w:orient="portrait"/>
          <w:cols w:equalWidth="0" w:num="1">
            <w:col w:w="11420"/>
          </w:cols>
          <w:pgMar w:left="240" w:top="121" w:right="239" w:bottom="1440" w:gutter="0" w:footer="0" w:header="0"/>
        </w:sectPr>
      </w:pPr>
    </w:p>
    <w:bookmarkStart w:id="371" w:name="page372"/>
    <w:bookmarkEnd w:id="37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 this Registration Rights Joinder to be duly executed and delivered, by its proper and duly authorized officer as of the date set forth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PRECISION ENGINEERED PRODUCTS HOLDINGS,</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PRECISION ENGINEERED PRODUCTS LLC</w:t>
      </w:r>
    </w:p>
    <w:p>
      <w:pPr>
        <w:spacing w:after="0" w:line="22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BRAININ-ADVANCE INDUSTRIES LLC</w:t>
      </w:r>
    </w:p>
    <w:p>
      <w:pPr>
        <w:spacing w:after="0" w:line="22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POLYMETALLURGICAL LLC</w:t>
      </w:r>
    </w:p>
    <w:p>
      <w:pPr>
        <w:spacing w:after="0" w:line="22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BOSTON ENDO-SURGICAL TECHNOLOGIES LLC</w:t>
      </w:r>
    </w:p>
    <w:p>
      <w:pPr>
        <w:spacing w:after="0" w:line="22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Joinder to the Registration Rights Agreement]</w:t>
      </w:r>
    </w:p>
    <w:p>
      <w:pPr>
        <w:sectPr>
          <w:pgSz w:w="11900" w:h="16838" w:orient="portrait"/>
          <w:cols w:equalWidth="0" w:num="1">
            <w:col w:w="11380"/>
          </w:cols>
          <w:pgMar w:left="240" w:top="273" w:right="279" w:bottom="1440" w:gutter="0" w:footer="0" w:header="0"/>
        </w:sectPr>
      </w:pPr>
    </w:p>
    <w:bookmarkStart w:id="372" w:name="page373"/>
    <w:bookmarkEnd w:id="37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LACEY MANUFACTURING COMPANY,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CONNECTICUT PLASTICS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WAUCONDA TOOL &amp; ENGINEERING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ADVANCED PRECISION PRODUCTS, INC.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HOWESTEMCO,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PREMCO, INC.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[Signature Page to Joinder to the Registration Rights Agreement]</w:t>
      </w:r>
    </w:p>
    <w:p>
      <w:pPr>
        <w:sectPr>
          <w:pgSz w:w="11900" w:h="16838" w:orient="portrait"/>
          <w:cols w:equalWidth="0" w:num="1">
            <w:col w:w="9380"/>
          </w:cols>
          <w:pgMar w:left="1440" w:top="270" w:right="1079" w:bottom="1440" w:gutter="0" w:footer="0" w:header="0"/>
        </w:sectPr>
      </w:pPr>
    </w:p>
    <w:bookmarkStart w:id="373" w:name="page374"/>
    <w:bookmarkEnd w:id="37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PROFILES INCORPORATED</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HOLMED,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METAL FINISHING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MATRIX I,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TRIGON INTERNATIONAL LLC</w:t>
      </w:r>
    </w:p>
    <w:p>
      <w:pPr>
        <w:spacing w:after="0" w:line="22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Joinder to the Registration Rights Agreement]</w:t>
      </w:r>
    </w:p>
    <w:p>
      <w:pPr>
        <w:sectPr>
          <w:pgSz w:w="11900" w:h="16838" w:orient="portrait"/>
          <w:cols w:equalWidth="0" w:num="1">
            <w:col w:w="9019"/>
          </w:cols>
          <w:pgMar w:left="1440" w:top="270" w:right="1440"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172085</wp:posOffset>
            </wp:positionV>
            <wp:extent cx="1766570" cy="5060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66570" cy="5060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1311910" cy="3600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119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20, 2015</w:t>
      </w:r>
    </w:p>
    <w:p>
      <w:pPr>
        <w:sectPr>
          <w:pgSz w:w="11900" w:h="16838" w:orient="portrait"/>
          <w:cols w:equalWidth="0" w:num="1">
            <w:col w:w="11420"/>
          </w:cols>
          <w:pgMar w:left="240" w:top="121" w:right="2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COMPLETES ACQUISITION OF PRECISION ENGINEERED PRODUCTS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Johnson City, Tenn, October 20, 2015 –</w:t>
      </w:r>
      <w:r>
        <w:rPr>
          <w:rFonts w:ascii="Arial" w:cs="Arial" w:eastAsia="Arial" w:hAnsi="Arial"/>
          <w:sz w:val="18"/>
          <w:szCs w:val="18"/>
          <w:color w:val="auto"/>
        </w:rPr>
        <w:t>NN, Inc., (NASDAQ: NNBR) a diversified industrial company, today announced that the Company has successfully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its acquisition of Precision Engineered Products Holdings, Inc. (PEP), a global manufacturer of highly engineered precision customized solutions serving the medical, electrical, transportation and aerospace end markets.</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Richard Holder, President and CEO commented, “The acquisition of PEP, the largest in NN’s 35 year history, is a transformational milestone that expands our market segment reach, broadens our portfolio of products, services, and solutions, as well as expands margins and strengthens our global geographic footprint.”</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“PEP adds proven capabilities in medical, electrical, transportation and aerospace to NN’s strengths in light auto, CAFE technologies, general industrial, commercial transportation and fluid power,” Holder said. “These complementary technologies further accelerate NN’s growth as a diversified industrial focused on delivering a complete portfolio of world class products and solutions to our customers and being a consistent earner through the economic cycle.”</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43 manufacturing plants in North America, Western Europe, Eastern Europe, South America and China.</w:t>
      </w:r>
    </w:p>
    <w:p>
      <w:pPr>
        <w:spacing w:after="0" w:line="177"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w:t>
      </w:r>
    </w:p>
    <w:p>
      <w:pPr>
        <w:sectPr>
          <w:pgSz w:w="11900" w:h="16838" w:orient="portrait"/>
          <w:cols w:equalWidth="0" w:num="1">
            <w:col w:w="11420"/>
          </w:cols>
          <w:pgMar w:left="240" w:top="121" w:right="239" w:bottom="1440" w:gutter="0" w:footer="0" w:header="0"/>
          <w:type w:val="continuous"/>
        </w:sectPr>
      </w:pPr>
    </w:p>
    <w:bookmarkStart w:id="375" w:name="page376"/>
    <w:bookmarkEnd w:id="375"/>
    <w:p>
      <w:pPr>
        <w:spacing w:after="0" w:line="227"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60"/>
        <w:spacing w:after="0" w:line="234" w:lineRule="auto"/>
        <w:rPr>
          <w:sz w:val="20"/>
          <w:szCs w:val="20"/>
          <w:color w:val="auto"/>
        </w:rPr>
      </w:pPr>
      <w:r>
        <w:rPr>
          <w:rFonts w:ascii="Arial" w:cs="Arial" w:eastAsia="Arial" w:hAnsi="Arial"/>
          <w:sz w:val="14"/>
          <w:szCs w:val="14"/>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and the risk factors included in Exhibit 99.1 to NN’s Current Report on Form 8-K filed on September 22, 2015.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360"/>
      </w:cols>
      <w:pgMar w:left="240" w:top="26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1"/>
      <w:numFmt w:val="upperLetter"/>
      <w:start w:val="40"/>
    </w:lvl>
  </w:abstractNum>
  <w:abstractNum w:abstractNumId="2">
    <w:nsid w:val="5243BFAC"/>
    <w:multiLevelType w:val="hybridMultilevel"/>
    <w:lvl w:ilvl="0">
      <w:lvlJc w:val="left"/>
      <w:lvlText w:val="(%1)"/>
      <w:numFmt w:val="lowerRoman"/>
      <w:start w:val="2"/>
    </w:lvl>
  </w:abstractNum>
  <w:abstractNum w:abstractNumId="3">
    <w:nsid w:val="425EB207"/>
    <w:multiLevelType w:val="hybridMultilevel"/>
    <w:lvl w:ilvl="0">
      <w:lvlJc w:val="left"/>
      <w:lvlText w:val="(%1)"/>
      <w:numFmt w:val="lowerRoman"/>
      <w:start w:val="1"/>
    </w:lvl>
  </w:abstractNum>
  <w:abstractNum w:abstractNumId="4">
    <w:nsid w:val="334A6F1F"/>
    <w:multiLevelType w:val="hybridMultilevel"/>
    <w:lvl w:ilvl="0">
      <w:lvlJc w:val="left"/>
      <w:lvlText w:val="*"/>
      <w:numFmt w:val="bullet"/>
      <w:start w:val="1"/>
    </w:lvl>
  </w:abstractNum>
  <w:abstractNum w:abstractNumId="5">
    <w:nsid w:val="2E5B12B8"/>
    <w:multiLevelType w:val="hybridMultilevel"/>
    <w:lvl w:ilvl="0">
      <w:lvlJc w:val="left"/>
      <w:lvlText w:val="*"/>
      <w:numFmt w:val="bullet"/>
      <w:start w:val="1"/>
    </w:lvl>
  </w:abstractNum>
  <w:abstractNum w:abstractNumId="6">
    <w:nsid w:val="5C03D76D"/>
    <w:multiLevelType w:val="hybridMultilevel"/>
    <w:lvl w:ilvl="0">
      <w:lvlJc w:val="left"/>
      <w:lvlText w:val="(%1)"/>
      <w:numFmt w:val="decimal"/>
      <w:start w:val="1"/>
    </w:lvl>
  </w:abstractNum>
  <w:abstractNum w:abstractNumId="7">
    <w:nsid w:val="66A48D11"/>
    <w:multiLevelType w:val="hybridMultilevel"/>
    <w:lvl w:ilvl="0">
      <w:lvlJc w:val="left"/>
      <w:lvlText w:val="(%1)"/>
      <w:numFmt w:val="decimal"/>
      <w:start w:val="1"/>
    </w:lvl>
  </w:abstractNum>
  <w:abstractNum w:abstractNumId="8">
    <w:nsid w:val="56C28E34"/>
    <w:multiLevelType w:val="hybridMultilevel"/>
    <w:lvl w:ilvl="0">
      <w:lvlJc w:val="left"/>
      <w:lvlText w:val="(%1)"/>
      <w:numFmt w:val="decimal"/>
      <w:start w:val="1"/>
    </w:lvl>
  </w:abstractNum>
  <w:abstractNum w:abstractNumId="9">
    <w:nsid w:val="13916F2D"/>
    <w:multiLevelType w:val="hybridMultilevel"/>
    <w:lvl w:ilvl="0">
      <w:lvlJc w:val="left"/>
      <w:lvlText w:val="(%1)"/>
      <w:numFmt w:val="decimal"/>
      <w:start w:val="16"/>
    </w:lvl>
  </w:abstractNum>
  <w:abstractNum w:abstractNumId="10">
    <w:nsid w:val="435D38D"/>
    <w:multiLevelType w:val="hybridMultilevel"/>
    <w:lvl w:ilvl="0">
      <w:lvlJc w:val="left"/>
      <w:lvlText w:val="(%1)"/>
      <w:numFmt w:val="decimal"/>
      <w:start w:val="1"/>
    </w:lvl>
  </w:abstractNum>
  <w:abstractNum w:abstractNumId="11">
    <w:nsid w:val="822C0EF"/>
    <w:multiLevelType w:val="hybridMultilevel"/>
    <w:lvl w:ilvl="0">
      <w:lvlJc w:val="left"/>
      <w:lvlText w:val="(%1)"/>
      <w:numFmt w:val="decimal"/>
      <w:start w:val="1"/>
    </w:lvl>
  </w:abstractNum>
  <w:abstractNum w:abstractNumId="12">
    <w:nsid w:val="57C5BB4F"/>
    <w:multiLevelType w:val="hybridMultilevel"/>
    <w:lvl w:ilvl="0">
      <w:lvlJc w:val="left"/>
      <w:lvlText w:val="(%1)"/>
      <w:numFmt w:val="decimal"/>
      <w:start w:val="1"/>
    </w:lvl>
  </w:abstractNum>
  <w:abstractNum w:abstractNumId="13">
    <w:nsid w:val="1803D089"/>
    <w:multiLevelType w:val="hybridMultilevel"/>
    <w:lvl w:ilvl="0">
      <w:lvlJc w:val="left"/>
      <w:lvlText w:val="(%1)"/>
      <w:numFmt w:val="decimal"/>
      <w:start w:val="1"/>
    </w:lvl>
  </w:abstractNum>
  <w:abstractNum w:abstractNumId="14">
    <w:nsid w:val="4F3A06D4"/>
    <w:multiLevelType w:val="hybridMultilevel"/>
    <w:lvl w:ilvl="0">
      <w:lvlJc w:val="left"/>
      <w:lvlText w:val="(%1)"/>
      <w:numFmt w:val="decimal"/>
      <w:start w:val="2"/>
    </w:lvl>
  </w:abstractNum>
  <w:abstractNum w:abstractNumId="15">
    <w:nsid w:val="59A377B6"/>
    <w:multiLevelType w:val="hybridMultilevel"/>
    <w:lvl w:ilvl="0">
      <w:lvlJc w:val="left"/>
      <w:lvlText w:val="(%1)"/>
      <w:numFmt w:val="decimal"/>
      <w:start w:val="1"/>
    </w:lvl>
  </w:abstractNum>
  <w:abstractNum w:abstractNumId="16">
    <w:nsid w:val="48AEB063"/>
    <w:multiLevelType w:val="hybridMultilevel"/>
    <w:lvl w:ilvl="0">
      <w:lvlJc w:val="left"/>
      <w:lvlText w:val="(%1)"/>
      <w:numFmt w:val="decimal"/>
      <w:start w:val="1"/>
    </w:lvl>
  </w:abstractNum>
  <w:abstractNum w:abstractNumId="17">
    <w:nsid w:val="24E135"/>
    <w:multiLevelType w:val="hybridMultilevel"/>
    <w:lvl w:ilvl="0">
      <w:lvlJc w:val="left"/>
      <w:lvlText w:val="(%1)"/>
      <w:numFmt w:val="decimal"/>
      <w:start w:val="1"/>
    </w:lvl>
  </w:abstractNum>
  <w:abstractNum w:abstractNumId="18">
    <w:nsid w:val="BB13C1"/>
    <w:multiLevelType w:val="hybridMultilevel"/>
    <w:lvl w:ilvl="0">
      <w:lvlJc w:val="left"/>
      <w:lvlText w:val="(%1)"/>
      <w:numFmt w:val="upperLetter"/>
      <w:start w:val="4"/>
    </w:lvl>
    <w:lvl w:ilvl="1">
      <w:lvlJc w:val="left"/>
      <w:lvlText w:val="(%2)"/>
      <w:numFmt w:val="decimal"/>
      <w:start w:val="3"/>
    </w:lvl>
  </w:abstractNum>
  <w:abstractNum w:abstractNumId="19">
    <w:nsid w:val="271210C7"/>
    <w:multiLevelType w:val="hybridMultilevel"/>
    <w:lvl w:ilvl="0">
      <w:lvlJc w:val="left"/>
      <w:lvlText w:val="(%1)"/>
      <w:numFmt w:val="decimal"/>
      <w:start w:val="1"/>
    </w:lvl>
  </w:abstractNum>
  <w:abstractNum w:abstractNumId="20">
    <w:nsid w:val="217B22E4"/>
    <w:multiLevelType w:val="hybridMultilevel"/>
    <w:lvl w:ilvl="0">
      <w:lvlJc w:val="left"/>
      <w:lvlText w:val="(%1)"/>
      <w:numFmt w:val="decimal"/>
      <w:start w:val="1"/>
    </w:lvl>
  </w:abstractNum>
  <w:abstractNum w:abstractNumId="21">
    <w:nsid w:val="53E31A24"/>
    <w:multiLevelType w:val="hybridMultilevel"/>
    <w:lvl w:ilvl="0">
      <w:lvlJc w:val="left"/>
      <w:lvlText w:val="(%1)"/>
      <w:numFmt w:val="decimal"/>
      <w:start w:val="1"/>
    </w:lvl>
  </w:abstractNum>
  <w:abstractNum w:abstractNumId="22">
    <w:nsid w:val="6DC45E83"/>
    <w:multiLevelType w:val="hybridMultilevel"/>
    <w:lvl w:ilvl="0">
      <w:lvlJc w:val="left"/>
      <w:lvlText w:val="(%1)"/>
      <w:numFmt w:val="lowerLetter"/>
      <w:start w:val="1"/>
    </w:lvl>
  </w:abstractNum>
  <w:abstractNum w:abstractNumId="23">
    <w:nsid w:val="17304A67"/>
    <w:multiLevelType w:val="hybridMultilevel"/>
    <w:lvl w:ilvl="0">
      <w:lvlJc w:val="left"/>
      <w:lvlText w:val="(%1)"/>
      <w:numFmt w:val="lowerLetter"/>
      <w:start w:val="6"/>
    </w:lvl>
  </w:abstractNum>
  <w:abstractNum w:abstractNumId="24">
    <w:nsid w:val="2BB180D8"/>
    <w:multiLevelType w:val="hybridMultilevel"/>
    <w:lvl w:ilvl="0">
      <w:lvlJc w:val="left"/>
      <w:lvlText w:val="(%1)"/>
      <w:numFmt w:val="decimal"/>
      <w:start w:val="1"/>
    </w:lvl>
  </w:abstractNum>
  <w:abstractNum w:abstractNumId="25">
    <w:nsid w:val="556B69ED"/>
    <w:multiLevelType w:val="hybridMultilevel"/>
    <w:lvl w:ilvl="0">
      <w:lvlJc w:val="left"/>
      <w:lvlText w:val="(%1)"/>
      <w:numFmt w:val="decimal"/>
      <w:start w:val="1"/>
    </w:lvl>
    <w:lvl w:ilvl="1">
      <w:lvlJc w:val="left"/>
      <w:lvlText w:val="(%2)"/>
      <w:numFmt w:val="lowerLetter"/>
      <w:start w:val="1"/>
    </w:lvl>
  </w:abstractNum>
  <w:abstractNum w:abstractNumId="26">
    <w:nsid w:val="70836196"/>
    <w:multiLevelType w:val="hybridMultilevel"/>
    <w:lvl w:ilvl="0">
      <w:lvlJc w:val="left"/>
      <w:lvlText w:val="(%1)"/>
      <w:numFmt w:val="lowerRoman"/>
      <w:start w:val="2"/>
    </w:lvl>
    <w:lvl w:ilvl="1">
      <w:lvlJc w:val="left"/>
      <w:lvlText w:val="(%2)"/>
      <w:numFmt w:val="decimal"/>
      <w:start w:val="7"/>
    </w:lvl>
  </w:abstractNum>
  <w:abstractNum w:abstractNumId="27">
    <w:nsid w:val="539F7F12"/>
    <w:multiLevelType w:val="hybridMultilevel"/>
    <w:lvl w:ilvl="0">
      <w:lvlJc w:val="left"/>
      <w:lvlText w:val="(%1)"/>
      <w:numFmt w:val="decimal"/>
      <w:start w:val="1"/>
    </w:lvl>
  </w:abstractNum>
  <w:abstractNum w:abstractNumId="28">
    <w:nsid w:val="2817E7EC"/>
    <w:multiLevelType w:val="hybridMultilevel"/>
    <w:lvl w:ilvl="0">
      <w:lvlJc w:val="left"/>
      <w:lvlText w:val="(%1)"/>
      <w:numFmt w:val="decimal"/>
      <w:start w:val="3"/>
    </w:lvl>
    <w:lvl w:ilvl="1">
      <w:lvlJc w:val="left"/>
      <w:lvlText w:val="(%2)"/>
      <w:numFmt w:val="lowerLetter"/>
      <w:start w:val="1"/>
    </w:lvl>
  </w:abstractNum>
  <w:abstractNum w:abstractNumId="29">
    <w:nsid w:val="71482545"/>
    <w:multiLevelType w:val="hybridMultilevel"/>
    <w:lvl w:ilvl="0">
      <w:lvlJc w:val="left"/>
      <w:lvlText w:val="(%1)"/>
      <w:numFmt w:val="decimal"/>
      <w:start w:val="15"/>
    </w:lvl>
  </w:abstractNum>
  <w:abstractNum w:abstractNumId="30">
    <w:nsid w:val="17D78639"/>
    <w:multiLevelType w:val="hybridMultilevel"/>
    <w:lvl w:ilvl="0">
      <w:lvlJc w:val="left"/>
      <w:lvlText w:val="(%1)"/>
      <w:numFmt w:val="decimal"/>
      <w:start w:val="1"/>
    </w:lvl>
  </w:abstractNum>
  <w:abstractNum w:abstractNumId="31">
    <w:nsid w:val="141D2302"/>
    <w:multiLevelType w:val="hybridMultilevel"/>
    <w:lvl w:ilvl="0">
      <w:lvlJc w:val="left"/>
      <w:lvlText w:val="(%1)"/>
      <w:numFmt w:val="decimal"/>
      <w:start w:val="1"/>
    </w:lvl>
  </w:abstractNum>
  <w:abstractNum w:abstractNumId="32">
    <w:nsid w:val="407168D8"/>
    <w:multiLevelType w:val="hybridMultilevel"/>
    <w:lvl w:ilvl="0">
      <w:lvlJc w:val="left"/>
      <w:lvlText w:val="(%1)"/>
      <w:numFmt w:val="decimal"/>
      <w:start w:val="1"/>
    </w:lvl>
  </w:abstractNum>
  <w:abstractNum w:abstractNumId="33">
    <w:nsid w:val="6A1B45E5"/>
    <w:multiLevelType w:val="hybridMultilevel"/>
    <w:lvl w:ilvl="0">
      <w:lvlJc w:val="left"/>
      <w:lvlText w:val="(%1)"/>
      <w:numFmt w:val="decimal"/>
      <w:start w:val="1"/>
    </w:lvl>
  </w:abstractNum>
  <w:abstractNum w:abstractNumId="34">
    <w:nsid w:val="567BD50A"/>
    <w:multiLevelType w:val="hybridMultilevel"/>
    <w:lvl w:ilvl="0">
      <w:lvlJc w:val="left"/>
      <w:lvlText w:val="(%1)"/>
      <w:numFmt w:val="decimal"/>
      <w:start w:val="2"/>
    </w:lvl>
  </w:abstractNum>
  <w:abstractNum w:abstractNumId="35">
    <w:nsid w:val="73BBD7F8"/>
    <w:multiLevelType w:val="hybridMultilevel"/>
    <w:lvl w:ilvl="0">
      <w:lvlJc w:val="left"/>
      <w:lvlText w:val="(%1)"/>
      <w:numFmt w:val="decimal"/>
      <w:start w:val="1"/>
    </w:lvl>
  </w:abstractNum>
  <w:abstractNum w:abstractNumId="36">
    <w:nsid w:val="1876589D"/>
    <w:multiLevelType w:val="hybridMultilevel"/>
    <w:lvl w:ilvl="0">
      <w:lvlJc w:val="left"/>
      <w:lvlText w:val="(%1)"/>
      <w:numFmt w:val="decimal"/>
      <w:start w:val="1"/>
    </w:lvl>
  </w:abstractNum>
  <w:abstractNum w:abstractNumId="37">
    <w:nsid w:val="327FAC77"/>
    <w:multiLevelType w:val="hybridMultilevel"/>
    <w:lvl w:ilvl="0">
      <w:lvlJc w:val="left"/>
      <w:lvlText w:val="(%1)"/>
      <w:numFmt w:val="lowerLetter"/>
      <w:start w:val="1"/>
    </w:lvl>
  </w:abstractNum>
  <w:abstractNum w:abstractNumId="38">
    <w:nsid w:val="5A606509"/>
    <w:multiLevelType w:val="hybridMultilevel"/>
    <w:lvl w:ilvl="0">
      <w:lvlJc w:val="left"/>
      <w:lvlText w:val="(%1)"/>
      <w:numFmt w:val="lowerLetter"/>
      <w:start w:val="2"/>
    </w:lvl>
  </w:abstractNum>
  <w:abstractNum w:abstractNumId="39">
    <w:nsid w:val="6F38E6D1"/>
    <w:multiLevelType w:val="hybridMultilevel"/>
    <w:lvl w:ilvl="0">
      <w:lvlJc w:val="left"/>
      <w:lvlText w:val="(%1)"/>
      <w:numFmt w:val="lowerLetter"/>
      <w:start w:val="1"/>
    </w:lvl>
    <w:lvl w:ilvl="1">
      <w:lvlJc w:val="left"/>
      <w:lvlText w:val="(%2)"/>
      <w:numFmt w:val="decimal"/>
      <w:start w:val="1"/>
    </w:lvl>
  </w:abstractNum>
  <w:abstractNum w:abstractNumId="40">
    <w:nsid w:val="46111BA5"/>
    <w:multiLevelType w:val="hybridMultilevel"/>
    <w:lvl w:ilvl="0">
      <w:lvlJc w:val="left"/>
      <w:lvlText w:val="(%1)"/>
      <w:numFmt w:val="lowerLetter"/>
      <w:start w:val="2"/>
    </w:lvl>
  </w:abstractNum>
  <w:abstractNum w:abstractNumId="41">
    <w:nsid w:val="5E96389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2">
    <w:nsid w:val="775BA7C1"/>
    <w:multiLevelType w:val="hybridMultilevel"/>
    <w:lvl w:ilvl="0">
      <w:lvlJc w:val="left"/>
      <w:lvlText w:val="(%1)"/>
      <w:numFmt w:val="decimal"/>
      <w:start w:val="3"/>
    </w:lvl>
    <w:lvl w:ilvl="1">
      <w:lvlJc w:val="left"/>
      <w:lvlText w:val="(%2)"/>
      <w:numFmt w:val="upperLetter"/>
      <w:start w:val="1"/>
    </w:lvl>
  </w:abstractNum>
  <w:abstractNum w:abstractNumId="43">
    <w:nsid w:val="1DD6D6F4"/>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44">
    <w:nsid w:val="769A091F"/>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45">
    <w:nsid w:val="4695AE95"/>
    <w:multiLevelType w:val="hybridMultilevel"/>
    <w:lvl w:ilvl="0">
      <w:lvlJc w:val="left"/>
      <w:lvlText w:val="(%1)"/>
      <w:numFmt w:val="lowerLetter"/>
      <w:start w:val="3"/>
    </w:lvl>
  </w:abstractNum>
  <w:abstractNum w:abstractNumId="46">
    <w:nsid w:val="777A4EAA"/>
    <w:multiLevelType w:val="hybridMultilevel"/>
    <w:lvl w:ilvl="0">
      <w:lvlJc w:val="left"/>
      <w:lvlText w:val="(%1)"/>
      <w:numFmt w:val="decimal"/>
      <w:start w:val="1"/>
    </w:lvl>
  </w:abstractNum>
  <w:abstractNum w:abstractNumId="47">
    <w:nsid w:val="3F48B982"/>
    <w:multiLevelType w:val="hybridMultilevel"/>
    <w:lvl w:ilvl="0">
      <w:lvlJc w:val="left"/>
      <w:lvlText w:val="(%1)"/>
      <w:numFmt w:val="upperLetter"/>
      <w:start w:val="1"/>
    </w:lvl>
  </w:abstractNum>
  <w:abstractNum w:abstractNumId="48">
    <w:nsid w:val="46BA8FCA"/>
    <w:multiLevelType w:val="hybridMultilevel"/>
    <w:lvl w:ilvl="0">
      <w:lvlJc w:val="left"/>
      <w:lvlText w:val="(%1)"/>
      <w:numFmt w:val="decimal"/>
      <w:start w:val="2"/>
    </w:lvl>
    <w:lvl w:ilvl="1">
      <w:lvlJc w:val="left"/>
      <w:lvlText w:val="(%2)"/>
      <w:numFmt w:val="upperLetter"/>
      <w:start w:val="1"/>
    </w:lvl>
  </w:abstractNum>
  <w:abstractNum w:abstractNumId="49">
    <w:nsid w:val="7835626C"/>
    <w:multiLevelType w:val="hybridMultilevel"/>
    <w:lvl w:ilvl="0">
      <w:lvlJc w:val="left"/>
      <w:lvlText w:val="(%1)"/>
      <w:numFmt w:val="upperLetter"/>
      <w:start w:val="3"/>
    </w:lvl>
    <w:lvl w:ilvl="1">
      <w:lvlJc w:val="left"/>
      <w:lvlText w:val="(%2)"/>
      <w:numFmt w:val="lowerRoman"/>
      <w:start w:val="1"/>
    </w:lvl>
  </w:abstractNum>
  <w:abstractNum w:abstractNumId="50">
    <w:nsid w:val="665ACA49"/>
    <w:multiLevelType w:val="hybridMultilevel"/>
    <w:lvl w:ilvl="0">
      <w:lvlJc w:val="left"/>
      <w:lvlText w:val="(%1)"/>
      <w:numFmt w:val="decimal"/>
      <w:start w:val="3"/>
    </w:lvl>
    <w:lvl w:ilvl="1">
      <w:lvlJc w:val="left"/>
      <w:lvlText w:val="(%2)"/>
      <w:numFmt w:val="lowerLetter"/>
      <w:start w:val="4"/>
    </w:lvl>
  </w:abstractNum>
  <w:abstractNum w:abstractNumId="51">
    <w:nsid w:val="6835B2AE"/>
    <w:multiLevelType w:val="hybridMultilevel"/>
    <w:lvl w:ilvl="0">
      <w:lvlJc w:val="left"/>
      <w:lvlText w:val="(%1)"/>
      <w:numFmt w:val="decimal"/>
      <w:start w:val="1"/>
    </w:lvl>
    <w:lvl w:ilvl="1">
      <w:lvlJc w:val="left"/>
      <w:lvlText w:val="(%2)"/>
      <w:numFmt w:val="upperLetter"/>
      <w:start w:val="1"/>
    </w:lvl>
  </w:abstractNum>
  <w:abstractNum w:abstractNumId="52">
    <w:nsid w:val="4C187C90"/>
    <w:multiLevelType w:val="hybridMultilevel"/>
    <w:lvl w:ilvl="0">
      <w:lvlJc w:val="left"/>
      <w:lvlText w:val="(%1)"/>
      <w:numFmt w:val="upperLetter"/>
      <w:start w:val="4"/>
    </w:lvl>
  </w:abstractNum>
  <w:abstractNum w:abstractNumId="53">
    <w:nsid w:val="541F28CD"/>
    <w:multiLevelType w:val="hybridMultilevel"/>
    <w:lvl w:ilvl="0">
      <w:lvlJc w:val="left"/>
      <w:lvlText w:val="(%1)"/>
      <w:numFmt w:val="upperLetter"/>
      <w:start w:val="5"/>
    </w:lvl>
  </w:abstractNum>
  <w:abstractNum w:abstractNumId="54">
    <w:nsid w:val="7F65FD16"/>
    <w:multiLevelType w:val="hybridMultilevel"/>
    <w:lvl w:ilvl="0">
      <w:lvlJc w:val="left"/>
      <w:lvlText w:val="(%1)"/>
      <w:numFmt w:val="upperLetter"/>
      <w:start w:val="7"/>
    </w:lvl>
  </w:abstractNum>
  <w:abstractNum w:abstractNumId="55">
    <w:nsid w:val="77C9FD68"/>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56">
    <w:nsid w:val="298A92BA"/>
    <w:multiLevelType w:val="hybridMultilevel"/>
    <w:lvl w:ilvl="0">
      <w:lvlJc w:val="left"/>
      <w:lvlText w:val="(%1)"/>
      <w:numFmt w:val="decimal"/>
      <w:start w:val="3"/>
    </w:lvl>
  </w:abstractNum>
  <w:abstractNum w:abstractNumId="57">
    <w:nsid w:val="6FE95EAC"/>
    <w:multiLevelType w:val="hybridMultilevel"/>
    <w:lvl w:ilvl="0">
      <w:lvlJc w:val="left"/>
      <w:lvlText w:val="(%1)"/>
      <w:numFmt w:val="lowerLetter"/>
      <w:start w:val="5"/>
    </w:lvl>
    <w:lvl w:ilvl="1">
      <w:lvlJc w:val="left"/>
      <w:lvlText w:val="(%2)"/>
      <w:numFmt w:val="decimal"/>
      <w:start w:val="1"/>
    </w:lvl>
    <w:lvl w:ilvl="2">
      <w:lvlJc w:val="left"/>
      <w:lvlText w:val="(%3)"/>
      <w:numFmt w:val="decimal"/>
      <w:start w:val="2"/>
    </w:lvl>
    <w:lvl w:ilvl="3">
      <w:lvlJc w:val="left"/>
      <w:lvlText w:val="(%4)"/>
      <w:numFmt w:val="upperLetter"/>
      <w:start w:val="1"/>
    </w:lvl>
  </w:abstractNum>
  <w:abstractNum w:abstractNumId="58">
    <w:nsid w:val="4B697C7A"/>
    <w:multiLevelType w:val="hybridMultilevel"/>
    <w:lvl w:ilvl="0">
      <w:lvlJc w:val="left"/>
      <w:lvlText w:val="(%1)"/>
      <w:numFmt w:val="upperLetter"/>
      <w:start w:val="4"/>
    </w:lvl>
    <w:lvl w:ilvl="1">
      <w:lvlJc w:val="left"/>
      <w:lvlText w:val="(%2)"/>
      <w:numFmt w:val="lowerRoman"/>
      <w:start w:val="1"/>
    </w:lvl>
  </w:abstractNum>
  <w:abstractNum w:abstractNumId="59">
    <w:nsid w:val="51A27AA6"/>
    <w:multiLevelType w:val="hybridMultilevel"/>
    <w:lvl w:ilvl="0">
      <w:lvlJc w:val="left"/>
      <w:lvlText w:val="%1"/>
      <w:numFmt w:val="lowerLetter"/>
      <w:start w:val="1"/>
    </w:lvl>
    <w:lvl w:ilvl="1">
      <w:lvlJc w:val="left"/>
      <w:lvlText w:val="(%2)"/>
      <w:numFmt w:val="decimal"/>
      <w:start w:val="3"/>
    </w:lvl>
  </w:abstractNum>
  <w:abstractNum w:abstractNumId="60">
    <w:nsid w:val="613183F2"/>
    <w:multiLevelType w:val="hybridMultilevel"/>
    <w:lvl w:ilvl="0">
      <w:lvlJc w:val="left"/>
      <w:lvlText w:val="(%1)"/>
      <w:numFmt w:val="lowerLetter"/>
      <w:start w:val="6"/>
    </w:lvl>
    <w:lvl w:ilvl="1">
      <w:lvlJc w:val="left"/>
      <w:lvlText w:val="(%2)"/>
      <w:numFmt w:val="decimal"/>
      <w:start w:val="1"/>
    </w:lvl>
  </w:abstractNum>
  <w:abstractNum w:abstractNumId="61">
    <w:nsid w:val="634102B4"/>
    <w:multiLevelType w:val="hybridMultilevel"/>
    <w:lvl w:ilvl="0">
      <w:lvlJc w:val="left"/>
      <w:lvlText w:val="(%1)"/>
      <w:numFmt w:val="lowerLetter"/>
      <w:start w:val="7"/>
    </w:lvl>
  </w:abstractNum>
  <w:abstractNum w:abstractNumId="62">
    <w:nsid w:val="65BF9DA8"/>
    <w:multiLevelType w:val="hybridMultilevel"/>
    <w:lvl w:ilvl="0">
      <w:lvlJc w:val="left"/>
      <w:lvlText w:val="(%1)"/>
      <w:numFmt w:val="decimal"/>
      <w:start w:val="1"/>
    </w:lvl>
  </w:abstractNum>
  <w:abstractNum w:abstractNumId="63">
    <w:nsid w:val="21A2ECCA"/>
    <w:multiLevelType w:val="hybridMultilevel"/>
    <w:lvl w:ilvl="0">
      <w:lvlJc w:val="left"/>
      <w:lvlText w:val="(%1)"/>
      <w:numFmt w:val="upperLetter"/>
      <w:start w:val="1"/>
    </w:lvl>
  </w:abstractNum>
  <w:abstractNum w:abstractNumId="64">
    <w:nsid w:val="4D5C4899"/>
    <w:multiLevelType w:val="hybridMultilevel"/>
    <w:lvl w:ilvl="0">
      <w:lvlJc w:val="left"/>
      <w:lvlText w:val="%1"/>
      <w:numFmt w:val="upperLetter"/>
      <w:start w:val="1"/>
    </w:lvl>
    <w:lvl w:ilvl="1">
      <w:lvlJc w:val="left"/>
      <w:lvlText w:val="(%2)"/>
      <w:numFmt w:val="upperLetter"/>
      <w:start w:val="22"/>
    </w:lvl>
  </w:abstractNum>
  <w:abstractNum w:abstractNumId="65">
    <w:nsid w:val="3C3B72B2"/>
    <w:multiLevelType w:val="hybridMultilevel"/>
    <w:lvl w:ilvl="0">
      <w:lvlJc w:val="left"/>
      <w:lvlText w:val="(%1)"/>
      <w:numFmt w:val="upperLetter"/>
      <w:start w:val="2"/>
    </w:lvl>
    <w:lvl w:ilvl="1">
      <w:lvlJc w:val="left"/>
      <w:lvlText w:val="%2"/>
      <w:numFmt w:val="upperLetter"/>
      <w:start w:val="1"/>
    </w:lvl>
  </w:abstractNum>
  <w:abstractNum w:abstractNumId="66">
    <w:nsid w:val="155EC4C2"/>
    <w:multiLevelType w:val="hybridMultilevel"/>
    <w:lvl w:ilvl="0">
      <w:lvlJc w:val="left"/>
      <w:lvlText w:val="(%1)"/>
      <w:numFmt w:val="lowerLetter"/>
      <w:start w:val="8"/>
    </w:lvl>
  </w:abstractNum>
  <w:abstractNum w:abstractNumId="67">
    <w:nsid w:val="65D2A137"/>
    <w:multiLevelType w:val="hybridMultilevel"/>
    <w:lvl w:ilvl="0">
      <w:lvlJc w:val="left"/>
      <w:lvlText w:val="(%1)"/>
      <w:numFmt w:val="decimal"/>
      <w:start w:val="1"/>
    </w:lvl>
    <w:lvl w:ilvl="1">
      <w:lvlJc w:val="left"/>
      <w:lvlText w:val="(%2)"/>
      <w:numFmt w:val="upperLetter"/>
      <w:start w:val="1"/>
    </w:lvl>
  </w:abstractNum>
  <w:abstractNum w:abstractNumId="68">
    <w:nsid w:val="6EBB1F2A"/>
    <w:multiLevelType w:val="hybridMultilevel"/>
    <w:lvl w:ilvl="0">
      <w:lvlJc w:val="left"/>
      <w:lvlText w:val="%1"/>
      <w:numFmt w:val="decimal"/>
      <w:start w:val="1"/>
    </w:lvl>
    <w:lvl w:ilvl="1">
      <w:lvlJc w:val="left"/>
      <w:lvlText w:val="(%2)"/>
      <w:numFmt w:val="upperLetter"/>
      <w:start w:val="3"/>
    </w:lvl>
  </w:abstractNum>
  <w:abstractNum w:abstractNumId="69">
    <w:nsid w:val="6FBF29CB"/>
    <w:multiLevelType w:val="hybridMultilevel"/>
    <w:lvl w:ilvl="0">
      <w:lvlJc w:val="left"/>
      <w:lvlText w:val="(%1)"/>
      <w:numFmt w:val="decimal"/>
      <w:start w:val="6"/>
    </w:lvl>
    <w:lvl w:ilvl="1">
      <w:lvlJc w:val="left"/>
      <w:lvlText w:val="%2"/>
      <w:numFmt w:val="upperLetter"/>
      <w:start w:val="1"/>
    </w:lvl>
  </w:abstractNum>
  <w:abstractNum w:abstractNumId="70">
    <w:nsid w:val="550B8808"/>
    <w:multiLevelType w:val="hybridMultilevel"/>
    <w:lvl w:ilvl="0">
      <w:lvlJc w:val="left"/>
      <w:lvlText w:val="(%1)"/>
      <w:numFmt w:val="decimal"/>
      <w:start w:val="1"/>
    </w:lvl>
  </w:abstractNum>
  <w:abstractNum w:abstractNumId="71">
    <w:nsid w:val="34CC3ACF"/>
    <w:multiLevelType w:val="hybridMultilevel"/>
    <w:lvl w:ilvl="0">
      <w:lvlJc w:val="left"/>
      <w:lvlText w:val="(%1)"/>
      <w:numFmt w:val="decimal"/>
      <w:start w:val="1"/>
    </w:lvl>
  </w:abstractNum>
  <w:abstractNum w:abstractNumId="72">
    <w:nsid w:val="4E556261"/>
    <w:multiLevelType w:val="hybridMultilevel"/>
    <w:lvl w:ilvl="0">
      <w:lvlJc w:val="left"/>
      <w:lvlText w:val="(%1)"/>
      <w:numFmt w:val="decimal"/>
      <w:start w:val="1"/>
    </w:lvl>
  </w:abstractNum>
  <w:abstractNum w:abstractNumId="73">
    <w:nsid w:val="4C672FC9"/>
    <w:multiLevelType w:val="hybridMultilevel"/>
    <w:lvl w:ilvl="0">
      <w:lvlJc w:val="left"/>
      <w:lvlText w:val="(%1)"/>
      <w:numFmt w:val="lowerLetter"/>
      <w:start w:val="1"/>
    </w:lvl>
    <w:lvl w:ilvl="1">
      <w:lvlJc w:val="left"/>
      <w:lvlText w:val="(%2)"/>
      <w:numFmt w:val="decimal"/>
      <w:start w:val="1"/>
    </w:lvl>
  </w:abstractNum>
  <w:abstractNum w:abstractNumId="74">
    <w:nsid w:val="52A311C3"/>
    <w:multiLevelType w:val="hybridMultilevel"/>
    <w:lvl w:ilvl="0">
      <w:lvlJc w:val="left"/>
      <w:lvlText w:val="(%1)"/>
      <w:numFmt w:val="lowerLetter"/>
      <w:start w:val="5"/>
    </w:lvl>
  </w:abstractNum>
  <w:abstractNum w:abstractNumId="75">
    <w:nsid w:val="44EF6B80"/>
    <w:multiLevelType w:val="hybridMultilevel"/>
    <w:lvl w:ilvl="0">
      <w:lvlJc w:val="left"/>
      <w:lvlText w:val="(%1)"/>
      <w:numFmt w:val="decimal"/>
      <w:start w:val="1"/>
    </w:lvl>
  </w:abstractNum>
  <w:abstractNum w:abstractNumId="76">
    <w:nsid w:val="12FCDE5E"/>
    <w:multiLevelType w:val="hybridMultilevel"/>
    <w:lvl w:ilvl="0">
      <w:lvlJc w:val="left"/>
      <w:lvlText w:val="(%1)"/>
      <w:numFmt w:val="decimal"/>
      <w:start w:val="6"/>
    </w:lvl>
  </w:abstractNum>
  <w:abstractNum w:abstractNumId="77">
    <w:nsid w:val="4A1D606E"/>
    <w:multiLevelType w:val="hybridMultilevel"/>
    <w:lvl w:ilvl="0">
      <w:lvlJc w:val="left"/>
      <w:lvlText w:val="(%1)"/>
      <w:numFmt w:val="lowerLetter"/>
      <w:start w:val="1"/>
    </w:lvl>
    <w:lvl w:ilvl="1">
      <w:lvlJc w:val="left"/>
      <w:lvlText w:val="(%2)"/>
      <w:numFmt w:val="decimal"/>
      <w:start w:val="1"/>
    </w:lvl>
  </w:abstractNum>
  <w:abstractNum w:abstractNumId="78">
    <w:nsid w:val="4382503"/>
    <w:multiLevelType w:val="hybridMultilevel"/>
    <w:lvl w:ilvl="0">
      <w:lvlJc w:val="left"/>
      <w:lvlText w:val="(%1)"/>
      <w:numFmt w:val="lowerLetter"/>
      <w:start w:val="2"/>
    </w:lvl>
  </w:abstractNum>
  <w:abstractNum w:abstractNumId="79">
    <w:nsid w:val="59B76E28"/>
    <w:multiLevelType w:val="hybridMultilevel"/>
    <w:lvl w:ilvl="0">
      <w:lvlJc w:val="left"/>
      <w:lvlText w:val="(%1)"/>
      <w:numFmt w:val="lowerLetter"/>
      <w:start w:val="1"/>
    </w:lvl>
  </w:abstractNum>
  <w:abstractNum w:abstractNumId="80">
    <w:nsid w:val="4252C2DA"/>
    <w:multiLevelType w:val="hybridMultilevel"/>
    <w:lvl w:ilvl="0">
      <w:lvlJc w:val="left"/>
      <w:lvlText w:val="(%1)"/>
      <w:numFmt w:val="lowerLetter"/>
      <w:start w:val="1"/>
    </w:lvl>
    <w:lvl w:ilvl="1">
      <w:lvlJc w:val="left"/>
      <w:lvlText w:val="(%2)"/>
      <w:numFmt w:val="decimal"/>
      <w:start w:val="1"/>
    </w:lvl>
  </w:abstractNum>
  <w:abstractNum w:abstractNumId="81">
    <w:nsid w:val="6A92EF4C"/>
    <w:multiLevelType w:val="hybridMultilevel"/>
    <w:lvl w:ilvl="0">
      <w:lvlJc w:val="left"/>
      <w:lvlText w:val="(%1)"/>
      <w:numFmt w:val="lowerLetter"/>
      <w:start w:val="9"/>
    </w:lvl>
    <w:lvl w:ilvl="1">
      <w:lvlJc w:val="left"/>
      <w:lvlText w:val="(%2)"/>
      <w:numFmt w:val="lowerLetter"/>
      <w:start w:val="2"/>
    </w:lvl>
  </w:abstractNum>
  <w:abstractNum w:abstractNumId="82">
    <w:nsid w:val="41ED20D7"/>
    <w:multiLevelType w:val="hybridMultilevel"/>
    <w:lvl w:ilvl="0">
      <w:lvlJc w:val="left"/>
      <w:lvlText w:val="(%1)"/>
      <w:numFmt w:val="lowerLetter"/>
      <w:start w:val="35"/>
    </w:lvl>
    <w:lvl w:ilvl="1">
      <w:lvlJc w:val="left"/>
      <w:lvlText w:val="(%2)"/>
      <w:numFmt w:val="lowerLetter"/>
      <w:start w:val="1"/>
    </w:lvl>
  </w:abstractNum>
  <w:abstractNum w:abstractNumId="83">
    <w:nsid w:val="E6B3F6A"/>
    <w:multiLevelType w:val="hybridMultilevel"/>
    <w:lvl w:ilvl="0">
      <w:lvlJc w:val="left"/>
      <w:lvlText w:val="%1"/>
      <w:numFmt w:val="lowerLetter"/>
      <w:start w:val="1"/>
    </w:lvl>
    <w:lvl w:ilvl="1">
      <w:lvlJc w:val="left"/>
      <w:lvlText w:val="(%2)"/>
      <w:numFmt w:val="lowerLetter"/>
      <w:start w:val="2"/>
    </w:lvl>
  </w:abstractNum>
  <w:abstractNum w:abstractNumId="84">
    <w:nsid w:val="3EB21819"/>
    <w:multiLevelType w:val="hybridMultilevel"/>
    <w:lvl w:ilvl="0">
      <w:lvlJc w:val="left"/>
      <w:lvlText w:val="(%1)"/>
      <w:numFmt w:val="lowerLetter"/>
      <w:start w:val="6"/>
    </w:lvl>
    <w:lvl w:ilvl="1">
      <w:lvlJc w:val="left"/>
      <w:lvlText w:val="%2"/>
      <w:numFmt w:val="lowerLetter"/>
      <w:start w:val="1"/>
    </w:lvl>
  </w:abstractNum>
  <w:abstractNum w:abstractNumId="85">
    <w:nsid w:val="41531DED"/>
    <w:multiLevelType w:val="hybridMultilevel"/>
    <w:lvl w:ilvl="0">
      <w:lvlJc w:val="left"/>
      <w:lvlText w:val="(%1)"/>
      <w:numFmt w:val="lowerLetter"/>
      <w:start w:val="2"/>
    </w:lvl>
    <w:lvl w:ilvl="1">
      <w:lvlJc w:val="left"/>
      <w:lvlText w:val="(%2)"/>
      <w:numFmt w:val="decimal"/>
      <w:start w:val="1"/>
    </w:lvl>
  </w:abstractNum>
  <w:abstractNum w:abstractNumId="86">
    <w:nsid w:val="6353CD2"/>
    <w:multiLevelType w:val="hybridMultilevel"/>
    <w:lvl w:ilvl="0">
      <w:lvlJc w:val="left"/>
      <w:lvlText w:val="(%1)"/>
      <w:numFmt w:val="decimal"/>
      <w:start w:val="3"/>
    </w:lvl>
  </w:abstractNum>
  <w:abstractNum w:abstractNumId="87">
    <w:nsid w:val="683CAAD3"/>
    <w:multiLevelType w:val="hybridMultilevel"/>
    <w:lvl w:ilvl="0">
      <w:lvlJc w:val="left"/>
      <w:lvlText w:val="(%1)"/>
      <w:numFmt w:val="decimal"/>
      <w:start w:val="13"/>
    </w:lvl>
  </w:abstractNum>
  <w:abstractNum w:abstractNumId="88">
    <w:nsid w:val="313C7C99"/>
    <w:multiLevelType w:val="hybridMultilevel"/>
    <w:lvl w:ilvl="0">
      <w:lvlJc w:val="left"/>
      <w:lvlText w:val="(%1)"/>
      <w:numFmt w:val="lowerLetter"/>
      <w:start w:val="1"/>
    </w:lvl>
    <w:lvl w:ilvl="1">
      <w:lvlJc w:val="left"/>
      <w:lvlText w:val="(%2)"/>
      <w:numFmt w:val="decimal"/>
      <w:start w:val="1"/>
    </w:lvl>
  </w:abstractNum>
  <w:abstractNum w:abstractNumId="89">
    <w:nsid w:val="519EB94C"/>
    <w:multiLevelType w:val="hybridMultilevel"/>
    <w:lvl w:ilvl="0">
      <w:lvlJc w:val="left"/>
      <w:lvlText w:val="(%1)"/>
      <w:numFmt w:val="decimal"/>
      <w:start w:val="5"/>
    </w:lvl>
  </w:abstractNum>
  <w:abstractNum w:abstractNumId="90">
    <w:nsid w:val="39DF2579"/>
    <w:multiLevelType w:val="hybridMultilevel"/>
    <w:lvl w:ilvl="0">
      <w:lvlJc w:val="left"/>
      <w:lvlText w:val="(%1)"/>
      <w:numFmt w:val="lowerLetter"/>
      <w:start w:val="1"/>
    </w:lvl>
    <w:lvl w:ilvl="1">
      <w:lvlJc w:val="left"/>
      <w:lvlText w:val="(%2)"/>
      <w:numFmt w:val="decimal"/>
      <w:start w:val="1"/>
    </w:lvl>
  </w:abstractNum>
  <w:abstractNum w:abstractNumId="91">
    <w:nsid w:val="126E008B"/>
    <w:multiLevelType w:val="hybridMultilevel"/>
    <w:lvl w:ilvl="0">
      <w:lvlJc w:val="left"/>
      <w:lvlText w:val="(%1)"/>
      <w:numFmt w:val="decimal"/>
      <w:start w:val="6"/>
    </w:lvl>
    <w:lvl w:ilvl="1">
      <w:lvlJc w:val="left"/>
      <w:lvlText w:val="(%2)"/>
      <w:numFmt w:val="lowerLetter"/>
      <w:start w:val="1"/>
    </w:lvl>
  </w:abstractNum>
  <w:abstractNum w:abstractNumId="92">
    <w:nsid w:val="34DFBC00"/>
    <w:multiLevelType w:val="hybridMultilevel"/>
    <w:lvl w:ilvl="0">
      <w:lvlJc w:val="left"/>
      <w:lvlText w:val="(%1)"/>
      <w:numFmt w:val="decimal"/>
      <w:start w:val="14"/>
    </w:lvl>
  </w:abstractNum>
  <w:abstractNum w:abstractNumId="93">
    <w:nsid w:val="1F9EC322"/>
    <w:multiLevelType w:val="hybridMultilevel"/>
    <w:lvl w:ilvl="0">
      <w:lvlJc w:val="left"/>
      <w:lvlText w:val="(%1)"/>
      <w:numFmt w:val="lowerLetter"/>
      <w:start w:val="1"/>
    </w:lvl>
    <w:lvl w:ilvl="1">
      <w:lvlJc w:val="left"/>
      <w:lvlText w:val="(%2)"/>
      <w:numFmt w:val="lowerRoman"/>
      <w:start w:val="1"/>
    </w:lvl>
  </w:abstractNum>
  <w:abstractNum w:abstractNumId="94">
    <w:nsid w:val="3410ED5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5">
    <w:nsid w:val="23C049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96">
    <w:nsid w:val="5BDA35D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7">
    <w:nsid w:val="496FB218"/>
    <w:multiLevelType w:val="hybridMultilevel"/>
    <w:lvl w:ilvl="0">
      <w:lvlJc w:val="left"/>
      <w:lvlText w:val="(%1)"/>
      <w:numFmt w:val="lowerLetter"/>
      <w:start w:val="1"/>
    </w:lvl>
    <w:lvl w:ilvl="1">
      <w:lvlJc w:val="left"/>
      <w:lvlText w:val="(%2)"/>
      <w:numFmt w:val="decimal"/>
      <w:start w:val="1"/>
    </w:lvl>
  </w:abstractNum>
  <w:abstractNum w:abstractNumId="98">
    <w:nsid w:val="680EA5D1"/>
    <w:multiLevelType w:val="hybridMultilevel"/>
    <w:lvl w:ilvl="0">
      <w:lvlJc w:val="left"/>
      <w:lvlText w:val="(%1)"/>
      <w:numFmt w:val="lowerLetter"/>
      <w:start w:val="2"/>
    </w:lvl>
    <w:lvl w:ilvl="1">
      <w:lvlJc w:val="left"/>
      <w:lvlText w:val="(%2)"/>
      <w:numFmt w:val="decimal"/>
      <w:start w:val="1"/>
    </w:lvl>
  </w:abstractNum>
  <w:abstractNum w:abstractNumId="99">
    <w:nsid w:val="4A9554FE"/>
    <w:multiLevelType w:val="hybridMultilevel"/>
    <w:lvl w:ilvl="0">
      <w:lvlJc w:val="left"/>
      <w:lvlText w:val="(%1)"/>
      <w:numFmt w:val="decimal"/>
      <w:start w:val="7"/>
    </w:lvl>
  </w:abstractNum>
  <w:abstractNum w:abstractNumId="100">
    <w:nsid w:val="392EDBE4"/>
    <w:multiLevelType w:val="hybridMultilevel"/>
    <w:lvl w:ilvl="0">
      <w:lvlJc w:val="left"/>
      <w:lvlText w:val="(%1)"/>
      <w:numFmt w:val="decimal"/>
      <w:start w:val="1"/>
    </w:lvl>
  </w:abstractNum>
  <w:abstractNum w:abstractNumId="101">
    <w:nsid w:val="3D1A2DD9"/>
    <w:multiLevelType w:val="hybridMultilevel"/>
    <w:lvl w:ilvl="0">
      <w:lvlJc w:val="left"/>
      <w:lvlText w:val="(%1)"/>
      <w:numFmt w:val="lowerLetter"/>
      <w:start w:val="1"/>
    </w:lvl>
  </w:abstractNum>
  <w:abstractNum w:abstractNumId="102">
    <w:nsid w:val="7F618FCD"/>
    <w:multiLevelType w:val="hybridMultilevel"/>
    <w:lvl w:ilvl="0">
      <w:lvlJc w:val="left"/>
      <w:lvlText w:val="(%1)"/>
      <w:numFmt w:val="decimal"/>
      <w:start w:val="1"/>
    </w:lvl>
  </w:abstractNum>
  <w:abstractNum w:abstractNumId="103">
    <w:nsid w:val="7843E45"/>
    <w:multiLevelType w:val="hybridMultilevel"/>
    <w:lvl w:ilvl="0">
      <w:lvlJc w:val="left"/>
      <w:lvlText w:val="(%1)"/>
      <w:numFmt w:val="lowerLetter"/>
      <w:start w:val="2"/>
    </w:lvl>
    <w:lvl w:ilvl="1">
      <w:lvlJc w:val="left"/>
      <w:lvlText w:val="(%2)"/>
      <w:numFmt w:val="decimal"/>
      <w:start w:val="1"/>
    </w:lvl>
  </w:abstractNum>
  <w:abstractNum w:abstractNumId="104">
    <w:nsid w:val="9815DA3"/>
    <w:multiLevelType w:val="hybridMultilevel"/>
    <w:lvl w:ilvl="0">
      <w:lvlJc w:val="left"/>
      <w:lvlText w:val="(%1)"/>
      <w:numFmt w:val="lowerLetter"/>
      <w:start w:val="3"/>
    </w:lvl>
  </w:abstractNum>
  <w:abstractNum w:abstractNumId="105">
    <w:nsid w:val="5204A191"/>
    <w:multiLevelType w:val="hybridMultilevel"/>
    <w:lvl w:ilvl="0">
      <w:lvlJc w:val="left"/>
      <w:lvlText w:val="(%1)"/>
      <w:numFmt w:val="decimal"/>
      <w:start w:val="1"/>
    </w:lvl>
  </w:abstractNum>
  <w:abstractNum w:abstractNumId="106">
    <w:nsid w:val="4C73A9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7">
    <w:nsid w:val="1C7E3C01"/>
    <w:multiLevelType w:val="hybridMultilevel"/>
    <w:lvl w:ilvl="0">
      <w:lvlJc w:val="left"/>
      <w:lvlText w:val="(%1)"/>
      <w:numFmt w:val="decimal"/>
      <w:start w:val="2"/>
    </w:lvl>
  </w:abstractNum>
  <w:abstractNum w:abstractNumId="108">
    <w:nsid w:val="1C2201FF"/>
    <w:multiLevelType w:val="hybridMultilevel"/>
    <w:lvl w:ilvl="0">
      <w:lvlJc w:val="left"/>
      <w:lvlText w:val="(%1)"/>
      <w:numFmt w:val="lowerLetter"/>
      <w:start w:val="2"/>
    </w:lvl>
    <w:lvl w:ilvl="1">
      <w:lvlJc w:val="left"/>
      <w:lvlText w:val="(%2)"/>
      <w:numFmt w:val="decimal"/>
      <w:start w:val="1"/>
    </w:lvl>
  </w:abstractNum>
  <w:abstractNum w:abstractNumId="109">
    <w:nsid w:val="50ABCEC9"/>
    <w:multiLevelType w:val="hybridMultilevel"/>
    <w:lvl w:ilvl="0">
      <w:lvlJc w:val="left"/>
      <w:lvlText w:val="(%1)"/>
      <w:numFmt w:val="decimal"/>
      <w:start w:val="1"/>
    </w:lvl>
    <w:lvl w:ilvl="1">
      <w:lvlJc w:val="left"/>
      <w:lvlText w:val="(%2)"/>
      <w:numFmt w:val="lowerLetter"/>
      <w:start w:val="1"/>
    </w:lvl>
  </w:abstractNum>
  <w:abstractNum w:abstractNumId="110">
    <w:nsid w:val="7635AA2A"/>
    <w:multiLevelType w:val="hybridMultilevel"/>
    <w:lvl w:ilvl="0">
      <w:lvlJc w:val="left"/>
      <w:lvlText w:val="(%1)"/>
      <w:numFmt w:val="decimal"/>
      <w:start w:val="9"/>
    </w:lvl>
    <w:lvl w:ilvl="1">
      <w:lvlJc w:val="left"/>
      <w:lvlText w:val="(%2)"/>
      <w:numFmt w:val="lowerLetter"/>
      <w:start w:val="1"/>
    </w:lvl>
  </w:abstractNum>
  <w:abstractNum w:abstractNumId="111">
    <w:nsid w:val="5E74C4D9"/>
    <w:multiLevelType w:val="hybridMultilevel"/>
    <w:lvl w:ilvl="0">
      <w:lvlJc w:val="left"/>
      <w:lvlText w:val="(%1)"/>
      <w:numFmt w:val="lowerRoman"/>
      <w:start w:val="1"/>
    </w:lvl>
  </w:abstractNum>
  <w:abstractNum w:abstractNumId="112">
    <w:nsid w:val="3B3EBE15"/>
    <w:multiLevelType w:val="hybridMultilevel"/>
    <w:lvl w:ilvl="0">
      <w:lvlJc w:val="left"/>
      <w:lvlText w:val="(%1)"/>
      <w:numFmt w:val="decimal"/>
      <w:start w:val="1"/>
    </w:lvl>
  </w:abstractNum>
  <w:abstractNum w:abstractNumId="113">
    <w:nsid w:val="3822CB01"/>
    <w:multiLevelType w:val="hybridMultilevel"/>
    <w:lvl w:ilvl="0">
      <w:lvlJc w:val="left"/>
      <w:lvlText w:val="(%1)"/>
      <w:numFmt w:val="lowerLetter"/>
      <w:start w:val="1"/>
    </w:lvl>
    <w:lvl w:ilvl="1">
      <w:lvlJc w:val="left"/>
      <w:lvlText w:val="(%2)"/>
      <w:numFmt w:val="decimal"/>
      <w:start w:val="1"/>
    </w:lvl>
  </w:abstractNum>
  <w:abstractNum w:abstractNumId="114">
    <w:nsid w:val="6CE00443"/>
    <w:multiLevelType w:val="hybridMultilevel"/>
    <w:lvl w:ilvl="0">
      <w:lvlJc w:val="left"/>
      <w:lvlText w:val="(%1)"/>
      <w:numFmt w:val="lowerLetter"/>
      <w:start w:val="6"/>
    </w:lvl>
  </w:abstractNum>
  <w:abstractNum w:abstractNumId="115">
    <w:nsid w:val="79F0D62F"/>
    <w:multiLevelType w:val="hybridMultilevel"/>
    <w:lvl w:ilvl="0">
      <w:lvlJc w:val="left"/>
      <w:lvlText w:val="(%1)"/>
      <w:numFmt w:val="lowerLetter"/>
      <w:start w:val="1"/>
    </w:lvl>
  </w:abstractNum>
  <w:abstractNum w:abstractNumId="116">
    <w:nsid w:val="7975E8EE"/>
    <w:multiLevelType w:val="hybridMultilevel"/>
    <w:lvl w:ilvl="0">
      <w:lvlJc w:val="left"/>
      <w:lvlText w:val="(%1)"/>
      <w:numFmt w:val="lowerLetter"/>
      <w:start w:val="11"/>
    </w:lvl>
  </w:abstractNum>
  <w:abstractNum w:abstractNumId="117">
    <w:nsid w:val="73154115"/>
    <w:multiLevelType w:val="hybridMultilevel"/>
    <w:lvl w:ilvl="0">
      <w:lvlJc w:val="left"/>
      <w:lvlText w:val="(%1)"/>
      <w:numFmt w:val="lowerLetter"/>
      <w:start w:val="1"/>
    </w:lvl>
  </w:abstractNum>
  <w:abstractNum w:abstractNumId="118">
    <w:nsid w:val="622D8102"/>
    <w:multiLevelType w:val="hybridMultilevel"/>
    <w:lvl w:ilvl="0">
      <w:lvlJc w:val="left"/>
      <w:lvlText w:val="(%1)"/>
      <w:numFmt w:val="lowerLetter"/>
      <w:start w:val="1"/>
    </w:lvl>
  </w:abstractNum>
  <w:abstractNum w:abstractNumId="119">
    <w:nsid w:val="2AB26587"/>
    <w:multiLevelType w:val="hybridMultilevel"/>
    <w:lvl w:ilvl="0">
      <w:lvlJc w:val="left"/>
      <w:lvlText w:val="(%1)"/>
      <w:numFmt w:val="lowerLetter"/>
      <w:start w:val="1"/>
    </w:lvl>
  </w:abstractNum>
  <w:abstractNum w:abstractNumId="120">
    <w:nsid w:val="44B3FA61"/>
    <w:multiLevelType w:val="hybridMultilevel"/>
    <w:lvl w:ilvl="0">
      <w:lvlJc w:val="left"/>
      <w:lvlText w:val="(%1)"/>
      <w:numFmt w:val="lowerLetter"/>
      <w:start w:val="2"/>
    </w:lvl>
    <w:lvl w:ilvl="1">
      <w:lvlJc w:val="left"/>
      <w:lvlText w:val="(%2)"/>
      <w:numFmt w:val="decimal"/>
      <w:start w:val="1"/>
    </w:lvl>
  </w:abstractNum>
  <w:abstractNum w:abstractNumId="121">
    <w:nsid w:val="1C0CA67C"/>
    <w:multiLevelType w:val="hybridMultilevel"/>
    <w:lvl w:ilvl="0">
      <w:lvlJc w:val="left"/>
      <w:lvlText w:val="(%1)"/>
      <w:numFmt w:val="decimal"/>
      <w:start w:val="1"/>
    </w:lvl>
  </w:abstractNum>
  <w:abstractNum w:abstractNumId="122">
    <w:nsid w:val="3D206613"/>
    <w:multiLevelType w:val="hybridMultilevel"/>
    <w:lvl w:ilvl="0">
      <w:lvlJc w:val="left"/>
      <w:lvlText w:val="(%1)"/>
      <w:numFmt w:val="decimal"/>
      <w:start w:val="1"/>
    </w:lvl>
    <w:lvl w:ilvl="1">
      <w:lvlJc w:val="left"/>
      <w:lvlText w:val="(%2)"/>
      <w:numFmt w:val="lowerLetter"/>
      <w:start w:val="1"/>
    </w:lvl>
  </w:abstractNum>
  <w:abstractNum w:abstractNumId="123">
    <w:nsid w:val="7993B662"/>
    <w:multiLevelType w:val="hybridMultilevel"/>
    <w:lvl w:ilvl="0">
      <w:lvlJc w:val="left"/>
      <w:lvlText w:val="(%1)"/>
      <w:numFmt w:val="decimal"/>
      <w:start w:val="3"/>
    </w:lvl>
  </w:abstractNum>
  <w:abstractNum w:abstractNumId="124">
    <w:nsid w:val="3BAB699E"/>
    <w:multiLevelType w:val="hybridMultilevel"/>
    <w:lvl w:ilvl="0">
      <w:lvlJc w:val="left"/>
      <w:lvlText w:val="(%1)"/>
      <w:numFmt w:val="decimal"/>
      <w:start w:val="1"/>
    </w:lvl>
  </w:abstractNum>
  <w:abstractNum w:abstractNumId="125">
    <w:nsid w:val="71315369"/>
    <w:multiLevelType w:val="hybridMultilevel"/>
    <w:lvl w:ilvl="0">
      <w:lvlJc w:val="left"/>
      <w:lvlText w:val="(%1)"/>
      <w:numFmt w:val="decimal"/>
      <w:start w:val="1"/>
    </w:lvl>
  </w:abstractNum>
  <w:abstractNum w:abstractNumId="126">
    <w:nsid w:val="7BCFBAFC"/>
    <w:multiLevelType w:val="hybridMultilevel"/>
    <w:lvl w:ilvl="0">
      <w:lvlJc w:val="left"/>
      <w:lvlText w:val="(%1)"/>
      <w:numFmt w:val="decimal"/>
      <w:start w:val="9"/>
    </w:lvl>
  </w:abstractNum>
  <w:abstractNum w:abstractNumId="127">
    <w:nsid w:val="17859F72"/>
    <w:multiLevelType w:val="hybridMultilevel"/>
    <w:lvl w:ilvl="0">
      <w:lvlJc w:val="left"/>
      <w:lvlText w:val="(%1)"/>
      <w:numFmt w:val="lowerLetter"/>
      <w:start w:val="1"/>
    </w:lvl>
    <w:lvl w:ilvl="1">
      <w:lvlJc w:val="left"/>
      <w:lvlText w:val="(%2)"/>
      <w:numFmt w:val="decimal"/>
      <w:start w:val="1"/>
    </w:lvl>
  </w:abstractNum>
  <w:abstractNum w:abstractNumId="128">
    <w:nsid w:val="3AA10581"/>
    <w:multiLevelType w:val="hybridMultilevel"/>
    <w:lvl w:ilvl="0">
      <w:lvlJc w:val="left"/>
      <w:lvlText w:val="(%1)"/>
      <w:numFmt w:val="lowerLetter"/>
      <w:start w:val="2"/>
    </w:lvl>
  </w:abstractNum>
  <w:abstractNum w:abstractNumId="129">
    <w:nsid w:val="63DE60CD"/>
    <w:multiLevelType w:val="hybridMultilevel"/>
    <w:lvl w:ilvl="0">
      <w:lvlJc w:val="left"/>
      <w:lvlText w:val="(%1)"/>
      <w:numFmt w:val="decimal"/>
      <w:start w:val="1"/>
    </w:lvl>
    <w:lvl w:ilvl="1">
      <w:lvlJc w:val="left"/>
      <w:lvlText w:val="(%2)"/>
      <w:numFmt w:val="lowerLetter"/>
      <w:start w:val="1"/>
    </w:lvl>
  </w:abstractNum>
  <w:abstractNum w:abstractNumId="130">
    <w:nsid w:val="621AF471"/>
    <w:multiLevelType w:val="hybridMultilevel"/>
    <w:lvl w:ilvl="0">
      <w:lvlJc w:val="left"/>
      <w:lvlText w:val="(%1)"/>
      <w:numFmt w:val="lowerLetter"/>
      <w:start w:val="1"/>
    </w:lvl>
  </w:abstractNum>
  <w:abstractNum w:abstractNumId="131">
    <w:nsid w:val="73CFE165"/>
    <w:multiLevelType w:val="hybridMultilevel"/>
    <w:lvl w:ilvl="0">
      <w:lvlJc w:val="left"/>
      <w:lvlText w:val="(%1)"/>
      <w:numFmt w:val="decimal"/>
      <w:start w:val="1"/>
    </w:lvl>
    <w:lvl w:ilvl="1">
      <w:lvlJc w:val="left"/>
      <w:lvlText w:val="(%2)"/>
      <w:numFmt w:val="lowerLetter"/>
      <w:start w:val="1"/>
    </w:lvl>
  </w:abstractNum>
  <w:abstractNum w:abstractNumId="132">
    <w:nsid w:val="20F88EA6"/>
    <w:multiLevelType w:val="hybridMultilevel"/>
    <w:lvl w:ilvl="0">
      <w:lvlJc w:val="left"/>
      <w:lvlText w:val="(%1)"/>
      <w:numFmt w:val="decimal"/>
      <w:start w:val="2"/>
    </w:lvl>
  </w:abstractNum>
  <w:abstractNum w:abstractNumId="133">
    <w:nsid w:val="617C843E"/>
    <w:multiLevelType w:val="hybridMultilevel"/>
    <w:lvl w:ilvl="0">
      <w:lvlJc w:val="left"/>
      <w:lvlText w:val="(%1)"/>
      <w:numFmt w:val="decimal"/>
      <w:start w:val="1"/>
    </w:lvl>
  </w:abstractNum>
  <w:abstractNum w:abstractNumId="134">
    <w:nsid w:val="7B541FAB"/>
    <w:multiLevelType w:val="hybridMultilevel"/>
    <w:lvl w:ilvl="0">
      <w:lvlJc w:val="left"/>
      <w:lvlText w:val="(%1)"/>
      <w:numFmt w:val="decimal"/>
      <w:start w:val="1"/>
    </w:lvl>
  </w:abstractNum>
  <w:abstractNum w:abstractNumId="135">
    <w:nsid w:val="2A79EC49"/>
    <w:multiLevelType w:val="hybridMultilevel"/>
    <w:lvl w:ilvl="0">
      <w:lvlJc w:val="left"/>
      <w:lvlText w:val="(%1)"/>
      <w:numFmt w:val="lowerLetter"/>
      <w:start w:val="1"/>
    </w:lvl>
  </w:abstractNum>
  <w:abstractNum w:abstractNumId="136">
    <w:nsid w:val="338125CF"/>
    <w:multiLevelType w:val="hybridMultilevel"/>
    <w:lvl w:ilvl="0">
      <w:lvlJc w:val="left"/>
      <w:lvlText w:val="(%1)"/>
      <w:numFmt w:val="lowerLetter"/>
      <w:start w:val="2"/>
    </w:lvl>
    <w:lvl w:ilvl="1">
      <w:lvlJc w:val="left"/>
      <w:lvlText w:val="(%2)"/>
      <w:numFmt w:val="decimal"/>
      <w:start w:val="1"/>
    </w:lvl>
  </w:abstractNum>
  <w:abstractNum w:abstractNumId="137">
    <w:nsid w:val="47C7C971"/>
    <w:multiLevelType w:val="hybridMultilevel"/>
    <w:lvl w:ilvl="0">
      <w:lvlJc w:val="left"/>
      <w:lvlText w:val="(%1)"/>
      <w:numFmt w:val="decimal"/>
      <w:start w:val="6"/>
    </w:lvl>
  </w:abstractNum>
  <w:abstractNum w:abstractNumId="138">
    <w:nsid w:val="46F8284B"/>
    <w:multiLevelType w:val="hybridMultilevel"/>
    <w:lvl w:ilvl="0">
      <w:lvlJc w:val="left"/>
      <w:lvlText w:val="(%1)"/>
      <w:numFmt w:val="decimal"/>
      <w:start w:val="7"/>
    </w:lvl>
  </w:abstractNum>
  <w:abstractNum w:abstractNumId="139">
    <w:nsid w:val="4FA327CE"/>
    <w:multiLevelType w:val="hybridMultilevel"/>
    <w:lvl w:ilvl="0">
      <w:lvlJc w:val="left"/>
      <w:lvlText w:val="(%1)"/>
      <w:numFmt w:val="lowerLetter"/>
      <w:start w:val="1"/>
    </w:lvl>
  </w:abstractNum>
  <w:abstractNum w:abstractNumId="140">
    <w:nsid w:val="1873983A"/>
    <w:multiLevelType w:val="hybridMultilevel"/>
    <w:lvl w:ilvl="0">
      <w:lvlJc w:val="left"/>
      <w:lvlText w:val="(%1)"/>
      <w:numFmt w:val="decimal"/>
      <w:start w:val="8"/>
    </w:lvl>
  </w:abstractNum>
  <w:abstractNum w:abstractNumId="141">
    <w:nsid w:val="3D2DD275"/>
    <w:multiLevelType w:val="hybridMultilevel"/>
    <w:lvl w:ilvl="0">
      <w:lvlJc w:val="left"/>
      <w:lvlText w:val="(%1)"/>
      <w:numFmt w:val="decimal"/>
      <w:start w:val="12"/>
    </w:lvl>
  </w:abstractNum>
  <w:abstractNum w:abstractNumId="142">
    <w:nsid w:val="2E17ECA7"/>
    <w:multiLevelType w:val="hybridMultilevel"/>
    <w:lvl w:ilvl="0">
      <w:lvlJc w:val="left"/>
      <w:lvlText w:val="(%1)"/>
      <w:numFmt w:val="decimal"/>
      <w:start w:val="14"/>
    </w:lvl>
  </w:abstractNum>
  <w:abstractNum w:abstractNumId="143">
    <w:nsid w:val="53B2564F"/>
    <w:multiLevelType w:val="hybridMultilevel"/>
    <w:lvl w:ilvl="0">
      <w:lvlJc w:val="left"/>
      <w:lvlText w:val="(%1)"/>
      <w:numFmt w:val="upperLetter"/>
      <w:start w:val="9"/>
    </w:lvl>
  </w:abstractNum>
  <w:abstractNum w:abstractNumId="144">
    <w:nsid w:val="75509D76"/>
    <w:multiLevelType w:val="hybridMultilevel"/>
    <w:lvl w:ilvl="0">
      <w:lvlJc w:val="left"/>
      <w:lvlText w:val="*"/>
      <w:numFmt w:val="bullet"/>
      <w:start w:val="1"/>
    </w:lvl>
  </w:abstractNum>
  <w:abstractNum w:abstractNumId="145">
    <w:nsid w:val="1AF7F0EA"/>
    <w:multiLevelType w:val="hybridMultilevel"/>
    <w:lvl w:ilvl="0">
      <w:lvlJc w:val="left"/>
      <w:lvlText w:val="*"/>
      <w:numFmt w:val="bullet"/>
      <w:start w:val="1"/>
    </w:lvl>
  </w:abstractNum>
  <w:abstractNum w:abstractNumId="146">
    <w:nsid w:val="4DA32C7E"/>
    <w:multiLevelType w:val="hybridMultilevel"/>
    <w:lvl w:ilvl="0">
      <w:lvlJc w:val="left"/>
      <w:lvlText w:val="*"/>
      <w:numFmt w:val="bullet"/>
      <w:start w:val="1"/>
    </w:lvl>
  </w:abstractNum>
  <w:abstractNum w:abstractNumId="147">
    <w:nsid w:val="6EC68664"/>
    <w:multiLevelType w:val="hybridMultilevel"/>
    <w:lvl w:ilvl="0">
      <w:lvlJc w:val="left"/>
      <w:lvlText w:val="%1."/>
      <w:numFmt w:val="decimal"/>
      <w:start w:val="1"/>
    </w:lvl>
  </w:abstractNum>
  <w:abstractNum w:abstractNumId="148">
    <w:nsid w:val="E0D31FF"/>
    <w:multiLevelType w:val="hybridMultilevel"/>
    <w:lvl w:ilvl="0">
      <w:lvlJc w:val="left"/>
      <w:lvlText w:val="%1."/>
      <w:numFmt w:val="decimal"/>
      <w:start w:val="2"/>
    </w:lvl>
  </w:abstractNum>
  <w:abstractNum w:abstractNumId="149">
    <w:nsid w:val="2FD0AD81"/>
    <w:multiLevelType w:val="hybridMultilevel"/>
    <w:lvl w:ilvl="0">
      <w:lvlJc w:val="left"/>
      <w:lvlText w:val="%1."/>
      <w:numFmt w:val="decimal"/>
      <w:start w:val="3"/>
    </w:lvl>
  </w:abstractNum>
  <w:abstractNum w:abstractNumId="150">
    <w:nsid w:val="1978EBEB"/>
    <w:multiLevelType w:val="hybridMultilevel"/>
    <w:lvl w:ilvl="0">
      <w:lvlJc w:val="left"/>
      <w:lvlText w:val="(%1)"/>
      <w:numFmt w:val="lowerLetter"/>
      <w:start w:val="1"/>
    </w:lvl>
  </w:abstractNum>
  <w:abstractNum w:abstractNumId="151">
    <w:nsid w:val="52C12C61"/>
    <w:multiLevelType w:val="hybridMultilevel"/>
    <w:lvl w:ilvl="0">
      <w:lvlJc w:val="left"/>
      <w:lvlText w:val="(%1)"/>
      <w:numFmt w:val="lowerLetter"/>
      <w:start w:val="3"/>
    </w:lvl>
  </w:abstractNum>
  <w:abstractNum w:abstractNumId="152">
    <w:nsid w:val="4BDD53FD"/>
    <w:multiLevelType w:val="hybridMultilevel"/>
    <w:lvl w:ilvl="0">
      <w:lvlJc w:val="left"/>
      <w:lvlText w:val="(%1)"/>
      <w:numFmt w:val="lowerLetter"/>
      <w:start w:val="4"/>
    </w:lvl>
  </w:abstractNum>
  <w:abstractNum w:abstractNumId="153">
    <w:nsid w:val="569951FE"/>
    <w:multiLevelType w:val="hybridMultilevel"/>
    <w:lvl w:ilvl="0">
      <w:lvlJc w:val="left"/>
      <w:lvlText w:val="%1."/>
      <w:numFmt w:val="decimal"/>
      <w:start w:val="4"/>
    </w:lvl>
  </w:abstractNum>
  <w:abstractNum w:abstractNumId="154">
    <w:nsid w:val="4C54E2C3"/>
    <w:multiLevelType w:val="hybridMultilevel"/>
    <w:lvl w:ilvl="0">
      <w:lvlJc w:val="left"/>
      <w:lvlText w:val="(%1)"/>
      <w:numFmt w:val="lowerLetter"/>
      <w:start w:val="1"/>
    </w:lvl>
  </w:abstractNum>
  <w:abstractNum w:abstractNumId="155">
    <w:nsid w:val="788BD9B"/>
    <w:multiLevelType w:val="hybridMultilevel"/>
    <w:lvl w:ilvl="0">
      <w:lvlJc w:val="left"/>
      <w:lvlText w:val="(%1)"/>
      <w:numFmt w:val="lowerLetter"/>
      <w:start w:val="3"/>
    </w:lvl>
  </w:abstractNum>
  <w:abstractNum w:abstractNumId="156">
    <w:nsid w:val="47CAA567"/>
    <w:multiLevelType w:val="hybridMultilevel"/>
    <w:lvl w:ilvl="0">
      <w:lvlJc w:val="left"/>
      <w:lvlText w:val="%1."/>
      <w:numFmt w:val="decimal"/>
      <w:start w:val="1"/>
    </w:lvl>
  </w:abstractNum>
  <w:abstractNum w:abstractNumId="157">
    <w:nsid w:val="48249DBF"/>
    <w:multiLevelType w:val="hybridMultilevel"/>
    <w:lvl w:ilvl="0">
      <w:lvlJc w:val="left"/>
      <w:lvlText w:val="(%1)"/>
      <w:numFmt w:val="lowerLetter"/>
      <w:start w:val="1"/>
    </w:lvl>
  </w:abstractNum>
  <w:abstractNum w:abstractNumId="158">
    <w:nsid w:val="1F0E5D0D"/>
    <w:multiLevelType w:val="hybridMultilevel"/>
    <w:lvl w:ilvl="0">
      <w:lvlJc w:val="left"/>
      <w:lvlText w:val="%1"/>
      <w:numFmt w:val="decimal"/>
      <w:start w:val="1"/>
    </w:lvl>
    <w:lvl w:ilvl="1">
      <w:lvlJc w:val="left"/>
      <w:lvlText w:val="(%2)"/>
      <w:numFmt w:val="lowerLetter"/>
      <w:start w:val="2"/>
    </w:lvl>
  </w:abstractNum>
  <w:abstractNum w:abstractNumId="159">
    <w:nsid w:val="26BAAE9"/>
    <w:multiLevelType w:val="hybridMultilevel"/>
    <w:lvl w:ilvl="0">
      <w:lvlJc w:val="left"/>
      <w:lvlText w:val="%1."/>
      <w:numFmt w:val="decimal"/>
      <w:start w:val="2"/>
    </w:lvl>
    <w:lvl w:ilvl="1">
      <w:lvlJc w:val="left"/>
      <w:lvlText w:val="%2"/>
      <w:numFmt w:val="lowerLetter"/>
      <w:start w:val="1"/>
    </w:lvl>
  </w:abstractNum>
  <w:abstractNum w:abstractNumId="160">
    <w:nsid w:val="2C02FE8C"/>
    <w:multiLevelType w:val="hybridMultilevel"/>
    <w:lvl w:ilvl="0">
      <w:lvlJc w:val="left"/>
      <w:lvlText w:val="(%1)"/>
      <w:numFmt w:val="lowerLetter"/>
      <w:start w:val="1"/>
    </w:lvl>
  </w:abstractNum>
  <w:abstractNum w:abstractNumId="161">
    <w:nsid w:val="129517E"/>
    <w:multiLevelType w:val="hybridMultilevel"/>
    <w:lvl w:ilvl="0">
      <w:lvlJc w:val="left"/>
      <w:lvlText w:val="(%1)"/>
      <w:numFmt w:val="lowerLetter"/>
      <w:start w:val="2"/>
    </w:lvl>
  </w:abstractNum>
  <w:abstractNum w:abstractNumId="162">
    <w:nsid w:val="763B8C4E"/>
    <w:multiLevelType w:val="hybridMultilevel"/>
    <w:lvl w:ilvl="0">
      <w:lvlJc w:val="left"/>
      <w:lvlText w:val="%1."/>
      <w:numFmt w:val="decimal"/>
      <w:start w:val="1"/>
    </w:lvl>
  </w:abstractNum>
  <w:abstractNum w:abstractNumId="163">
    <w:nsid w:val="4CFB8D32"/>
    <w:multiLevelType w:val="hybridMultilevel"/>
    <w:lvl w:ilvl="0">
      <w:lvlJc w:val="left"/>
      <w:lvlText w:val="(%1)"/>
      <w:numFmt w:val="lowerLetter"/>
      <w:start w:val="1"/>
    </w:lvl>
  </w:abstractNum>
  <w:abstractNum w:abstractNumId="164">
    <w:nsid w:val="62A5D5BD"/>
    <w:multiLevelType w:val="hybridMultilevel"/>
    <w:lvl w:ilvl="0">
      <w:lvlJc w:val="left"/>
      <w:lvlText w:val="(%1)"/>
      <w:numFmt w:val="lowerLetter"/>
      <w:start w:val="4"/>
    </w:lvl>
  </w:abstractNum>
  <w:abstractNum w:abstractNumId="165">
    <w:nsid w:val="718FABF9"/>
    <w:multiLevelType w:val="hybridMultilevel"/>
    <w:lvl w:ilvl="0">
      <w:lvlJc w:val="left"/>
      <w:lvlText w:val="%1."/>
      <w:numFmt w:val="decimal"/>
      <w:start w:val="2"/>
    </w:lvl>
  </w:abstractNum>
  <w:abstractNum w:abstractNumId="166">
    <w:nsid w:val="7775797C"/>
    <w:multiLevelType w:val="hybridMultilevel"/>
    <w:lvl w:ilvl="0">
      <w:lvlJc w:val="left"/>
      <w:lvlText w:val="%1"/>
      <w:numFmt w:val="lowerLetter"/>
      <w:start w:val="1"/>
    </w:lvl>
    <w:lvl w:ilvl="1">
      <w:lvlJc w:val="left"/>
      <w:lvlText w:val="(%2)"/>
      <w:numFmt w:val="lowerLetter"/>
      <w:start w:val="1"/>
    </w:lvl>
  </w:abstractNum>
  <w:abstractNum w:abstractNumId="167">
    <w:nsid w:val="1626FB8C"/>
    <w:multiLevelType w:val="hybridMultilevel"/>
    <w:lvl w:ilvl="0">
      <w:lvlJc w:val="left"/>
      <w:lvlText w:val="(%1)"/>
      <w:numFmt w:val="lowerLetter"/>
      <w:start w:val="35"/>
    </w:lvl>
    <w:lvl w:ilvl="1">
      <w:lvlJc w:val="left"/>
      <w:lvlText w:val="%2"/>
      <w:numFmt w:val="lowerLetter"/>
      <w:start w:val="1"/>
    </w:lvl>
  </w:abstractNum>
  <w:abstractNum w:abstractNumId="168">
    <w:nsid w:val="3957756A"/>
    <w:multiLevelType w:val="hybridMultilevel"/>
    <w:lvl w:ilvl="0">
      <w:lvlJc w:val="left"/>
      <w:lvlText w:val="(%1)"/>
      <w:numFmt w:val="lowerLetter"/>
      <w:start w:val="1"/>
    </w:lvl>
  </w:abstractNum>
  <w:abstractNum w:abstractNumId="169">
    <w:nsid w:val="3E6DA1C7"/>
    <w:multiLevelType w:val="hybridMultilevel"/>
    <w:lvl w:ilvl="0">
      <w:lvlJc w:val="left"/>
      <w:lvlText w:val="%1."/>
      <w:numFmt w:val="decimal"/>
      <w:start w:val="1"/>
    </w:lvl>
  </w:abstractNum>
  <w:abstractNum w:abstractNumId="170">
    <w:nsid w:val="65CA235B"/>
    <w:multiLevelType w:val="hybridMultilevel"/>
    <w:lvl w:ilvl="0">
      <w:lvlJc w:val="left"/>
      <w:lvlText w:val="%1."/>
      <w:numFmt w:val="decimal"/>
      <w:start w:val="4"/>
    </w:lvl>
  </w:abstractNum>
  <w:abstractNum w:abstractNumId="171">
    <w:nsid w:val="51CB0DA4"/>
    <w:multiLevelType w:val="hybridMultilevel"/>
    <w:lvl w:ilvl="0">
      <w:lvlJc w:val="left"/>
      <w:lvlText w:val="%1."/>
      <w:numFmt w:val="decimal"/>
      <w:start w:val="1"/>
    </w:lvl>
  </w:abstractNum>
  <w:abstractNum w:abstractNumId="172">
    <w:nsid w:val="7B9B743C"/>
    <w:multiLevelType w:val="hybridMultilevel"/>
    <w:lvl w:ilvl="0">
      <w:lvlJc w:val="left"/>
      <w:lvlText w:val="%1."/>
      <w:numFmt w:val="decimal"/>
      <w:start w:val="6"/>
    </w:lvl>
  </w:abstractNum>
  <w:abstractNum w:abstractNumId="173">
    <w:nsid w:val="13E21002"/>
    <w:multiLevelType w:val="hybridMultilevel"/>
    <w:lvl w:ilvl="0">
      <w:lvlJc w:val="left"/>
      <w:lvlText w:val="%1."/>
      <w:numFmt w:val="decimal"/>
      <w:start w:val="1"/>
    </w:lvl>
  </w:abstractNum>
  <w:abstractNum w:abstractNumId="174">
    <w:nsid w:val="257D63F4"/>
    <w:multiLevelType w:val="hybridMultilevel"/>
    <w:lvl w:ilvl="0">
      <w:lvlJc w:val="left"/>
      <w:lvlText w:val="%1."/>
      <w:numFmt w:val="decimal"/>
      <w:start w:val="5"/>
    </w:lvl>
  </w:abstractNum>
  <w:abstractNum w:abstractNumId="175">
    <w:nsid w:val="70EC11B2"/>
    <w:multiLevelType w:val="hybridMultilevel"/>
    <w:lvl w:ilvl="0">
      <w:lvlJc w:val="left"/>
      <w:lvlText w:val="(%1)"/>
      <w:numFmt w:val="lowerLetter"/>
      <w:start w:val="1"/>
    </w:lvl>
    <w:lvl w:ilvl="1">
      <w:lvlJc w:val="left"/>
      <w:lvlText w:val="(%2)"/>
      <w:numFmt w:val="lowerLetter"/>
      <w:start w:val="9"/>
    </w:lvl>
  </w:abstractNum>
  <w:abstractNum w:abstractNumId="176">
    <w:nsid w:val="2EDA00ED"/>
    <w:multiLevelType w:val="hybridMultilevel"/>
    <w:lvl w:ilvl="0">
      <w:lvlJc w:val="left"/>
      <w:lvlText w:val="(%1)"/>
      <w:numFmt w:val="lowerLetter"/>
      <w:start w:val="2"/>
    </w:lvl>
    <w:lvl w:ilvl="1">
      <w:lvlJc w:val="left"/>
      <w:lvlText w:val="%2"/>
      <w:numFmt w:val="lowerLetter"/>
      <w:start w:val="1"/>
    </w:lvl>
  </w:abstractNum>
  <w:abstractNum w:abstractNumId="177">
    <w:nsid w:val="73209072"/>
    <w:multiLevelType w:val="hybridMultilevel"/>
    <w:lvl w:ilvl="0">
      <w:lvlJc w:val="left"/>
      <w:lvlText w:val="(%1)"/>
      <w:numFmt w:val="lowerRoman"/>
      <w:start w:val="2"/>
    </w:lvl>
  </w:abstractNum>
  <w:abstractNum w:abstractNumId="178">
    <w:nsid w:val="5FB29816"/>
    <w:multiLevelType w:val="hybridMultilevel"/>
    <w:lvl w:ilvl="0">
      <w:lvlJc w:val="left"/>
      <w:lvlText w:val="(%1)"/>
      <w:numFmt w:val="lowerLetter"/>
      <w:start w:val="1"/>
    </w:lvl>
  </w:abstractNum>
  <w:abstractNum w:abstractNumId="179">
    <w:nsid w:val="3CE732EC"/>
    <w:multiLevelType w:val="hybridMultilevel"/>
    <w:lvl w:ilvl="0">
      <w:lvlJc w:val="left"/>
      <w:lvlText w:val="(%1)"/>
      <w:numFmt w:val="lowerLetter"/>
      <w:start w:val="3"/>
    </w:lvl>
  </w:abstractNum>
  <w:abstractNum w:abstractNumId="180">
    <w:nsid w:val="22F13DF3"/>
    <w:multiLevelType w:val="hybridMultilevel"/>
    <w:lvl w:ilvl="0">
      <w:lvlJc w:val="left"/>
      <w:lvlText w:val="(%1)"/>
      <w:numFmt w:val="lowerLetter"/>
      <w:start w:val="7"/>
    </w:lvl>
  </w:abstractNum>
  <w:abstractNum w:abstractNumId="181">
    <w:nsid w:val="792B8401"/>
    <w:multiLevelType w:val="hybridMultilevel"/>
    <w:lvl w:ilvl="0">
      <w:lvlJc w:val="left"/>
      <w:lvlText w:val="(%1)"/>
      <w:numFmt w:val="lowerLetter"/>
      <w:start w:val="12"/>
    </w:lvl>
  </w:abstractNum>
  <w:abstractNum w:abstractNumId="182">
    <w:nsid w:val="FA85F4D"/>
    <w:multiLevelType w:val="hybridMultilevel"/>
    <w:lvl w:ilvl="0">
      <w:lvlJc w:val="left"/>
      <w:lvlText w:val="%1"/>
      <w:numFmt w:val="lowerLetter"/>
      <w:start w:val="1"/>
    </w:lvl>
    <w:lvl w:ilvl="1">
      <w:lvlJc w:val="left"/>
      <w:lvlText w:val="(%2)"/>
      <w:numFmt w:val="lowerLetter"/>
      <w:start w:val="15"/>
    </w:lvl>
  </w:abstractNum>
  <w:abstractNum w:abstractNumId="183">
    <w:nsid w:val="6ECE91F0"/>
    <w:multiLevelType w:val="hybridMultilevel"/>
    <w:lvl w:ilvl="0">
      <w:lvlJc w:val="left"/>
      <w:lvlText w:val="(%1)"/>
      <w:numFmt w:val="lowerLetter"/>
      <w:start w:val="22"/>
    </w:lvl>
    <w:lvl w:ilvl="1">
      <w:lvlJc w:val="left"/>
      <w:lvlText w:val="(%2)"/>
      <w:numFmt w:val="lowerLetter"/>
      <w:start w:val="16"/>
    </w:lvl>
  </w:abstractNum>
  <w:abstractNum w:abstractNumId="184">
    <w:nsid w:val="4FC4D600"/>
    <w:multiLevelType w:val="hybridMultilevel"/>
    <w:lvl w:ilvl="0">
      <w:lvlJc w:val="left"/>
      <w:lvlText w:val="(%1)"/>
      <w:numFmt w:val="lowerLetter"/>
      <w:start w:val="18"/>
    </w:lvl>
  </w:abstractNum>
  <w:abstractNum w:abstractNumId="185">
    <w:nsid w:val="5BFD4210"/>
    <w:multiLevelType w:val="hybridMultilevel"/>
    <w:lvl w:ilvl="0">
      <w:lvlJc w:val="left"/>
      <w:lvlText w:val="(%1)"/>
      <w:numFmt w:val="lowerLetter"/>
      <w:start w:val="19"/>
    </w:lvl>
  </w:abstractNum>
  <w:abstractNum w:abstractNumId="186">
    <w:nsid w:val="76574F8B"/>
    <w:multiLevelType w:val="hybridMultilevel"/>
    <w:lvl w:ilvl="0">
      <w:lvlJc w:val="left"/>
      <w:lvlText w:val="(%1)"/>
      <w:numFmt w:val="lowerLetter"/>
      <w:start w:val="21"/>
    </w:lvl>
  </w:abstractNum>
  <w:abstractNum w:abstractNumId="187">
    <w:nsid w:val="178F7B67"/>
    <w:multiLevelType w:val="hybridMultilevel"/>
    <w:lvl w:ilvl="0">
      <w:lvlJc w:val="left"/>
      <w:lvlText w:val="(%1)"/>
      <w:numFmt w:val="lowerLetter"/>
      <w:start w:val="23"/>
    </w:lvl>
  </w:abstractNum>
  <w:abstractNum w:abstractNumId="188">
    <w:nsid w:val="2421DFCF"/>
    <w:multiLevelType w:val="hybridMultilevel"/>
    <w:lvl w:ilvl="0">
      <w:lvlJc w:val="left"/>
      <w:lvlText w:val="(%1)"/>
      <w:numFmt w:val="lowerLetter"/>
      <w:start w:val="26"/>
    </w:lvl>
  </w:abstractNum>
  <w:abstractNum w:abstractNumId="189">
    <w:nsid w:val="1565AC99"/>
    <w:multiLevelType w:val="hybridMultilevel"/>
    <w:lvl w:ilvl="0">
      <w:lvlJc w:val="left"/>
      <w:lvlText w:val="(%1)"/>
      <w:numFmt w:val="lowerLetter"/>
      <w:start w:val="27"/>
    </w:lvl>
  </w:abstractNum>
  <w:abstractNum w:abstractNumId="190">
    <w:nsid w:val="19FB2650"/>
    <w:multiLevelType w:val="hybridMultilevel"/>
    <w:lvl w:ilvl="0">
      <w:lvlJc w:val="left"/>
      <w:lvlText w:val="(%1)"/>
      <w:numFmt w:val="lowerLetter"/>
      <w:start w:val="32"/>
    </w:lvl>
  </w:abstractNum>
  <w:abstractNum w:abstractNumId="191">
    <w:nsid w:val="5024DE5B"/>
    <w:multiLevelType w:val="hybridMultilevel"/>
    <w:lvl w:ilvl="0">
      <w:lvlJc w:val="left"/>
      <w:lvlText w:val="(%1)"/>
      <w:numFmt w:val="lowerRoman"/>
      <w:start w:val="2"/>
    </w:lvl>
  </w:abstractNum>
  <w:abstractNum w:abstractNumId="192">
    <w:nsid w:val="168EFE17"/>
    <w:multiLevelType w:val="hybridMultilevel"/>
    <w:lvl w:ilvl="0">
      <w:lvlJc w:val="left"/>
      <w:lvlText w:val="(%1)"/>
      <w:numFmt w:val="lowerLetter"/>
      <w:start w:val="36"/>
    </w:lvl>
  </w:abstractNum>
  <w:abstractNum w:abstractNumId="193">
    <w:nsid w:val="1036B29F"/>
    <w:multiLevelType w:val="hybridMultilevel"/>
    <w:lvl w:ilvl="0">
      <w:lvlJc w:val="left"/>
      <w:lvlText w:val="(%1)"/>
      <w:numFmt w:val="lowerLetter"/>
      <w:start w:val="40"/>
    </w:lvl>
  </w:abstractNum>
  <w:abstractNum w:abstractNumId="194">
    <w:nsid w:val="1D206B8E"/>
    <w:multiLevelType w:val="hybridMultilevel"/>
    <w:lvl w:ilvl="0">
      <w:lvlJc w:val="left"/>
      <w:lvlText w:val="(%1)"/>
      <w:numFmt w:val="lowerLetter"/>
      <w:start w:val="1"/>
    </w:lvl>
  </w:abstractNum>
  <w:abstractNum w:abstractNumId="195">
    <w:nsid w:val="7934D3D4"/>
    <w:multiLevelType w:val="hybridMultilevel"/>
    <w:lvl w:ilvl="0">
      <w:lvlJc w:val="left"/>
      <w:lvlText w:val="(%1)"/>
      <w:numFmt w:val="lowerLetter"/>
      <w:start w:val="3"/>
    </w:lvl>
  </w:abstractNum>
  <w:abstractNum w:abstractNumId="196">
    <w:nsid w:val="1C65E98"/>
    <w:multiLevelType w:val="hybridMultilevel"/>
    <w:lvl w:ilvl="0">
      <w:lvlJc w:val="left"/>
      <w:lvlText w:val="(%1)"/>
      <w:numFmt w:val="lowerLetter"/>
      <w:start w:val="4"/>
    </w:lvl>
  </w:abstractNum>
  <w:abstractNum w:abstractNumId="197">
    <w:nsid w:val="1495E50A"/>
    <w:multiLevelType w:val="hybridMultilevel"/>
    <w:lvl w:ilvl="0">
      <w:lvlJc w:val="left"/>
      <w:lvlText w:val="%1"/>
      <w:numFmt w:val="lowerLetter"/>
      <w:start w:val="1"/>
    </w:lvl>
    <w:lvl w:ilvl="1">
      <w:lvlJc w:val="left"/>
      <w:lvlText w:val="(%2)"/>
      <w:numFmt w:val="lowerLetter"/>
      <w:start w:val="8"/>
    </w:lvl>
  </w:abstractNum>
  <w:abstractNum w:abstractNumId="198">
    <w:nsid w:val="F5BCF61"/>
    <w:multiLevelType w:val="hybridMultilevel"/>
    <w:lvl w:ilvl="0">
      <w:lvlJc w:val="left"/>
      <w:lvlText w:val="(%1)"/>
      <w:numFmt w:val="lowerLetter"/>
      <w:start w:val="35"/>
    </w:lvl>
    <w:lvl w:ilvl="1">
      <w:lvlJc w:val="left"/>
      <w:lvlText w:val="(%2)"/>
      <w:numFmt w:val="lowerLetter"/>
      <w:start w:val="11"/>
    </w:lvl>
  </w:abstractNum>
  <w:abstractNum w:abstractNumId="199">
    <w:nsid w:val="3B1DD403"/>
    <w:multiLevelType w:val="hybridMultilevel"/>
    <w:lvl w:ilvl="0">
      <w:lvlJc w:val="left"/>
      <w:lvlText w:val="%1"/>
      <w:numFmt w:val="lowerLetter"/>
      <w:start w:val="1"/>
    </w:lvl>
    <w:lvl w:ilvl="1">
      <w:lvlJc w:val="left"/>
      <w:lvlText w:val="(%2)"/>
      <w:numFmt w:val="lowerLetter"/>
      <w:start w:val="1"/>
    </w:lvl>
  </w:abstractNum>
  <w:abstractNum w:abstractNumId="200">
    <w:nsid w:val="530386D1"/>
    <w:multiLevelType w:val="hybridMultilevel"/>
    <w:lvl w:ilvl="0">
      <w:lvlJc w:val="left"/>
      <w:lvlText w:val="(%1)"/>
      <w:numFmt w:val="lowerLetter"/>
      <w:start w:val="61"/>
    </w:lvl>
    <w:lvl w:ilvl="1">
      <w:lvlJc w:val="left"/>
      <w:lvlText w:val="(%2)"/>
      <w:numFmt w:val="lowerLetter"/>
      <w:start w:val="2"/>
    </w:lvl>
  </w:abstractNum>
  <w:abstractNum w:abstractNumId="201">
    <w:nsid w:val="7525F2BC"/>
    <w:multiLevelType w:val="hybridMultilevel"/>
    <w:lvl w:ilvl="0">
      <w:lvlJc w:val="left"/>
      <w:lvlText w:val="(%1)"/>
      <w:numFmt w:val="lowerLetter"/>
      <w:start w:val="5"/>
    </w:lvl>
  </w:abstractNum>
  <w:abstractNum w:abstractNumId="202">
    <w:nsid w:val="CE8E1A7"/>
    <w:multiLevelType w:val="hybridMultilevel"/>
    <w:lvl w:ilvl="0">
      <w:lvlJc w:val="left"/>
      <w:lvlText w:val="(%1)"/>
      <w:numFmt w:val="lowerLetter"/>
      <w:start w:val="1"/>
    </w:lvl>
  </w:abstractNum>
  <w:abstractNum w:abstractNumId="203">
    <w:nsid w:val="4E9EFB0D"/>
    <w:multiLevelType w:val="hybridMultilevel"/>
    <w:lvl w:ilvl="0">
      <w:lvlJc w:val="left"/>
      <w:lvlText w:val="(%1)"/>
      <w:numFmt w:val="lowerLetter"/>
      <w:start w:val="1"/>
    </w:lvl>
  </w:abstractNum>
  <w:abstractNum w:abstractNumId="204">
    <w:nsid w:val="90802BE"/>
    <w:multiLevelType w:val="hybridMultilevel"/>
    <w:lvl w:ilvl="0">
      <w:lvlJc w:val="left"/>
      <w:lvlText w:val="(%1)"/>
      <w:numFmt w:val="lowerLetter"/>
      <w:start w:val="2"/>
    </w:lvl>
  </w:abstractNum>
  <w:abstractNum w:abstractNumId="205">
    <w:nsid w:val="3266459B"/>
    <w:multiLevelType w:val="hybridMultilevel"/>
    <w:lvl w:ilvl="0">
      <w:lvlJc w:val="left"/>
      <w:lvlText w:val="(%1)"/>
      <w:numFmt w:val="lowerLetter"/>
      <w:start w:val="1"/>
    </w:lvl>
  </w:abstractNum>
  <w:abstractNum w:abstractNumId="206">
    <w:nsid w:val="3F8B0CBF"/>
    <w:multiLevelType w:val="hybridMultilevel"/>
    <w:lvl w:ilvl="0">
      <w:lvlJc w:val="left"/>
      <w:lvlText w:val="(%1)"/>
      <w:numFmt w:val="lowerLetter"/>
      <w:start w:val="2"/>
    </w:lvl>
  </w:abstractNum>
  <w:abstractNum w:abstractNumId="207">
    <w:nsid w:val="37E203AB"/>
    <w:multiLevelType w:val="hybridMultilevel"/>
    <w:lvl w:ilvl="0">
      <w:lvlJc w:val="left"/>
      <w:lvlText w:val="(%1)"/>
      <w:numFmt w:val="lowerRoman"/>
      <w:start w:val="1"/>
    </w:lvl>
  </w:abstractNum>
  <w:abstractNum w:abstractNumId="208">
    <w:nsid w:val="2586D60E"/>
    <w:multiLevelType w:val="hybridMultilevel"/>
    <w:lvl w:ilvl="0">
      <w:lvlJc w:val="left"/>
      <w:lvlText w:val="%1"/>
      <w:numFmt w:val="lowerLetter"/>
      <w:start w:val="1"/>
    </w:lvl>
    <w:lvl w:ilvl="1">
      <w:lvlJc w:val="left"/>
      <w:lvlText w:val="(%2)"/>
      <w:numFmt w:val="lowerLetter"/>
      <w:start w:val="4"/>
    </w:lvl>
  </w:abstractNum>
  <w:abstractNum w:abstractNumId="209">
    <w:nsid w:val="1F3DA4D5"/>
    <w:multiLevelType w:val="hybridMultilevel"/>
    <w:lvl w:ilvl="0">
      <w:lvlJc w:val="left"/>
      <w:lvlText w:val="(%1)"/>
      <w:numFmt w:val="lowerLetter"/>
      <w:start w:val="9"/>
    </w:lvl>
    <w:lvl w:ilvl="1">
      <w:lvlJc w:val="left"/>
      <w:lvlText w:val="%2"/>
      <w:numFmt w:val="lowerLetter"/>
      <w:start w:val="1"/>
    </w:lvl>
  </w:abstractNum>
  <w:abstractNum w:abstractNumId="210">
    <w:nsid w:val="74C93698"/>
    <w:multiLevelType w:val="hybridMultilevel"/>
    <w:lvl w:ilvl="0">
      <w:lvlJc w:val="left"/>
      <w:lvlText w:val="(%1)"/>
      <w:numFmt w:val="lowerLetter"/>
      <w:start w:val="1"/>
    </w:lvl>
    <w:lvl w:ilvl="1">
      <w:lvlJc w:val="left"/>
      <w:lvlText w:val="(%2)"/>
      <w:numFmt w:val="lowerRoman"/>
      <w:start w:val="1"/>
    </w:lvl>
  </w:abstractNum>
  <w:abstractNum w:abstractNumId="211">
    <w:nsid w:val="48781401"/>
    <w:multiLevelType w:val="hybridMultilevel"/>
    <w:lvl w:ilvl="0">
      <w:lvlJc w:val="left"/>
      <w:lvlText w:val="(%1)"/>
      <w:numFmt w:val="upperLetter"/>
      <w:start w:val="1"/>
    </w:lvl>
  </w:abstractNum>
  <w:abstractNum w:abstractNumId="212">
    <w:nsid w:val="186928D6"/>
    <w:multiLevelType w:val="hybridMultilevel"/>
    <w:lvl w:ilvl="0">
      <w:lvlJc w:val="left"/>
      <w:lvlText w:val="(%1)"/>
      <w:numFmt w:val="lowerRoman"/>
      <w:start w:val="3"/>
    </w:lvl>
    <w:lvl w:ilvl="1">
      <w:lvlJc w:val="left"/>
      <w:lvlText w:val="(%2)"/>
      <w:numFmt w:val="upperLetter"/>
      <w:start w:val="3"/>
    </w:lvl>
  </w:abstractNum>
  <w:abstractNum w:abstractNumId="213">
    <w:nsid w:val="47195E5"/>
    <w:multiLevelType w:val="hybridMultilevel"/>
    <w:lvl w:ilvl="0">
      <w:lvlJc w:val="left"/>
      <w:lvlText w:val="(%1)"/>
      <w:numFmt w:val="lowerRoman"/>
      <w:start w:val="3"/>
    </w:lvl>
  </w:abstractNum>
  <w:abstractNum w:abstractNumId="214">
    <w:nsid w:val="3746A5F2"/>
    <w:multiLevelType w:val="hybridMultilevel"/>
    <w:lvl w:ilvl="0">
      <w:lvlJc w:val="left"/>
      <w:lvlText w:val="%1"/>
      <w:numFmt w:val="lowerLetter"/>
      <w:start w:val="1"/>
    </w:lvl>
    <w:lvl w:ilvl="1">
      <w:lvlJc w:val="left"/>
      <w:lvlText w:val="(%2)"/>
      <w:numFmt w:val="lowerRoman"/>
      <w:start w:val="6"/>
    </w:lvl>
  </w:abstractNum>
  <w:abstractNum w:abstractNumId="215">
    <w:nsid w:val="682DFED6"/>
    <w:multiLevelType w:val="hybridMultilevel"/>
    <w:lvl w:ilvl="0">
      <w:lvlJc w:val="left"/>
      <w:lvlText w:val="(%1)"/>
      <w:numFmt w:val="lowerLetter"/>
      <w:start w:val="2"/>
    </w:lvl>
    <w:lvl w:ilvl="1">
      <w:lvlJc w:val="left"/>
      <w:lvlText w:val="%2"/>
      <w:numFmt w:val="lowerRoman"/>
      <w:start w:val="1"/>
    </w:lvl>
  </w:abstractNum>
  <w:abstractNum w:abstractNumId="216">
    <w:nsid w:val="606ED7F6"/>
    <w:multiLevelType w:val="hybridMultilevel"/>
    <w:lvl w:ilvl="0">
      <w:lvlJc w:val="left"/>
      <w:lvlText w:val="%1"/>
      <w:numFmt w:val="lowerRoman"/>
      <w:start w:val="1"/>
    </w:lvl>
    <w:lvl w:ilvl="1">
      <w:lvlJc w:val="left"/>
      <w:lvlText w:val="(%2)"/>
      <w:numFmt w:val="lowerLetter"/>
      <w:start w:val="4"/>
    </w:lvl>
  </w:abstractNum>
  <w:abstractNum w:abstractNumId="217">
    <w:nsid w:val="2D9DF57D"/>
    <w:multiLevelType w:val="hybridMultilevel"/>
    <w:lvl w:ilvl="0">
      <w:lvlJc w:val="left"/>
      <w:lvlText w:val="(%1)"/>
      <w:numFmt w:val="lowerRoman"/>
      <w:start w:val="4"/>
    </w:lvl>
    <w:lvl w:ilvl="1">
      <w:lvlJc w:val="left"/>
      <w:lvlText w:val="%2"/>
      <w:numFmt w:val="lowerLetter"/>
      <w:start w:val="1"/>
    </w:lvl>
  </w:abstractNum>
  <w:abstractNum w:abstractNumId="218">
    <w:nsid w:val="7FBD7A3E"/>
    <w:multiLevelType w:val="hybridMultilevel"/>
    <w:lvl w:ilvl="0">
      <w:lvlJc w:val="left"/>
      <w:lvlText w:val="(%1)"/>
      <w:numFmt w:val="lowerLetter"/>
      <w:start w:val="1"/>
    </w:lvl>
  </w:abstractNum>
  <w:abstractNum w:abstractNumId="219">
    <w:nsid w:val="490B7C5"/>
    <w:multiLevelType w:val="hybridMultilevel"/>
    <w:lvl w:ilvl="0">
      <w:lvlJc w:val="left"/>
      <w:lvlText w:val="(%1)"/>
      <w:numFmt w:val="lowerLetter"/>
      <w:start w:val="1"/>
    </w:lvl>
  </w:abstractNum>
  <w:abstractNum w:abstractNumId="220">
    <w:nsid w:val="4303A216"/>
    <w:multiLevelType w:val="hybridMultilevel"/>
    <w:lvl w:ilvl="0">
      <w:lvlJc w:val="left"/>
      <w:lvlText w:val="%1."/>
      <w:numFmt w:val="decimal"/>
      <w:start w:val="1"/>
    </w:lvl>
  </w:abstractNum>
  <w:abstractNum w:abstractNumId="221">
    <w:nsid w:val="19B8A08E"/>
    <w:multiLevelType w:val="hybridMultilevel"/>
    <w:lvl w:ilvl="0">
      <w:lvlJc w:val="left"/>
      <w:lvlText w:val="(%1)"/>
      <w:numFmt w:val="lowerLetter"/>
      <w:start w:val="1"/>
    </w:lvl>
  </w:abstractNum>
  <w:abstractNum w:abstractNumId="222">
    <w:nsid w:val="54B59621"/>
    <w:multiLevelType w:val="hybridMultilevel"/>
    <w:lvl w:ilvl="0">
      <w:lvlJc w:val="left"/>
      <w:lvlText w:val="(%1)"/>
      <w:numFmt w:val="lowerLetter"/>
      <w:start w:val="2"/>
    </w:lvl>
  </w:abstractNum>
  <w:abstractNum w:abstractNumId="223">
    <w:nsid w:val="5992A02E"/>
    <w:multiLevelType w:val="hybridMultilevel"/>
    <w:lvl w:ilvl="0">
      <w:lvlJc w:val="left"/>
      <w:lvlText w:val="%1."/>
      <w:numFmt w:val="decimal"/>
      <w:start w:val="3"/>
    </w:lvl>
  </w:abstractNum>
  <w:abstractNum w:abstractNumId="224">
    <w:nsid w:val="29EF532D"/>
    <w:multiLevelType w:val="hybridMultilevel"/>
    <w:lvl w:ilvl="0">
      <w:lvlJc w:val="left"/>
      <w:lvlText w:val="%1."/>
      <w:numFmt w:val="decimal"/>
      <w:start w:val="1"/>
    </w:lvl>
  </w:abstractNum>
  <w:abstractNum w:abstractNumId="225">
    <w:nsid w:val="71D601AF"/>
    <w:multiLevelType w:val="hybridMultilevel"/>
    <w:lvl w:ilvl="0">
      <w:lvlJc w:val="left"/>
      <w:lvlText w:val="A"/>
      <w:numFmt w:val="bullet"/>
      <w:start w:val="1"/>
    </w:lvl>
  </w:abstractNum>
  <w:abstractNum w:abstractNumId="226">
    <w:nsid w:val="52C77402"/>
    <w:multiLevelType w:val="hybridMultilevel"/>
    <w:lvl w:ilvl="0">
      <w:lvlJc w:val="left"/>
      <w:lvlText w:val="B"/>
      <w:numFmt w:val="bullet"/>
      <w:start w:val="1"/>
    </w:lvl>
  </w:abstractNum>
  <w:abstractNum w:abstractNumId="227">
    <w:nsid w:val="2BB5B1C6"/>
    <w:multiLevelType w:val="hybridMultilevel"/>
    <w:lvl w:ilvl="0">
      <w:lvlJc w:val="left"/>
      <w:lvlText w:val="C"/>
      <w:numFmt w:val="bullet"/>
      <w:start w:val="1"/>
    </w:lvl>
  </w:abstractNum>
  <w:abstractNum w:abstractNumId="228">
    <w:nsid w:val="66BE6B9"/>
    <w:multiLevelType w:val="hybridMultilevel"/>
    <w:lvl w:ilvl="0">
      <w:lvlJc w:val="left"/>
      <w:lvlText w:val="D"/>
      <w:numFmt w:val="bullet"/>
      <w:start w:val="1"/>
    </w:lvl>
  </w:abstractNum>
  <w:abstractNum w:abstractNumId="229">
    <w:nsid w:val="62234363"/>
    <w:multiLevelType w:val="hybridMultilevel"/>
    <w:lvl w:ilvl="0">
      <w:lvlJc w:val="left"/>
      <w:lvlText w:val="(%1)"/>
      <w:numFmt w:val="lowerRoman"/>
      <w:start w:val="3"/>
    </w:lvl>
  </w:abstractNum>
  <w:abstractNum w:abstractNumId="230">
    <w:nsid w:val="66D385C9"/>
    <w:multiLevelType w:val="hybridMultilevel"/>
    <w:lvl w:ilvl="0">
      <w:lvlJc w:val="left"/>
      <w:lvlText w:val="(%1)"/>
      <w:numFmt w:val="lowerLetter"/>
      <w:start w:val="1"/>
    </w:lvl>
  </w:abstractNum>
  <w:abstractNum w:abstractNumId="231">
    <w:nsid w:val="596F6D8A"/>
    <w:multiLevelType w:val="hybridMultilevel"/>
    <w:lvl w:ilvl="0">
      <w:lvlJc w:val="left"/>
      <w:lvlText w:val="(%1)"/>
      <w:numFmt w:val="lowerRoman"/>
      <w:start w:val="6"/>
    </w:lvl>
  </w:abstractNum>
  <w:abstractNum w:abstractNumId="232">
    <w:nsid w:val="5749361F"/>
    <w:multiLevelType w:val="hybridMultilevel"/>
    <w:lvl w:ilvl="0">
      <w:lvlJc w:val="left"/>
      <w:lvlText w:val="(%1)"/>
      <w:numFmt w:val="lowerRoman"/>
      <w:start w:val="6"/>
    </w:lvl>
  </w:abstractNum>
  <w:abstractNum w:abstractNumId="233">
    <w:nsid w:val="73BC6770"/>
    <w:multiLevelType w:val="hybridMultilevel"/>
    <w:lvl w:ilvl="0">
      <w:lvlJc w:val="left"/>
      <w:lvlText w:val="(%1)"/>
      <w:numFmt w:val="lowerLetter"/>
      <w:start w:val="3"/>
    </w:lvl>
  </w:abstractNum>
  <w:abstractNum w:abstractNumId="234">
    <w:nsid w:val="280E6897"/>
    <w:multiLevelType w:val="hybridMultilevel"/>
    <w:lvl w:ilvl="0">
      <w:lvlJc w:val="left"/>
      <w:lvlText w:val="(%1)"/>
      <w:numFmt w:val="lowerLetter"/>
      <w:start w:val="35"/>
    </w:lvl>
  </w:abstractNum>
  <w:abstractNum w:abstractNumId="235">
    <w:nsid w:val="605138DE"/>
    <w:multiLevelType w:val="hybridMultilevel"/>
    <w:lvl w:ilvl="0">
      <w:lvlJc w:val="left"/>
      <w:lvlText w:val="(%1)"/>
      <w:numFmt w:val="lowerLetter"/>
      <w:start w:val="1"/>
    </w:lvl>
  </w:abstractNum>
  <w:abstractNum w:abstractNumId="236">
    <w:nsid w:val="2622AD0C"/>
    <w:multiLevelType w:val="hybridMultilevel"/>
    <w:lvl w:ilvl="0">
      <w:lvlJc w:val="left"/>
      <w:lvlText w:val="(%1)"/>
      <w:numFmt w:val="lowerLetter"/>
      <w:start w:val="3"/>
    </w:lvl>
  </w:abstractNum>
  <w:abstractNum w:abstractNumId="237">
    <w:nsid w:val="67997556"/>
    <w:multiLevelType w:val="hybridMultilevel"/>
    <w:lvl w:ilvl="0">
      <w:lvlJc w:val="left"/>
      <w:lvlText w:val="(%1)"/>
      <w:numFmt w:val="lowerLetter"/>
      <w:start w:val="1"/>
    </w:lvl>
  </w:abstractNum>
  <w:abstractNum w:abstractNumId="238">
    <w:nsid w:val="18333C89"/>
    <w:multiLevelType w:val="hybridMultilevel"/>
    <w:lvl w:ilvl="0">
      <w:lvlJc w:val="left"/>
      <w:lvlText w:val="(%1)"/>
      <w:numFmt w:val="lowerRoman"/>
      <w:start w:val="1"/>
    </w:lvl>
  </w:abstractNum>
  <w:abstractNum w:abstractNumId="239">
    <w:nsid w:val="4BA9831A"/>
    <w:multiLevelType w:val="hybridMultilevel"/>
    <w:lvl w:ilvl="0">
      <w:lvlJc w:val="left"/>
      <w:lvlText w:val="(%1)"/>
      <w:numFmt w:val="lowerRoman"/>
      <w:start w:val="4"/>
    </w:lvl>
  </w:abstractNum>
  <w:abstractNum w:abstractNumId="240">
    <w:nsid w:val="6D71A2B"/>
    <w:multiLevelType w:val="hybridMultilevel"/>
    <w:lvl w:ilvl="0">
      <w:lvlJc w:val="left"/>
      <w:lvlText w:val="(%1)"/>
      <w:numFmt w:val="lowerLetter"/>
      <w:start w:val="1"/>
    </w:lvl>
  </w:abstractNum>
  <w:abstractNum w:abstractNumId="241">
    <w:nsid w:val="CFC7321"/>
    <w:multiLevelType w:val="hybridMultilevel"/>
    <w:lvl w:ilvl="0">
      <w:lvlJc w:val="left"/>
      <w:lvlText w:val="(%1)"/>
      <w:numFmt w:val="lowerLetter"/>
      <w:start w:val="6"/>
    </w:lvl>
  </w:abstractNum>
  <w:abstractNum w:abstractNumId="242">
    <w:nsid w:val="1421971B"/>
    <w:multiLevelType w:val="hybridMultilevel"/>
    <w:lvl w:ilvl="0">
      <w:lvlJc w:val="left"/>
      <w:lvlText w:val="(%1)"/>
      <w:numFmt w:val="lowerRoman"/>
      <w:start w:val="1"/>
    </w:lvl>
  </w:abstractNum>
  <w:abstractNum w:abstractNumId="243">
    <w:nsid w:val="1F404301"/>
    <w:multiLevelType w:val="hybridMultilevel"/>
    <w:lvl w:ilvl="0">
      <w:lvlJc w:val="left"/>
      <w:lvlText w:val="(%1)"/>
      <w:numFmt w:val="lowerLetter"/>
      <w:start w:val="1"/>
    </w:lvl>
  </w:abstractNum>
  <w:abstractNum w:abstractNumId="244">
    <w:nsid w:val="116E0907"/>
    <w:multiLevelType w:val="hybridMultilevel"/>
    <w:lvl w:ilvl="0">
      <w:lvlJc w:val="left"/>
      <w:lvlText w:val="(%1)"/>
      <w:numFmt w:val="lowerLetter"/>
      <w:start w:val="2"/>
    </w:lvl>
  </w:abstractNum>
  <w:abstractNum w:abstractNumId="245">
    <w:nsid w:val="4B683D0D"/>
    <w:multiLevelType w:val="hybridMultilevel"/>
    <w:lvl w:ilvl="0">
      <w:lvlJc w:val="left"/>
      <w:lvlText w:val="(%1)"/>
      <w:numFmt w:val="lowerLetter"/>
      <w:start w:val="1"/>
    </w:lvl>
  </w:abstractNum>
  <w:abstractNum w:abstractNumId="246">
    <w:nsid w:val="76E41D8"/>
    <w:multiLevelType w:val="hybridMultilevel"/>
    <w:lvl w:ilvl="0">
      <w:lvlJc w:val="left"/>
      <w:lvlText w:val="(%1)"/>
      <w:numFmt w:val="lowerLetter"/>
      <w:start w:val="2"/>
    </w:lvl>
  </w:abstractNum>
  <w:abstractNum w:abstractNumId="247">
    <w:nsid w:val="71DCE0FD"/>
    <w:multiLevelType w:val="hybridMultilevel"/>
    <w:lvl w:ilvl="0">
      <w:lvlJc w:val="left"/>
      <w:lvlText w:val="(%1)"/>
      <w:numFmt w:val="lowerLetter"/>
      <w:start w:val="1"/>
    </w:lvl>
  </w:abstractNum>
  <w:abstractNum w:abstractNumId="248">
    <w:nsid w:val="7906328B"/>
    <w:multiLevelType w:val="hybridMultilevel"/>
    <w:lvl w:ilvl="0">
      <w:lvlJc w:val="left"/>
      <w:lvlText w:val="(%1)"/>
      <w:numFmt w:val="lowerLetter"/>
      <w:start w:val="1"/>
    </w:lvl>
  </w:abstractNum>
  <w:abstractNum w:abstractNumId="249">
    <w:nsid w:val="72BBC16"/>
    <w:multiLevelType w:val="hybridMultilevel"/>
    <w:lvl w:ilvl="0">
      <w:lvlJc w:val="left"/>
      <w:lvlText w:val="(%1)"/>
      <w:numFmt w:val="lowerLetter"/>
      <w:start w:val="2"/>
    </w:lvl>
  </w:abstractNum>
  <w:abstractNum w:abstractNumId="250">
    <w:nsid w:val="766D98C2"/>
    <w:multiLevelType w:val="hybridMultilevel"/>
    <w:lvl w:ilvl="0">
      <w:lvlJc w:val="left"/>
      <w:lvlText w:val="(%1)"/>
      <w:numFmt w:val="lowerLetter"/>
      <w:start w:val="2"/>
    </w:lvl>
  </w:abstractNum>
  <w:abstractNum w:abstractNumId="251">
    <w:nsid w:val="3C09D4A1"/>
    <w:multiLevelType w:val="hybridMultilevel"/>
    <w:lvl w:ilvl="0">
      <w:lvlJc w:val="left"/>
      <w:lvlText w:val="%1"/>
      <w:numFmt w:val="upperLetter"/>
      <w:start w:val="1"/>
    </w:lvl>
    <w:lvl w:ilvl="1">
      <w:lvlJc w:val="left"/>
      <w:lvlText w:val="(%2)"/>
      <w:numFmt w:val="lowerLetter"/>
      <w:start w:val="1"/>
    </w:lvl>
  </w:abstractNum>
  <w:abstractNum w:abstractNumId="252">
    <w:nsid w:val="20E45CA4"/>
    <w:multiLevelType w:val="hybridMultilevel"/>
    <w:lvl w:ilvl="0">
      <w:lvlJc w:val="left"/>
      <w:lvlText w:val="(%1)"/>
      <w:numFmt w:val="upperLetter"/>
      <w:start w:val="1"/>
    </w:lvl>
    <w:lvl w:ilvl="1">
      <w:lvlJc w:val="left"/>
      <w:lvlText w:val="(%2)"/>
      <w:numFmt w:val="lowerLetter"/>
      <w:start w:val="2"/>
    </w:lvl>
  </w:abstractNum>
  <w:abstractNum w:abstractNumId="253">
    <w:nsid w:val="4B232EE3"/>
    <w:multiLevelType w:val="hybridMultilevel"/>
    <w:lvl w:ilvl="0">
      <w:lvlJc w:val="left"/>
      <w:lvlText w:val="(%1)"/>
      <w:numFmt w:val="lowerLetter"/>
      <w:start w:val="3"/>
    </w:lvl>
  </w:abstractNum>
  <w:abstractNum w:abstractNumId="254">
    <w:nsid w:val="159C74CF"/>
    <w:multiLevelType w:val="hybridMultilevel"/>
    <w:lvl w:ilvl="0">
      <w:lvlJc w:val="left"/>
      <w:lvlText w:val="(%1)"/>
      <w:numFmt w:val="lowerLetter"/>
      <w:start w:val="1"/>
    </w:lvl>
  </w:abstractNum>
  <w:abstractNum w:abstractNumId="255">
    <w:nsid w:val="4AD3AFD2"/>
    <w:multiLevelType w:val="hybridMultilevel"/>
    <w:lvl w:ilvl="0">
      <w:lvlJc w:val="left"/>
      <w:lvlText w:val="(%1)"/>
      <w:numFmt w:val="lowerRoman"/>
      <w:start w:val="1"/>
    </w:lvl>
    <w:lvl w:ilvl="1">
      <w:lvlJc w:val="left"/>
      <w:lvlText w:val="(%2)"/>
      <w:numFmt w:val="upperLetter"/>
      <w:start w:val="1"/>
    </w:lvl>
  </w:abstractNum>
  <w:abstractNum w:abstractNumId="256">
    <w:nsid w:val="3CF93092"/>
    <w:multiLevelType w:val="hybridMultilevel"/>
    <w:lvl w:ilvl="0">
      <w:lvlJc w:val="left"/>
      <w:lvlText w:val="%1"/>
      <w:numFmt w:val="lowerLetter"/>
      <w:start w:val="1"/>
    </w:lvl>
    <w:lvl w:ilvl="1">
      <w:lvlJc w:val="left"/>
      <w:lvlText w:val="(%2)"/>
      <w:numFmt w:val="lowerRoman"/>
      <w:start w:val="3"/>
    </w:lvl>
  </w:abstractNum>
  <w:abstractNum w:abstractNumId="257">
    <w:nsid w:val="6863E8D2"/>
    <w:multiLevelType w:val="hybridMultilevel"/>
    <w:lvl w:ilvl="0">
      <w:lvlJc w:val="left"/>
      <w:lvlText w:val="(%1)"/>
      <w:numFmt w:val="lowerLetter"/>
      <w:start w:val="2"/>
    </w:lvl>
    <w:lvl w:ilvl="1">
      <w:lvlJc w:val="left"/>
      <w:lvlText w:val="(%2)"/>
      <w:numFmt w:val="lowerRoman"/>
      <w:start w:val="1"/>
    </w:lvl>
  </w:abstractNum>
  <w:abstractNum w:abstractNumId="258">
    <w:nsid w:val="76896198"/>
    <w:multiLevelType w:val="hybridMultilevel"/>
    <w:lvl w:ilvl="0">
      <w:lvlJc w:val="left"/>
      <w:lvlText w:val="(%1)"/>
      <w:numFmt w:val="decimal"/>
      <w:start w:val="2"/>
    </w:lvl>
    <w:lvl w:ilvl="1">
      <w:lvlJc w:val="left"/>
      <w:lvlText w:val="(%2)"/>
      <w:numFmt w:val="lowerRoman"/>
      <w:start w:val="2"/>
    </w:lvl>
  </w:abstractNum>
  <w:abstractNum w:abstractNumId="259">
    <w:nsid w:val="4365174B"/>
    <w:multiLevelType w:val="hybridMultilevel"/>
    <w:lvl w:ilvl="0">
      <w:lvlJc w:val="left"/>
      <w:lvlText w:val="%1"/>
      <w:numFmt w:val="lowerLetter"/>
      <w:start w:val="1"/>
    </w:lvl>
    <w:lvl w:ilvl="1">
      <w:lvlJc w:val="left"/>
      <w:lvlText w:val="(%2)"/>
      <w:numFmt w:val="lowerRoman"/>
      <w:start w:val="4"/>
    </w:lvl>
  </w:abstractNum>
  <w:abstractNum w:abstractNumId="260">
    <w:nsid w:val="4A872C35"/>
    <w:multiLevelType w:val="hybridMultilevel"/>
    <w:lvl w:ilvl="0">
      <w:lvlJc w:val="left"/>
      <w:lvlText w:val="(%1)"/>
      <w:numFmt w:val="lowerLetter"/>
      <w:start w:val="3"/>
    </w:lvl>
    <w:lvl w:ilvl="1">
      <w:lvlJc w:val="left"/>
      <w:lvlText w:val="(%2)"/>
      <w:numFmt w:val="lowerRoman"/>
      <w:start w:val="1"/>
    </w:lvl>
  </w:abstractNum>
  <w:abstractNum w:abstractNumId="261">
    <w:nsid w:val="5D5CE761"/>
    <w:multiLevelType w:val="hybridMultilevel"/>
    <w:lvl w:ilvl="0">
      <w:lvlJc w:val="left"/>
      <w:lvlText w:val="(%1)"/>
      <w:numFmt w:val="lowerRoman"/>
      <w:start w:val="4"/>
    </w:lvl>
  </w:abstractNum>
  <w:abstractNum w:abstractNumId="262">
    <w:nsid w:val="1CD484D5"/>
    <w:multiLevelType w:val="hybridMultilevel"/>
    <w:lvl w:ilvl="0">
      <w:lvlJc w:val="left"/>
      <w:lvlText w:val="(%1)"/>
      <w:numFmt w:val="lowerLetter"/>
      <w:start w:val="4"/>
    </w:lvl>
    <w:lvl w:ilvl="1">
      <w:lvlJc w:val="left"/>
      <w:lvlText w:val="(%2)"/>
      <w:numFmt w:val="lowerRoman"/>
      <w:start w:val="1"/>
    </w:lvl>
  </w:abstractNum>
  <w:abstractNum w:abstractNumId="263">
    <w:nsid w:val="21D06255"/>
    <w:multiLevelType w:val="hybridMultilevel"/>
    <w:lvl w:ilvl="0">
      <w:lvlJc w:val="left"/>
      <w:lvlText w:val="(%1)"/>
      <w:numFmt w:val="lowerRoman"/>
      <w:start w:val="5"/>
    </w:lvl>
  </w:abstractNum>
  <w:abstractNum w:abstractNumId="264">
    <w:nsid w:val="51194ED1"/>
    <w:multiLevelType w:val="hybridMultilevel"/>
    <w:lvl w:ilvl="0">
      <w:lvlJc w:val="left"/>
      <w:lvlText w:val="(%1)"/>
      <w:numFmt w:val="lowerLetter"/>
      <w:start w:val="6"/>
    </w:lvl>
  </w:abstractNum>
  <w:abstractNum w:abstractNumId="265">
    <w:nsid w:val="44E2ED6C"/>
    <w:multiLevelType w:val="hybridMultilevel"/>
    <w:lvl w:ilvl="0">
      <w:lvlJc w:val="left"/>
      <w:lvlText w:val="%1"/>
      <w:numFmt w:val="lowerLetter"/>
      <w:start w:val="1"/>
    </w:lvl>
    <w:lvl w:ilvl="1">
      <w:lvlJc w:val="left"/>
      <w:lvlText w:val="(%2)"/>
      <w:numFmt w:val="lowerLetter"/>
      <w:start w:val="7"/>
    </w:lvl>
  </w:abstractNum>
  <w:abstractNum w:abstractNumId="266">
    <w:nsid w:val="2219B33"/>
    <w:multiLevelType w:val="hybridMultilevel"/>
    <w:lvl w:ilvl="0">
      <w:lvlJc w:val="left"/>
      <w:lvlText w:val="(%1)"/>
      <w:numFmt w:val="lowerLetter"/>
      <w:start w:val="35"/>
    </w:lvl>
    <w:lvl w:ilvl="1">
      <w:lvlJc w:val="left"/>
      <w:lvlText w:val="(%2)"/>
      <w:numFmt w:val="lowerLetter"/>
      <w:start w:val="9"/>
    </w:lvl>
  </w:abstractNum>
  <w:abstractNum w:abstractNumId="267">
    <w:nsid w:val="773BFBDD"/>
    <w:multiLevelType w:val="hybridMultilevel"/>
    <w:lvl w:ilvl="0">
      <w:lvlJc w:val="left"/>
      <w:lvlText w:val="(%1)"/>
      <w:numFmt w:val="lowerLetter"/>
      <w:start w:val="10"/>
    </w:lvl>
  </w:abstractNum>
  <w:abstractNum w:abstractNumId="268">
    <w:nsid w:val="2C7C62C2"/>
    <w:multiLevelType w:val="hybridMultilevel"/>
    <w:lvl w:ilvl="0">
      <w:lvlJc w:val="left"/>
      <w:lvlText w:val="(%1)"/>
      <w:numFmt w:val="lowerLetter"/>
      <w:start w:val="14"/>
    </w:lvl>
  </w:abstractNum>
  <w:abstractNum w:abstractNumId="269">
    <w:nsid w:val="1A54D7BC"/>
    <w:multiLevelType w:val="hybridMultilevel"/>
    <w:lvl w:ilvl="0">
      <w:lvlJc w:val="left"/>
      <w:lvlText w:val="(%1)"/>
      <w:numFmt w:val="lowerLetter"/>
      <w:start w:val="2"/>
    </w:lvl>
  </w:abstractNum>
  <w:abstractNum w:abstractNumId="270">
    <w:nsid w:val="42E57EF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1">
    <w:nsid w:val="33537CED"/>
    <w:multiLevelType w:val="hybridMultilevel"/>
    <w:lvl w:ilvl="0">
      <w:lvlJc w:val="left"/>
      <w:lvlText w:val="%1"/>
      <w:numFmt w:val="lowerLetter"/>
      <w:start w:val="1"/>
    </w:lvl>
    <w:lvl w:ilvl="1">
      <w:lvlJc w:val="left"/>
      <w:lvlText w:val="(%2)"/>
      <w:numFmt w:val="lowerRoman"/>
      <w:start w:val="3"/>
    </w:lvl>
  </w:abstractNum>
  <w:abstractNum w:abstractNumId="272">
    <w:nsid w:val="27514ADE"/>
    <w:multiLevelType w:val="hybridMultilevel"/>
    <w:lvl w:ilvl="0">
      <w:lvlJc w:val="left"/>
      <w:lvlText w:val="(%1)"/>
      <w:numFmt w:val="lowerLetter"/>
      <w:start w:val="4"/>
    </w:lvl>
    <w:lvl w:ilvl="1">
      <w:lvlJc w:val="left"/>
      <w:lvlText w:val="(%2)"/>
      <w:numFmt w:val="lowerRoman"/>
      <w:start w:val="1"/>
    </w:lvl>
  </w:abstractNum>
  <w:abstractNum w:abstractNumId="273">
    <w:nsid w:val="57071613"/>
    <w:multiLevelType w:val="hybridMultilevel"/>
    <w:lvl w:ilvl="0">
      <w:lvlJc w:val="left"/>
      <w:lvlText w:val="(%1)"/>
      <w:numFmt w:val="lowerLetter"/>
      <w:start w:val="5"/>
    </w:lvl>
    <w:lvl w:ilvl="1">
      <w:lvlJc w:val="left"/>
      <w:lvlText w:val="(%2)"/>
      <w:numFmt w:val="lowerRoman"/>
      <w:start w:val="1"/>
    </w:lvl>
  </w:abstractNum>
  <w:abstractNum w:abstractNumId="274">
    <w:nsid w:val="5293BFEF"/>
    <w:multiLevelType w:val="hybridMultilevel"/>
    <w:lvl w:ilvl="0">
      <w:lvlJc w:val="left"/>
      <w:lvlText w:val="(%1)"/>
      <w:numFmt w:val="lowerLetter"/>
      <w:start w:val="1"/>
    </w:lvl>
    <w:lvl w:ilvl="1">
      <w:lvlJc w:val="left"/>
      <w:lvlText w:val="(%2)"/>
      <w:numFmt w:val="lowerRoman"/>
      <w:start w:val="1"/>
    </w:lvl>
  </w:abstractNum>
  <w:abstractNum w:abstractNumId="275">
    <w:nsid w:val="38BF53E5"/>
    <w:multiLevelType w:val="hybridMultilevel"/>
    <w:lvl w:ilvl="0">
      <w:lvlJc w:val="left"/>
      <w:lvlText w:val="(%1)"/>
      <w:numFmt w:val="lowerLetter"/>
      <w:start w:val="2"/>
    </w:lvl>
    <w:lvl w:ilvl="1">
      <w:lvlJc w:val="left"/>
      <w:lvlText w:val="(%2)"/>
      <w:numFmt w:val="lowerRoman"/>
      <w:start w:val="1"/>
    </w:lvl>
  </w:abstractNum>
  <w:abstractNum w:abstractNumId="276">
    <w:nsid w:val="226F5320"/>
    <w:multiLevelType w:val="hybridMultilevel"/>
    <w:lvl w:ilvl="0">
      <w:lvlJc w:val="left"/>
      <w:lvlText w:val="%1"/>
      <w:numFmt w:val="lowerRoman"/>
      <w:start w:val="1"/>
    </w:lvl>
    <w:lvl w:ilvl="1">
      <w:lvlJc w:val="left"/>
      <w:lvlText w:val="(%2)"/>
      <w:numFmt w:val="lowerRoman"/>
      <w:start w:val="4"/>
    </w:lvl>
  </w:abstractNum>
  <w:abstractNum w:abstractNumId="277">
    <w:nsid w:val="5A0201C7"/>
    <w:multiLevelType w:val="hybridMultilevel"/>
    <w:lvl w:ilvl="0">
      <w:lvlJc w:val="left"/>
      <w:lvlText w:val="(%1)"/>
      <w:numFmt w:val="lowerRoman"/>
      <w:start w:val="4"/>
    </w:lvl>
    <w:lvl w:ilvl="1">
      <w:lvlJc w:val="left"/>
      <w:lvlText w:val="(%2)"/>
      <w:numFmt w:val="lowerRoman"/>
      <w:start w:val="5"/>
    </w:lvl>
  </w:abstractNum>
  <w:abstractNum w:abstractNumId="278">
    <w:nsid w:val="2A9C34E2"/>
    <w:multiLevelType w:val="hybridMultilevel"/>
    <w:lvl w:ilvl="0">
      <w:lvlJc w:val="left"/>
      <w:lvlText w:val="%1"/>
      <w:numFmt w:val="lowerLetter"/>
      <w:start w:val="1"/>
    </w:lvl>
    <w:lvl w:ilvl="1">
      <w:lvlJc w:val="left"/>
      <w:lvlText w:val="(%2)"/>
      <w:numFmt w:val="lowerRoman"/>
      <w:start w:val="8"/>
    </w:lvl>
  </w:abstractNum>
  <w:abstractNum w:abstractNumId="279">
    <w:nsid w:val="1B7585AB"/>
    <w:multiLevelType w:val="hybridMultilevel"/>
    <w:lvl w:ilvl="0">
      <w:lvlJc w:val="left"/>
      <w:lvlText w:val="(%1)"/>
      <w:numFmt w:val="lowerLetter"/>
      <w:start w:val="3"/>
    </w:lvl>
    <w:lvl w:ilvl="1">
      <w:lvlJc w:val="left"/>
      <w:lvlText w:val="%2"/>
      <w:numFmt w:val="lowerRoman"/>
      <w:start w:val="1"/>
    </w:lvl>
  </w:abstractNum>
  <w:abstractNum w:abstractNumId="280">
    <w:nsid w:val="612DBDDD"/>
    <w:multiLevelType w:val="hybridMultilevel"/>
    <w:lvl w:ilvl="0">
      <w:lvlJc w:val="left"/>
      <w:lvlText w:val="(%1)"/>
      <w:numFmt w:val="lowerLetter"/>
      <w:start w:val="1"/>
    </w:lvl>
  </w:abstractNum>
  <w:abstractNum w:abstractNumId="281">
    <w:nsid w:val="2109CDA4"/>
    <w:multiLevelType w:val="hybridMultilevel"/>
    <w:lvl w:ilvl="0">
      <w:lvlJc w:val="left"/>
      <w:lvlText w:val="(%1)"/>
      <w:numFmt w:val="lowerLetter"/>
      <w:start w:val="2"/>
    </w:lvl>
    <w:lvl w:ilvl="1">
      <w:lvlJc w:val="left"/>
      <w:lvlText w:val="(%2)"/>
      <w:numFmt w:val="lowerRoman"/>
      <w:start w:val="1"/>
    </w:lvl>
  </w:abstractNum>
  <w:abstractNum w:abstractNumId="282">
    <w:nsid w:val="577F5A4D"/>
    <w:multiLevelType w:val="hybridMultilevel"/>
    <w:lvl w:ilvl="0">
      <w:lvlJc w:val="left"/>
      <w:lvlText w:val="%1"/>
      <w:numFmt w:val="lowerLetter"/>
      <w:start w:val="1"/>
    </w:lvl>
    <w:lvl w:ilvl="1">
      <w:lvlJc w:val="left"/>
      <w:lvlText w:val="(%2)"/>
      <w:numFmt w:val="lowerLetter"/>
      <w:start w:val="2"/>
    </w:lvl>
  </w:abstractNum>
  <w:abstractNum w:abstractNumId="283">
    <w:nsid w:val="2121A81"/>
    <w:multiLevelType w:val="hybridMultilevel"/>
    <w:lvl w:ilvl="0">
      <w:lvlJc w:val="left"/>
      <w:lvlText w:val="(%1)"/>
      <w:numFmt w:val="lowerLetter"/>
      <w:start w:val="35"/>
    </w:lvl>
    <w:lvl w:ilvl="1">
      <w:lvlJc w:val="left"/>
      <w:lvlText w:val="%2"/>
      <w:numFmt w:val="lowerLetter"/>
      <w:start w:val="1"/>
    </w:lvl>
  </w:abstractNum>
  <w:abstractNum w:abstractNumId="284">
    <w:nsid w:val="6C2CFC88"/>
    <w:multiLevelType w:val="hybridMultilevel"/>
    <w:lvl w:ilvl="0">
      <w:lvlJc w:val="left"/>
      <w:lvlText w:val="(%1)"/>
      <w:numFmt w:val="lowerLetter"/>
      <w:start w:val="1"/>
    </w:lvl>
    <w:lvl w:ilvl="1">
      <w:lvlJc w:val="left"/>
      <w:lvlText w:val="(%2)"/>
      <w:numFmt w:val="lowerRoman"/>
      <w:start w:val="2"/>
    </w:lvl>
  </w:abstractNum>
  <w:abstractNum w:abstractNumId="285">
    <w:nsid w:val="6D1BCF1C"/>
    <w:multiLevelType w:val="hybridMultilevel"/>
    <w:lvl w:ilvl="0">
      <w:lvlJc w:val="left"/>
      <w:lvlText w:val="(%1)"/>
      <w:numFmt w:val="lowerLetter"/>
      <w:start w:val="35"/>
    </w:lvl>
    <w:lvl w:ilvl="1">
      <w:lvlJc w:val="left"/>
      <w:lvlText w:val="(%2)"/>
      <w:numFmt w:val="lowerRoman"/>
      <w:start w:val="4"/>
    </w:lvl>
  </w:abstractNum>
  <w:abstractNum w:abstractNumId="286">
    <w:nsid w:val="4CE5CA53"/>
    <w:multiLevelType w:val="hybridMultilevel"/>
    <w:lvl w:ilvl="0">
      <w:lvlJc w:val="left"/>
      <w:lvlText w:val="(%1)"/>
      <w:numFmt w:val="lowerLetter"/>
      <w:start w:val="3"/>
    </w:lvl>
    <w:lvl w:ilvl="1">
      <w:lvlJc w:val="left"/>
      <w:lvlText w:val="%2"/>
      <w:numFmt w:val="lowerRoman"/>
      <w:start w:val="1"/>
    </w:lvl>
  </w:abstractNum>
  <w:abstractNum w:abstractNumId="287">
    <w:nsid w:val="29262D1A"/>
    <w:multiLevelType w:val="hybridMultilevel"/>
    <w:lvl w:ilvl="0">
      <w:lvlJc w:val="left"/>
      <w:lvlText w:val="(%1)"/>
      <w:numFmt w:val="lowerLetter"/>
      <w:start w:val="1"/>
    </w:lvl>
    <w:lvl w:ilvl="1">
      <w:lvlJc w:val="left"/>
      <w:lvlText w:val="(%2)"/>
      <w:numFmt w:val="lowerRoman"/>
      <w:start w:val="1"/>
    </w:lvl>
  </w:abstractNum>
  <w:abstractNum w:abstractNumId="288">
    <w:nsid w:val="557FB7EE"/>
    <w:multiLevelType w:val="hybridMultilevel"/>
    <w:lvl w:ilvl="0">
      <w:lvlJc w:val="left"/>
      <w:lvlText w:val="(%1)"/>
      <w:numFmt w:val="lowerLetter"/>
      <w:start w:val="1"/>
    </w:lvl>
  </w:abstractNum>
  <w:abstractNum w:abstractNumId="289">
    <w:nsid w:val="436F2BEB"/>
    <w:multiLevelType w:val="hybridMultilevel"/>
    <w:lvl w:ilvl="0">
      <w:lvlJc w:val="left"/>
      <w:lvlText w:val="(%1)"/>
      <w:numFmt w:val="lowerLetter"/>
      <w:start w:val="1"/>
    </w:lvl>
  </w:abstractNum>
  <w:abstractNum w:abstractNumId="290">
    <w:nsid w:val="6C8B4466"/>
    <w:multiLevelType w:val="hybridMultilevel"/>
    <w:lvl w:ilvl="0">
      <w:lvlJc w:val="left"/>
      <w:lvlText w:val="(%1)"/>
      <w:numFmt w:val="lowerLetter"/>
      <w:start w:val="1"/>
    </w:lvl>
  </w:abstractNum>
  <w:abstractNum w:abstractNumId="291">
    <w:nsid w:val="2006E424"/>
    <w:multiLevelType w:val="hybridMultilevel"/>
    <w:lvl w:ilvl="0">
      <w:lvlJc w:val="left"/>
      <w:lvlText w:val="(%1)"/>
      <w:numFmt w:val="lowerLetter"/>
      <w:start w:val="2"/>
    </w:lvl>
    <w:lvl w:ilvl="1">
      <w:lvlJc w:val="left"/>
      <w:lvlText w:val="(%2)"/>
      <w:numFmt w:val="lowerLetter"/>
      <w:start w:val="35"/>
    </w:lvl>
  </w:abstractNum>
  <w:abstractNum w:abstractNumId="292">
    <w:nsid w:val="20CC134C"/>
    <w:multiLevelType w:val="hybridMultilevel"/>
    <w:lvl w:ilvl="0">
      <w:lvlJc w:val="left"/>
      <w:lvlText w:val="(%1)"/>
      <w:numFmt w:val="lowerLetter"/>
      <w:start w:val="3"/>
    </w:lvl>
  </w:abstractNum>
  <w:abstractNum w:abstractNumId="293">
    <w:nsid w:val="95FC93B"/>
    <w:multiLevelType w:val="hybridMultilevel"/>
    <w:lvl w:ilvl="0">
      <w:lvlJc w:val="left"/>
      <w:lvlText w:val="(%1)"/>
      <w:numFmt w:val="lowerLetter"/>
      <w:start w:val="1"/>
    </w:lvl>
  </w:abstractNum>
  <w:abstractNum w:abstractNumId="294">
    <w:nsid w:val="41D74679"/>
    <w:multiLevelType w:val="hybridMultilevel"/>
    <w:lvl w:ilvl="0">
      <w:lvlJc w:val="left"/>
      <w:lvlText w:val="(%1)"/>
      <w:numFmt w:val="lowerLetter"/>
      <w:start w:val="1"/>
    </w:lvl>
    <w:lvl w:ilvl="1">
      <w:lvlJc w:val="left"/>
      <w:lvlText w:val="(%2)"/>
      <w:numFmt w:val="lowerRoman"/>
      <w:start w:val="1"/>
    </w:lvl>
  </w:abstractNum>
  <w:abstractNum w:abstractNumId="295">
    <w:nsid w:val="71E5621E"/>
    <w:multiLevelType w:val="hybridMultilevel"/>
    <w:lvl w:ilvl="0">
      <w:lvlJc w:val="left"/>
      <w:lvlText w:val="(%1)"/>
      <w:numFmt w:val="lowerLetter"/>
      <w:start w:val="1"/>
    </w:lvl>
    <w:lvl w:ilvl="1">
      <w:lvlJc w:val="left"/>
      <w:lvlText w:val="(%2)"/>
      <w:numFmt w:val="lowerLetter"/>
      <w:start w:val="9"/>
    </w:lvl>
  </w:abstractNum>
  <w:abstractNum w:abstractNumId="296">
    <w:nsid w:val="4E42B6A8"/>
    <w:multiLevelType w:val="hybridMultilevel"/>
    <w:lvl w:ilvl="0">
      <w:lvlJc w:val="left"/>
      <w:lvlText w:val="(%1)"/>
      <w:numFmt w:val="lowerRoman"/>
      <w:start w:val="2"/>
    </w:lvl>
  </w:abstractNum>
  <w:abstractNum w:abstractNumId="297">
    <w:nsid w:val="43F8E1AC"/>
    <w:multiLevelType w:val="hybridMultilevel"/>
    <w:lvl w:ilvl="0">
      <w:lvlJc w:val="left"/>
      <w:lvlText w:val="%1"/>
      <w:numFmt w:val="lowerLetter"/>
      <w:start w:val="1"/>
    </w:lvl>
    <w:lvl w:ilvl="1">
      <w:lvlJc w:val="left"/>
      <w:lvlText w:val="(%2)"/>
      <w:numFmt w:val="lowerRoman"/>
      <w:start w:val="8"/>
    </w:lvl>
  </w:abstractNum>
  <w:abstractNum w:abstractNumId="298">
    <w:nsid w:val="69215DFB"/>
    <w:multiLevelType w:val="hybridMultilevel"/>
    <w:lvl w:ilvl="0">
      <w:lvlJc w:val="left"/>
      <w:lvlText w:val="(%1)"/>
      <w:numFmt w:val="lowerLetter"/>
      <w:start w:val="2"/>
    </w:lvl>
    <w:lvl w:ilvl="1">
      <w:lvlJc w:val="left"/>
      <w:lvlText w:val="%2"/>
      <w:numFmt w:val="lowerRoman"/>
      <w:start w:val="1"/>
    </w:lvl>
  </w:abstractNum>
  <w:abstractNum w:abstractNumId="299">
    <w:nsid w:val="7ABF196A"/>
    <w:multiLevelType w:val="hybridMultilevel"/>
    <w:lvl w:ilvl="0">
      <w:lvlJc w:val="left"/>
      <w:lvlText w:val="(%1)"/>
      <w:numFmt w:val="lowerLetter"/>
      <w:start w:val="4"/>
    </w:lvl>
    <w:lvl w:ilvl="1">
      <w:lvlJc w:val="left"/>
      <w:lvlText w:val="(%2)"/>
      <w:numFmt w:val="lowerLetter"/>
      <w:start w:val="9"/>
    </w:lvl>
  </w:abstractNum>
  <w:abstractNum w:abstractNumId="300">
    <w:nsid w:val="5E4DB968"/>
    <w:multiLevelType w:val="hybridMultilevel"/>
    <w:lvl w:ilvl="0">
      <w:lvlJc w:val="left"/>
      <w:lvlText w:val="(%1)"/>
      <w:numFmt w:val="lowerRoman"/>
      <w:start w:val="2"/>
    </w:lvl>
  </w:abstractNum>
  <w:abstractNum w:abstractNumId="301">
    <w:nsid w:val="2C06DCF3"/>
    <w:multiLevelType w:val="hybridMultilevel"/>
    <w:lvl w:ilvl="0">
      <w:lvlJc w:val="left"/>
      <w:lvlText w:val="(%1)"/>
      <w:numFmt w:val="lowerLetter"/>
      <w:start w:val="5"/>
    </w:lvl>
  </w:abstractNum>
  <w:abstractNum w:abstractNumId="302">
    <w:nsid w:val="2E129658"/>
    <w:multiLevelType w:val="hybridMultilevel"/>
    <w:lvl w:ilvl="0">
      <w:lvlJc w:val="left"/>
      <w:lvlText w:val="(%1)"/>
      <w:numFmt w:val="lowerLetter"/>
      <w:start w:val="1"/>
    </w:lvl>
    <w:lvl w:ilvl="1">
      <w:lvlJc w:val="left"/>
      <w:lvlText w:val="(%2)"/>
      <w:numFmt w:val="lowerRoman"/>
      <w:start w:val="1"/>
    </w:lvl>
  </w:abstractNum>
  <w:abstractNum w:abstractNumId="303">
    <w:nsid w:val="59F0446"/>
    <w:multiLevelType w:val="hybridMultilevel"/>
    <w:lvl w:ilvl="0">
      <w:lvlJc w:val="left"/>
      <w:lvlText w:val="(%1)"/>
      <w:numFmt w:val="lowerRoman"/>
      <w:start w:val="3"/>
    </w:lvl>
    <w:lvl w:ilvl="1">
      <w:lvlJc w:val="left"/>
      <w:lvlText w:val="(%2)"/>
      <w:numFmt w:val="upperLetter"/>
      <w:start w:val="1"/>
    </w:lvl>
  </w:abstractNum>
  <w:abstractNum w:abstractNumId="304">
    <w:nsid w:val="30DF306"/>
    <w:multiLevelType w:val="hybridMultilevel"/>
    <w:lvl w:ilvl="0">
      <w:lvlJc w:val="left"/>
      <w:lvlText w:val="%1"/>
      <w:numFmt w:val="lowerLetter"/>
      <w:start w:val="1"/>
    </w:lvl>
    <w:lvl w:ilvl="1">
      <w:lvlJc w:val="left"/>
      <w:lvlText w:val="(%2)"/>
      <w:numFmt w:val="lowerLetter"/>
      <w:start w:val="22"/>
    </w:lvl>
  </w:abstractNum>
  <w:abstractNum w:abstractNumId="305">
    <w:nsid w:val="A65647"/>
    <w:multiLevelType w:val="hybridMultilevel"/>
    <w:lvl w:ilvl="0">
      <w:lvlJc w:val="left"/>
      <w:lvlText w:val="(%1)"/>
      <w:numFmt w:val="lowerLetter"/>
      <w:start w:val="2"/>
    </w:lvl>
    <w:lvl w:ilvl="1">
      <w:lvlJc w:val="left"/>
      <w:lvlText w:val="%2"/>
      <w:numFmt w:val="lowerLetter"/>
      <w:start w:val="1"/>
    </w:lvl>
  </w:abstractNum>
  <w:abstractNum w:abstractNumId="306">
    <w:nsid w:val="3E5E582B"/>
    <w:multiLevelType w:val="hybridMultilevel"/>
    <w:lvl w:ilvl="0">
      <w:lvlJc w:val="left"/>
      <w:lvlText w:val="%1"/>
      <w:numFmt w:val="lowerRoman"/>
      <w:start w:val="1"/>
    </w:lvl>
    <w:lvl w:ilvl="1">
      <w:lvlJc w:val="left"/>
      <w:lvlText w:val="(%2)"/>
      <w:numFmt w:val="lowerLetter"/>
      <w:start w:val="1"/>
    </w:lvl>
  </w:abstractNum>
  <w:abstractNum w:abstractNumId="307">
    <w:nsid w:val="257D4626"/>
    <w:multiLevelType w:val="hybridMultilevel"/>
    <w:lvl w:ilvl="0">
      <w:lvlJc w:val="left"/>
      <w:lvlText w:val="(%1)"/>
      <w:numFmt w:val="lowerRoman"/>
      <w:start w:val="4"/>
    </w:lvl>
    <w:lvl w:ilvl="1">
      <w:lvlJc w:val="left"/>
      <w:lvlText w:val="%2"/>
      <w:numFmt w:val="lowerLetter"/>
      <w:start w:val="1"/>
    </w:lvl>
  </w:abstractNum>
  <w:abstractNum w:abstractNumId="308">
    <w:nsid w:val="5AA8580E"/>
    <w:multiLevelType w:val="hybridMultilevel"/>
    <w:lvl w:ilvl="0">
      <w:lvlJc w:val="left"/>
      <w:lvlText w:val="(%1)"/>
      <w:numFmt w:val="lowerLetter"/>
      <w:start w:val="2"/>
    </w:lvl>
  </w:abstractNum>
  <w:abstractNum w:abstractNumId="309">
    <w:nsid w:val="68FA8D0D"/>
    <w:multiLevelType w:val="hybridMultilevel"/>
    <w:lvl w:ilvl="0">
      <w:lvlJc w:val="left"/>
      <w:lvlText w:val="%1"/>
      <w:numFmt w:val="lowerLetter"/>
      <w:start w:val="1"/>
    </w:lvl>
    <w:lvl w:ilvl="1">
      <w:lvlJc w:val="left"/>
      <w:lvlText w:val="(%2)"/>
      <w:numFmt w:val="lowerRoman"/>
      <w:start w:val="1"/>
    </w:lvl>
  </w:abstractNum>
  <w:abstractNum w:abstractNumId="310">
    <w:nsid w:val="40F2CBD2"/>
    <w:multiLevelType w:val="hybridMultilevel"/>
    <w:lvl w:ilvl="0">
      <w:lvlJc w:val="left"/>
      <w:lvlText w:val="(%1)"/>
      <w:numFmt w:val="lowerLetter"/>
      <w:start w:val="5"/>
    </w:lvl>
    <w:lvl w:ilvl="1">
      <w:lvlJc w:val="left"/>
      <w:lvlText w:val="(%2)"/>
      <w:numFmt w:val="lowerRoman"/>
      <w:start w:val="3"/>
    </w:lvl>
  </w:abstractNum>
  <w:abstractNum w:abstractNumId="311">
    <w:nsid w:val="3BD615EB"/>
    <w:multiLevelType w:val="hybridMultilevel"/>
    <w:lvl w:ilvl="0">
      <w:lvlJc w:val="left"/>
      <w:lvlText w:val="(%1)"/>
      <w:numFmt w:val="lowerLetter"/>
      <w:start w:val="2"/>
    </w:lvl>
  </w:abstractNum>
  <w:abstractNum w:abstractNumId="312">
    <w:nsid w:val="A045AB2"/>
    <w:multiLevelType w:val="hybridMultilevel"/>
    <w:lvl w:ilvl="0">
      <w:lvlJc w:val="left"/>
      <w:lvlText w:val="%1"/>
      <w:numFmt w:val="lowerLetter"/>
      <w:start w:val="1"/>
    </w:lvl>
    <w:lvl w:ilvl="1">
      <w:lvlJc w:val="left"/>
      <w:lvlText w:val="(%2)"/>
      <w:numFmt w:val="lowerLetter"/>
      <w:start w:val="35"/>
    </w:lvl>
  </w:abstractNum>
  <w:abstractNum w:abstractNumId="313">
    <w:nsid w:val="1872261F"/>
    <w:multiLevelType w:val="hybridMultilevel"/>
    <w:lvl w:ilvl="0">
      <w:lvlJc w:val="left"/>
      <w:lvlText w:val="(%1)"/>
      <w:numFmt w:val="lowerLetter"/>
      <w:start w:val="4"/>
    </w:lvl>
    <w:lvl w:ilvl="1">
      <w:lvlJc w:val="left"/>
      <w:lvlText w:val="(%2)"/>
      <w:numFmt w:val="lowerLetter"/>
      <w:start w:val="9"/>
    </w:lvl>
  </w:abstractNum>
  <w:abstractNum w:abstractNumId="314">
    <w:nsid w:val="3DE8306C"/>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4"/>
    </w:lvl>
    <w:lvl w:ilvl="3">
      <w:lvlJc w:val="left"/>
      <w:lvlText w:val="(%4)"/>
      <w:numFmt w:val="decimal"/>
      <w:start w:val="1"/>
    </w:lvl>
  </w:abstractNum>
  <w:abstractNum w:abstractNumId="315">
    <w:nsid w:val="7631573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decimal"/>
      <w:start w:val="2"/>
    </w:lvl>
  </w:abstractNum>
  <w:abstractNum w:abstractNumId="316">
    <w:nsid w:val="58DF53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lvl w:ilvl="3">
      <w:lvlJc w:val="left"/>
      <w:lvlText w:val="%4"/>
      <w:numFmt w:val="decimal"/>
      <w:start w:val="1"/>
    </w:lvl>
  </w:abstractNum>
  <w:abstractNum w:abstractNumId="317">
    <w:nsid w:val="ACDFAC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318">
    <w:nsid w:val="1F578454"/>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319">
    <w:nsid w:val="5B0DAD2A"/>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320">
    <w:nsid w:val="4E3D26AB"/>
    <w:multiLevelType w:val="hybridMultilevel"/>
    <w:lvl w:ilvl="0">
      <w:lvlJc w:val="left"/>
      <w:lvlText w:val="(%1)"/>
      <w:numFmt w:val="lowerLetter"/>
      <w:start w:val="6"/>
    </w:lvl>
  </w:abstractNum>
  <w:abstractNum w:abstractNumId="321">
    <w:nsid w:val="BE2C8BA"/>
    <w:multiLevelType w:val="hybridMultilevel"/>
    <w:lvl w:ilvl="0">
      <w:lvlJc w:val="left"/>
      <w:lvlText w:val="(%1)"/>
      <w:numFmt w:val="lowerRoman"/>
      <w:start w:val="1"/>
    </w:lvl>
  </w:abstractNum>
  <w:abstractNum w:abstractNumId="322">
    <w:nsid w:val="7B14914E"/>
    <w:multiLevelType w:val="hybridMultilevel"/>
    <w:lvl w:ilvl="0">
      <w:lvlJc w:val="left"/>
      <w:lvlText w:val="(%1)"/>
      <w:numFmt w:val="lowerLetter"/>
      <w:start w:val="2"/>
    </w:lvl>
  </w:abstractNum>
  <w:abstractNum w:abstractNumId="323">
    <w:nsid w:val="6F0939F8"/>
    <w:multiLevelType w:val="hybridMultilevel"/>
    <w:lvl w:ilvl="0">
      <w:lvlJc w:val="left"/>
      <w:lvlText w:val="(%1)"/>
      <w:numFmt w:val="lowerLetter"/>
      <w:start w:val="3"/>
    </w:lvl>
  </w:abstractNum>
  <w:abstractNum w:abstractNumId="324">
    <w:nsid w:val="154291F6"/>
    <w:multiLevelType w:val="hybridMultilevel"/>
    <w:lvl w:ilvl="0">
      <w:lvlJc w:val="left"/>
      <w:lvlText w:val="(%1)"/>
      <w:numFmt w:val="lowerLetter"/>
      <w:start w:val="1"/>
    </w:lvl>
  </w:abstractNum>
  <w:abstractNum w:abstractNumId="325">
    <w:nsid w:val="3CEBD7C7"/>
    <w:multiLevelType w:val="hybridMultilevel"/>
    <w:lvl w:ilvl="0">
      <w:lvlJc w:val="left"/>
      <w:lvlText w:val="(%1)"/>
      <w:numFmt w:val="lowerLetter"/>
      <w:start w:val="2"/>
    </w:lvl>
  </w:abstractNum>
  <w:abstractNum w:abstractNumId="326">
    <w:nsid w:val="60EE9C16"/>
    <w:multiLevelType w:val="hybridMultilevel"/>
    <w:lvl w:ilvl="0">
      <w:lvlJc w:val="left"/>
      <w:lvlText w:val="(%1)"/>
      <w:numFmt w:val="lowerLetter"/>
      <w:start w:val="1"/>
    </w:lvl>
  </w:abstractNum>
  <w:abstractNum w:abstractNumId="327">
    <w:nsid w:val="638548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8">
    <w:nsid w:val="E4B973"/>
    <w:multiLevelType w:val="hybridMultilevel"/>
    <w:lvl w:ilvl="0">
      <w:lvlJc w:val="left"/>
      <w:lvlText w:val="%1"/>
      <w:numFmt w:val="lowerRoman"/>
      <w:start w:val="1"/>
    </w:lvl>
    <w:lvl w:ilvl="1">
      <w:lvlJc w:val="left"/>
      <w:lvlText w:val="(%2)"/>
      <w:numFmt w:val="upperLetter"/>
      <w:start w:val="4"/>
    </w:lvl>
  </w:abstractNum>
  <w:abstractNum w:abstractNumId="329">
    <w:nsid w:val="4A0FFA11"/>
    <w:multiLevelType w:val="hybridMultilevel"/>
    <w:lvl w:ilvl="0">
      <w:lvlJc w:val="left"/>
      <w:lvlText w:val="(%1)"/>
      <w:numFmt w:val="lowerRoman"/>
      <w:start w:val="4"/>
    </w:lvl>
    <w:lvl w:ilvl="1">
      <w:lvlJc w:val="left"/>
      <w:lvlText w:val="%2"/>
      <w:numFmt w:val="upperLetter"/>
      <w:start w:val="1"/>
    </w:lvl>
  </w:abstractNum>
  <w:abstractNum w:abstractNumId="330">
    <w:nsid w:val="5E446208"/>
    <w:multiLevelType w:val="hybridMultilevel"/>
    <w:lvl w:ilvl="0">
      <w:lvlJc w:val="left"/>
      <w:lvlText w:val="(%1)"/>
      <w:numFmt w:val="lowerRoman"/>
      <w:start w:val="9"/>
    </w:lvl>
  </w:abstractNum>
  <w:abstractNum w:abstractNumId="331">
    <w:nsid w:val="5F3272DB"/>
    <w:multiLevelType w:val="hybridMultilevel"/>
    <w:lvl w:ilvl="0">
      <w:lvlJc w:val="left"/>
      <w:lvlText w:val="(%1)"/>
      <w:numFmt w:val="upperLetter"/>
      <w:start w:val="2"/>
    </w:lvl>
    <w:lvl w:ilvl="1">
      <w:lvlJc w:val="left"/>
      <w:lvlText w:val="(%2)"/>
      <w:numFmt w:val="lowerRoman"/>
      <w:start w:val="13"/>
    </w:lvl>
  </w:abstractNum>
  <w:abstractNum w:abstractNumId="332">
    <w:nsid w:val="7616D704"/>
    <w:multiLevelType w:val="hybridMultilevel"/>
    <w:lvl w:ilvl="0">
      <w:lvlJc w:val="left"/>
      <w:lvlText w:val="(%1)"/>
      <w:numFmt w:val="lowerLetter"/>
      <w:start w:val="2"/>
    </w:lvl>
  </w:abstractNum>
  <w:abstractNum w:abstractNumId="333">
    <w:nsid w:val="C56F860"/>
    <w:multiLevelType w:val="hybridMultilevel"/>
    <w:lvl w:ilvl="0">
      <w:lvlJc w:val="left"/>
      <w:lvlText w:val="(%1)"/>
      <w:numFmt w:val="lowerLetter"/>
      <w:start w:val="4"/>
    </w:lvl>
    <w:lvl w:ilvl="1">
      <w:lvlJc w:val="left"/>
      <w:lvlText w:val="(%2)"/>
      <w:numFmt w:val="lowerLetter"/>
      <w:start w:val="35"/>
    </w:lvl>
  </w:abstractNum>
  <w:abstractNum w:abstractNumId="334">
    <w:nsid w:val="64D17722"/>
    <w:multiLevelType w:val="hybridMultilevel"/>
    <w:lvl w:ilvl="0">
      <w:lvlJc w:val="left"/>
      <w:lvlText w:val="(%1)"/>
      <w:numFmt w:val="lowerLetter"/>
      <w:start w:val="1"/>
    </w:lvl>
  </w:abstractNum>
  <w:abstractNum w:abstractNumId="335">
    <w:nsid w:val="7924CA0A"/>
    <w:multiLevelType w:val="hybridMultilevel"/>
    <w:lvl w:ilvl="0">
      <w:lvlJc w:val="left"/>
      <w:lvlText w:val="(%1)"/>
      <w:numFmt w:val="lowerLetter"/>
      <w:start w:val="2"/>
    </w:lvl>
  </w:abstractNum>
  <w:abstractNum w:abstractNumId="336">
    <w:nsid w:val="CFD4EA7"/>
    <w:multiLevelType w:val="hybridMultilevel"/>
    <w:lvl w:ilvl="0">
      <w:lvlJc w:val="left"/>
      <w:lvlText w:val="(%1)"/>
      <w:numFmt w:val="lowerLetter"/>
      <w:start w:val="1"/>
    </w:lvl>
  </w:abstractNum>
  <w:abstractNum w:abstractNumId="337">
    <w:nsid w:val="232FCF4D"/>
    <w:multiLevelType w:val="hybridMultilevel"/>
    <w:lvl w:ilvl="0">
      <w:lvlJc w:val="left"/>
      <w:lvlText w:val="(%1)"/>
      <w:numFmt w:val="lowerLetter"/>
      <w:start w:val="1"/>
    </w:lvl>
  </w:abstractNum>
  <w:abstractNum w:abstractNumId="338">
    <w:nsid w:val="1EA21031"/>
    <w:multiLevelType w:val="hybridMultilevel"/>
    <w:lvl w:ilvl="0">
      <w:lvlJc w:val="left"/>
      <w:lvlText w:val="(%1)"/>
      <w:numFmt w:val="lowerLetter"/>
      <w:start w:val="2"/>
    </w:lvl>
  </w:abstractNum>
  <w:abstractNum w:abstractNumId="339">
    <w:nsid w:val="67A5A6B5"/>
    <w:multiLevelType w:val="hybridMultilevel"/>
    <w:lvl w:ilvl="0">
      <w:lvlJc w:val="left"/>
      <w:lvlText w:val="(%1)"/>
      <w:numFmt w:val="lowerLetter"/>
      <w:start w:val="1"/>
    </w:lvl>
  </w:abstractNum>
  <w:abstractNum w:abstractNumId="340">
    <w:nsid w:val="C2A5C5B"/>
    <w:multiLevelType w:val="hybridMultilevel"/>
    <w:lvl w:ilvl="0">
      <w:lvlJc w:val="left"/>
      <w:lvlText w:val="(%1)"/>
      <w:numFmt w:val="lowerLetter"/>
      <w:start w:val="1"/>
    </w:lvl>
  </w:abstractNum>
  <w:abstractNum w:abstractNumId="341">
    <w:nsid w:val="5F94DC03"/>
    <w:multiLevelType w:val="hybridMultilevel"/>
    <w:lvl w:ilvl="0">
      <w:lvlJc w:val="left"/>
      <w:lvlText w:val="(%1)"/>
      <w:numFmt w:val="lowerLetter"/>
      <w:start w:val="3"/>
    </w:lvl>
  </w:abstractNum>
  <w:abstractNum w:abstractNumId="342">
    <w:nsid w:val="237BBCA0"/>
    <w:multiLevelType w:val="hybridMultilevel"/>
    <w:lvl w:ilvl="0">
      <w:lvlJc w:val="left"/>
      <w:lvlText w:val="(%1)"/>
      <w:numFmt w:val="lowerLetter"/>
      <w:start w:val="1"/>
    </w:lvl>
  </w:abstractNum>
  <w:abstractNum w:abstractNumId="343">
    <w:nsid w:val="162EB70D"/>
    <w:multiLevelType w:val="hybridMultilevel"/>
    <w:lvl w:ilvl="0">
      <w:lvlJc w:val="left"/>
      <w:lvlText w:val="(%1)"/>
      <w:numFmt w:val="lowerLetter"/>
      <w:start w:val="1"/>
    </w:lvl>
  </w:abstractNum>
  <w:abstractNum w:abstractNumId="344">
    <w:nsid w:val="78070222"/>
    <w:multiLevelType w:val="hybridMultilevel"/>
    <w:lvl w:ilvl="0">
      <w:lvlJc w:val="left"/>
      <w:lvlText w:val="(%1)"/>
      <w:numFmt w:val="lowerLetter"/>
      <w:start w:val="6"/>
    </w:lvl>
  </w:abstractNum>
  <w:abstractNum w:abstractNumId="345">
    <w:nsid w:val="6163ED0D"/>
    <w:multiLevelType w:val="hybridMultilevel"/>
    <w:lvl w:ilvl="0">
      <w:lvlJc w:val="left"/>
      <w:lvlText w:val="%1"/>
      <w:numFmt w:val="lowerLetter"/>
      <w:start w:val="1"/>
    </w:lvl>
    <w:lvl w:ilvl="1">
      <w:lvlJc w:val="left"/>
      <w:lvlText w:val="(%2)"/>
      <w:numFmt w:val="lowerLetter"/>
      <w:start w:val="12"/>
    </w:lvl>
  </w:abstractNum>
  <w:abstractNum w:abstractNumId="346">
    <w:nsid w:val="C600E47"/>
    <w:multiLevelType w:val="hybridMultilevel"/>
    <w:lvl w:ilvl="0">
      <w:lvlJc w:val="left"/>
      <w:lvlText w:val="(%1)"/>
      <w:numFmt w:val="lowerLetter"/>
      <w:start w:val="9"/>
    </w:lvl>
    <w:lvl w:ilvl="1">
      <w:lvlJc w:val="left"/>
      <w:lvlText w:val="%2"/>
      <w:numFmt w:val="lowerLetter"/>
      <w:start w:val="1"/>
    </w:lvl>
  </w:abstractNum>
  <w:abstractNum w:abstractNumId="347">
    <w:nsid w:val="7D94F75D"/>
    <w:multiLevelType w:val="hybridMultilevel"/>
    <w:lvl w:ilvl="0">
      <w:lvlJc w:val="left"/>
      <w:lvlText w:val="(%1)"/>
      <w:numFmt w:val="lowerRoman"/>
      <w:start w:val="2"/>
    </w:lvl>
  </w:abstractNum>
  <w:abstractNum w:abstractNumId="348">
    <w:nsid w:val="6C31E7CD"/>
    <w:multiLevelType w:val="hybridMultilevel"/>
    <w:lvl w:ilvl="0">
      <w:lvlJc w:val="left"/>
      <w:lvlText w:val="(%1)"/>
      <w:numFmt w:val="lowerLetter"/>
      <w:start w:val="1"/>
    </w:lvl>
  </w:abstractNum>
  <w:abstractNum w:abstractNumId="349">
    <w:nsid w:val="2BB7929B"/>
    <w:multiLevelType w:val="hybridMultilevel"/>
    <w:lvl w:ilvl="0">
      <w:lvlJc w:val="left"/>
      <w:lvlText w:val="(%1)"/>
      <w:numFmt w:val="lowerLetter"/>
      <w:start w:val="6"/>
    </w:lvl>
  </w:abstractNum>
  <w:abstractNum w:abstractNumId="350">
    <w:nsid w:val="58A2A487"/>
    <w:multiLevelType w:val="hybridMultilevel"/>
    <w:lvl w:ilvl="0">
      <w:lvlJc w:val="left"/>
      <w:lvlText w:val="(%1)"/>
      <w:numFmt w:val="lowerLetter"/>
      <w:start w:val="2"/>
    </w:lvl>
  </w:abstractNum>
  <w:abstractNum w:abstractNumId="351">
    <w:nsid w:val="3A6F0E78"/>
    <w:multiLevelType w:val="hybridMultilevel"/>
    <w:lvl w:ilvl="0">
      <w:lvlJc w:val="left"/>
      <w:lvlText w:val="%1"/>
      <w:numFmt w:val="decimal"/>
      <w:start w:val="1"/>
    </w:lvl>
    <w:lvl w:ilvl="1">
      <w:lvlJc w:val="left"/>
      <w:lvlText w:val="(%2)"/>
      <w:numFmt w:val="lowerLetter"/>
      <w:start w:val="1"/>
    </w:lvl>
  </w:abstractNum>
  <w:abstractNum w:abstractNumId="352">
    <w:nsid w:val="379A5B56"/>
    <w:multiLevelType w:val="hybridMultilevel"/>
    <w:lvl w:ilvl="0">
      <w:lvlJc w:val="left"/>
      <w:lvlText w:val="(%1)"/>
      <w:numFmt w:val="decimal"/>
      <w:start w:val="10"/>
    </w:lvl>
    <w:lvl w:ilvl="1">
      <w:lvlJc w:val="left"/>
      <w:lvlText w:val="(%2)"/>
      <w:numFmt w:val="lowerLetter"/>
      <w:start w:val="2"/>
    </w:lvl>
  </w:abstractNum>
  <w:abstractNum w:abstractNumId="353">
    <w:nsid w:val="53B735D5"/>
    <w:multiLevelType w:val="hybridMultilevel"/>
    <w:lvl w:ilvl="0">
      <w:lvlJc w:val="left"/>
      <w:lvlText w:val="(%1)"/>
      <w:numFmt w:val="lowerLetter"/>
      <w:start w:val="1"/>
    </w:lvl>
  </w:abstractNum>
  <w:abstractNum w:abstractNumId="354">
    <w:nsid w:val="29784870"/>
    <w:multiLevelType w:val="hybridMultilevel"/>
    <w:lvl w:ilvl="0">
      <w:lvlJc w:val="left"/>
      <w:lvlText w:val="(%1)"/>
      <w:numFmt w:val="lowerLetter"/>
      <w:start w:val="1"/>
    </w:lvl>
  </w:abstractNum>
  <w:abstractNum w:abstractNumId="355">
    <w:nsid w:val="4CDCED4C"/>
    <w:multiLevelType w:val="hybridMultilevel"/>
    <w:lvl w:ilvl="0">
      <w:lvlJc w:val="left"/>
      <w:lvlText w:val="(%1)"/>
      <w:numFmt w:val="lowerLetter"/>
      <w:start w:val="1"/>
    </w:lvl>
  </w:abstractNum>
  <w:abstractNum w:abstractNumId="356">
    <w:nsid w:val="10A30D9C"/>
    <w:multiLevelType w:val="hybridMultilevel"/>
    <w:lvl w:ilvl="0">
      <w:lvlJc w:val="left"/>
      <w:lvlText w:val="(%1)"/>
      <w:numFmt w:val="lowerLetter"/>
      <w:start w:val="2"/>
    </w:lvl>
    <w:lvl w:ilvl="1">
      <w:lvlJc w:val="left"/>
      <w:lvlText w:val="(%2)"/>
      <w:numFmt w:val="lowerRoman"/>
      <w:start w:val="1"/>
    </w:lvl>
  </w:abstractNum>
  <w:abstractNum w:abstractNumId="357">
    <w:nsid w:val="A66E486"/>
    <w:multiLevelType w:val="hybridMultilevel"/>
    <w:lvl w:ilvl="0">
      <w:lvlJc w:val="left"/>
      <w:lvlText w:val="(%1)"/>
      <w:numFmt w:val="lowerRoman"/>
      <w:start w:val="4"/>
    </w:lvl>
  </w:abstractNum>
  <w:abstractNum w:abstractNumId="358">
    <w:nsid w:val="306235EA"/>
    <w:multiLevelType w:val="hybridMultilevel"/>
    <w:lvl w:ilvl="0">
      <w:lvlJc w:val="left"/>
      <w:lvlText w:val="%1"/>
      <w:numFmt w:val="lowerLetter"/>
      <w:start w:val="1"/>
    </w:lvl>
    <w:lvl w:ilvl="1">
      <w:lvlJc w:val="left"/>
      <w:lvlText w:val="(%2)"/>
      <w:numFmt w:val="lowerLetter"/>
      <w:start w:val="6"/>
    </w:lvl>
  </w:abstractNum>
  <w:abstractNum w:abstractNumId="359">
    <w:nsid w:val="1187C70F"/>
    <w:multiLevelType w:val="hybridMultilevel"/>
    <w:lvl w:ilvl="0">
      <w:lvlJc w:val="left"/>
      <w:lvlText w:val="(%1)"/>
      <w:numFmt w:val="lowerLetter"/>
      <w:start w:val="9"/>
    </w:lvl>
    <w:lvl w:ilvl="1">
      <w:lvlJc w:val="left"/>
      <w:lvlText w:val="%2"/>
      <w:numFmt w:val="lowerLetter"/>
      <w:start w:val="1"/>
    </w:lvl>
  </w:abstractNum>
  <w:abstractNum w:abstractNumId="360">
    <w:nsid w:val="5476DE98"/>
    <w:multiLevelType w:val="hybridMultilevel"/>
    <w:lvl w:ilvl="0">
      <w:lvlJc w:val="left"/>
      <w:lvlText w:val="(%1)"/>
      <w:numFmt w:val="lowerLetter"/>
      <w:start w:val="8"/>
    </w:lvl>
  </w:abstractNum>
  <w:abstractNum w:abstractNumId="361">
    <w:nsid w:val="EA697F2"/>
    <w:multiLevelType w:val="hybridMultilevel"/>
    <w:lvl w:ilvl="0">
      <w:lvlJc w:val="left"/>
      <w:lvlText w:val="(%1)"/>
      <w:numFmt w:val="lowerLetter"/>
      <w:start w:val="1"/>
    </w:lvl>
  </w:abstractNum>
  <w:abstractNum w:abstractNumId="362">
    <w:nsid w:val="70BA39EB"/>
    <w:multiLevelType w:val="hybridMultilevel"/>
    <w:lvl w:ilvl="0">
      <w:lvlJc w:val="left"/>
      <w:lvlText w:val="(%1)"/>
      <w:numFmt w:val="lowerLetter"/>
      <w:start w:val="1"/>
    </w:lvl>
  </w:abstractNum>
  <w:abstractNum w:abstractNumId="363">
    <w:nsid w:val="4A8DB59C"/>
    <w:multiLevelType w:val="hybridMultilevel"/>
    <w:lvl w:ilvl="0">
      <w:lvlJc w:val="left"/>
      <w:lvlText w:val="(%1)"/>
      <w:numFmt w:val="lowerLetter"/>
      <w:start w:val="3"/>
    </w:lvl>
  </w:abstractNum>
  <w:abstractNum w:abstractNumId="364">
    <w:nsid w:val="1AFD9053"/>
    <w:multiLevelType w:val="hybridMultilevel"/>
    <w:lvl w:ilvl="0">
      <w:lvlJc w:val="left"/>
      <w:lvlText w:val="(%1)"/>
      <w:numFmt w:val="lowerLetter"/>
      <w:start w:val="14"/>
    </w:lvl>
  </w:abstractNum>
  <w:abstractNum w:abstractNumId="365">
    <w:nsid w:val="558BB10D"/>
    <w:multiLevelType w:val="hybridMultilevel"/>
    <w:lvl w:ilvl="0">
      <w:lvlJc w:val="left"/>
      <w:lvlText w:val="(%1)"/>
      <w:numFmt w:val="lowerLetter"/>
      <w:start w:val="1"/>
    </w:lvl>
  </w:abstractNum>
  <w:abstractNum w:abstractNumId="366">
    <w:nsid w:val="43B27FA7"/>
    <w:multiLevelType w:val="hybridMultilevel"/>
    <w:lvl w:ilvl="0">
      <w:lvlJc w:val="left"/>
      <w:lvlText w:val="(%1)"/>
      <w:numFmt w:val="lowerLetter"/>
      <w:start w:val="8"/>
    </w:lvl>
  </w:abstractNum>
  <w:abstractNum w:abstractNumId="367">
    <w:nsid w:val="27FADEFA"/>
    <w:multiLevelType w:val="hybridMultilevel"/>
    <w:lvl w:ilvl="0">
      <w:lvlJc w:val="left"/>
      <w:lvlText w:val="(%1)"/>
      <w:numFmt w:val="lowerLetter"/>
      <w:start w:val="13"/>
    </w:lvl>
  </w:abstractNum>
  <w:abstractNum w:abstractNumId="368">
    <w:nsid w:val="78BB805A"/>
    <w:multiLevelType w:val="hybridMultilevel"/>
    <w:lvl w:ilvl="0">
      <w:lvlJc w:val="left"/>
      <w:lvlText w:val="(%1)"/>
      <w:numFmt w:val="lowerLetter"/>
      <w:start w:val="1"/>
    </w:lvl>
    <w:lvl w:ilvl="1">
      <w:lvlJc w:val="left"/>
      <w:lvlText w:val="(%2)"/>
      <w:numFmt w:val="lowerRoman"/>
      <w:start w:val="1"/>
    </w:lvl>
  </w:abstractNum>
  <w:abstractNum w:abstractNumId="369">
    <w:nsid w:val="62548FD8"/>
    <w:multiLevelType w:val="hybridMultilevel"/>
    <w:lvl w:ilvl="0">
      <w:lvlJc w:val="left"/>
      <w:lvlText w:val="(%1)"/>
      <w:numFmt w:val="lowerRoman"/>
      <w:start w:val="10"/>
    </w:lvl>
  </w:abstractNum>
  <w:abstractNum w:abstractNumId="370">
    <w:nsid w:val="FA085B0"/>
    <w:multiLevelType w:val="hybridMultilevel"/>
    <w:lvl w:ilvl="0">
      <w:lvlJc w:val="left"/>
      <w:lvlText w:val="(%1)"/>
      <w:numFmt w:val="lowerLetter"/>
      <w:start w:val="2"/>
    </w:lvl>
    <w:lvl w:ilvl="1">
      <w:lvlJc w:val="left"/>
      <w:lvlText w:val="(%2)"/>
      <w:numFmt w:val="lowerLetter"/>
      <w:start w:val="9"/>
    </w:lvl>
  </w:abstractNum>
  <w:abstractNum w:abstractNumId="371">
    <w:nsid w:val="4E5DCB5"/>
    <w:multiLevelType w:val="hybridMultilevel"/>
    <w:lvl w:ilvl="0">
      <w:lvlJc w:val="left"/>
      <w:lvlText w:val="(%1)"/>
      <w:numFmt w:val="lowerRoman"/>
      <w:start w:val="2"/>
    </w:lvl>
  </w:abstractNum>
  <w:abstractNum w:abstractNumId="372">
    <w:nsid w:val="41E96BDB"/>
    <w:multiLevelType w:val="hybridMultilevel"/>
    <w:lvl w:ilvl="0">
      <w:lvlJc w:val="left"/>
      <w:lvlText w:val="(%1)"/>
      <w:numFmt w:val="lowerLetter"/>
      <w:start w:val="1"/>
    </w:lvl>
  </w:abstractNum>
  <w:abstractNum w:abstractNumId="373">
    <w:nsid w:val="331C4250"/>
    <w:multiLevelType w:val="hybridMultilevel"/>
    <w:lvl w:ilvl="0">
      <w:lvlJc w:val="left"/>
      <w:lvlText w:val="(%1)"/>
      <w:numFmt w:val="lowerLetter"/>
      <w:start w:val="4"/>
    </w:lvl>
  </w:abstractNum>
  <w:abstractNum w:abstractNumId="374">
    <w:nsid w:val="1B1493C2"/>
    <w:multiLevelType w:val="hybridMultilevel"/>
    <w:lvl w:ilvl="0">
      <w:lvlJc w:val="left"/>
      <w:lvlText w:val="%1"/>
      <w:numFmt w:val="lowerLetter"/>
      <w:start w:val="1"/>
    </w:lvl>
    <w:lvl w:ilvl="1">
      <w:lvlJc w:val="left"/>
      <w:lvlText w:val="(%2)"/>
      <w:numFmt w:val="lowerLetter"/>
      <w:start w:val="1"/>
    </w:lvl>
  </w:abstractNum>
  <w:abstractNum w:abstractNumId="375">
    <w:nsid w:val="39F06DFD"/>
    <w:multiLevelType w:val="hybridMultilevel"/>
    <w:lvl w:ilvl="0">
      <w:lvlJc w:val="left"/>
      <w:lvlText w:val="(%1)"/>
      <w:numFmt w:val="lowerLetter"/>
      <w:start w:val="9"/>
    </w:lvl>
    <w:lvl w:ilvl="1">
      <w:lvlJc w:val="left"/>
      <w:lvlText w:val="(%2)"/>
      <w:numFmt w:val="lowerLetter"/>
      <w:start w:val="10"/>
    </w:lvl>
  </w:abstractNum>
  <w:abstractNum w:abstractNumId="376">
    <w:nsid w:val="14802F5D"/>
    <w:multiLevelType w:val="hybridMultilevel"/>
    <w:lvl w:ilvl="0">
      <w:lvlJc w:val="left"/>
      <w:lvlText w:val="%1"/>
      <w:numFmt w:val="lowerLetter"/>
      <w:start w:val="1"/>
    </w:lvl>
    <w:lvl w:ilvl="1">
      <w:lvlJc w:val="left"/>
      <w:lvlText w:val="(%2)"/>
      <w:numFmt w:val="lowerLetter"/>
      <w:start w:val="1"/>
    </w:lvl>
  </w:abstractNum>
  <w:abstractNum w:abstractNumId="377">
    <w:nsid w:val="2774A209"/>
    <w:multiLevelType w:val="hybridMultilevel"/>
    <w:lvl w:ilvl="0">
      <w:lvlJc w:val="left"/>
      <w:lvlText w:val="(%1)"/>
      <w:numFmt w:val="lowerLetter"/>
      <w:start w:val="61"/>
    </w:lvl>
    <w:lvl w:ilvl="1">
      <w:lvlJc w:val="left"/>
      <w:lvlText w:val="(%2)"/>
      <w:numFmt w:val="lowerLetter"/>
      <w:start w:val="5"/>
    </w:lvl>
  </w:abstractNum>
  <w:abstractNum w:abstractNumId="378">
    <w:nsid w:val="3785655A"/>
    <w:multiLevelType w:val="hybridMultilevel"/>
    <w:lvl w:ilvl="0">
      <w:lvlJc w:val="left"/>
      <w:lvlText w:val="%1"/>
      <w:numFmt w:val="lowerRoman"/>
      <w:start w:val="1"/>
    </w:lvl>
    <w:lvl w:ilvl="1">
      <w:lvlJc w:val="left"/>
      <w:lvlText w:val="(%2)"/>
      <w:numFmt w:val="lowerRoman"/>
      <w:start w:val="1"/>
    </w:lvl>
  </w:abstractNum>
  <w:abstractNum w:abstractNumId="379">
    <w:nsid w:val="B2172A"/>
    <w:multiLevelType w:val="hybridMultilevel"/>
    <w:lvl w:ilvl="0">
      <w:lvlJc w:val="left"/>
      <w:lvlText w:val="(%1)"/>
      <w:numFmt w:val="lowerRoman"/>
      <w:start w:val="1"/>
    </w:lvl>
    <w:lvl w:ilvl="1">
      <w:lvlJc w:val="left"/>
      <w:lvlText w:val="%2"/>
      <w:numFmt w:val="lowerRoman"/>
      <w:start w:val="1"/>
    </w:lvl>
  </w:abstractNum>
  <w:abstractNum w:abstractNumId="380">
    <w:nsid w:val="532C34A5"/>
    <w:multiLevelType w:val="hybridMultilevel"/>
    <w:lvl w:ilvl="0">
      <w:lvlJc w:val="left"/>
      <w:lvlText w:val="(%1)"/>
      <w:numFmt w:val="lowerRoman"/>
      <w:start w:val="2"/>
    </w:lvl>
  </w:abstractNum>
  <w:abstractNum w:abstractNumId="381">
    <w:nsid w:val="102809E2"/>
    <w:multiLevelType w:val="hybridMultilevel"/>
    <w:lvl w:ilvl="0">
      <w:lvlJc w:val="left"/>
      <w:lvlText w:val="(%1)"/>
      <w:numFmt w:val="lowerLetter"/>
      <w:start w:val="1"/>
    </w:lvl>
  </w:abstractNum>
  <w:abstractNum w:abstractNumId="382">
    <w:nsid w:val="3B2125A3"/>
    <w:multiLevelType w:val="hybridMultilevel"/>
    <w:lvl w:ilvl="0">
      <w:lvlJc w:val="left"/>
      <w:lvlText w:val="(%1)"/>
      <w:numFmt w:val="lowerLetter"/>
      <w:start w:val="1"/>
    </w:lvl>
  </w:abstractNum>
  <w:abstractNum w:abstractNumId="383">
    <w:nsid w:val="AC68FFB"/>
    <w:multiLevelType w:val="hybridMultilevel"/>
    <w:lvl w:ilvl="0">
      <w:lvlJc w:val="left"/>
      <w:lvlText w:val="(%1)"/>
      <w:numFmt w:val="lowerLetter"/>
      <w:start w:val="1"/>
    </w:lvl>
  </w:abstractNum>
  <w:abstractNum w:abstractNumId="384">
    <w:nsid w:val="63DF3FB7"/>
    <w:multiLevelType w:val="hybridMultilevel"/>
    <w:lvl w:ilvl="0">
      <w:lvlJc w:val="left"/>
      <w:lvlText w:val="(%1)"/>
      <w:numFmt w:val="lowerLetter"/>
      <w:start w:val="1"/>
    </w:lvl>
  </w:abstractNum>
  <w:abstractNum w:abstractNumId="385">
    <w:nsid w:val="64996E13"/>
    <w:multiLevelType w:val="hybridMultilevel"/>
    <w:lvl w:ilvl="0">
      <w:lvlJc w:val="left"/>
      <w:lvlText w:val="(%1)"/>
      <w:numFmt w:val="lowerLetter"/>
      <w:start w:val="2"/>
    </w:lvl>
    <w:lvl w:ilvl="1">
      <w:lvlJc w:val="left"/>
      <w:lvlText w:val="(%2)"/>
      <w:numFmt w:val="lowerRoman"/>
      <w:start w:val="1"/>
    </w:lvl>
  </w:abstractNum>
  <w:abstractNum w:abstractNumId="386">
    <w:nsid w:val="57A37D4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87">
    <w:nsid w:val="74824D54"/>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388">
    <w:nsid w:val="6F00529A"/>
    <w:multiLevelType w:val="hybridMultilevel"/>
    <w:lvl w:ilvl="0">
      <w:lvlJc w:val="left"/>
      <w:lvlText w:val="(%1)"/>
      <w:numFmt w:val="decimal"/>
      <w:start w:val="2"/>
    </w:lvl>
    <w:lvl w:ilvl="1">
      <w:lvlJc w:val="left"/>
      <w:lvlText w:val="(%2)"/>
      <w:numFmt w:val="lowerLetter"/>
      <w:start w:val="9"/>
    </w:lvl>
    <w:lvl w:ilvl="2">
      <w:lvlJc w:val="left"/>
      <w:lvlText w:val="(%3)"/>
      <w:numFmt w:val="lowerRoman"/>
      <w:start w:val="1"/>
    </w:lvl>
  </w:abstractNum>
  <w:abstractNum w:abstractNumId="389">
    <w:nsid w:val="805B331"/>
    <w:multiLevelType w:val="hybridMultilevel"/>
    <w:lvl w:ilvl="0">
      <w:lvlJc w:val="left"/>
      <w:lvlText w:val="(%1)"/>
      <w:numFmt w:val="decimal"/>
      <w:start w:val="6"/>
    </w:lvl>
    <w:lvl w:ilvl="1">
      <w:lvlJc w:val="left"/>
      <w:lvlText w:val="%2"/>
      <w:numFmt w:val="lowerLetter"/>
      <w:start w:val="1"/>
    </w:lvl>
  </w:abstractNum>
  <w:abstractNum w:abstractNumId="390">
    <w:nsid w:val="60A1463"/>
    <w:multiLevelType w:val="hybridMultilevel"/>
    <w:lvl w:ilvl="0">
      <w:lvlJc w:val="left"/>
      <w:lvlText w:val="(%1)"/>
      <w:numFmt w:val="decimal"/>
      <w:start w:val="60"/>
    </w:lvl>
    <w:lvl w:ilvl="1">
      <w:lvlJc w:val="left"/>
      <w:lvlText w:val="(%2)"/>
      <w:numFmt w:val="lowerLetter"/>
      <w:start w:val="11"/>
    </w:lvl>
  </w:abstractNum>
  <w:abstractNum w:abstractNumId="391">
    <w:nsid w:val="43773132"/>
    <w:multiLevelType w:val="hybridMultilevel"/>
    <w:lvl w:ilvl="0">
      <w:lvlJc w:val="left"/>
      <w:lvlText w:val="(%1)"/>
      <w:numFmt w:val="lowerLetter"/>
      <w:start w:val="1"/>
    </w:lvl>
  </w:abstractNum>
  <w:abstractNum w:abstractNumId="392">
    <w:nsid w:val="16AC4B23"/>
    <w:multiLevelType w:val="hybridMultilevel"/>
    <w:lvl w:ilvl="0">
      <w:lvlJc w:val="left"/>
      <w:lvlText w:val="(%1)"/>
      <w:numFmt w:val="lowerRoman"/>
      <w:start w:val="10"/>
    </w:lvl>
  </w:abstractNum>
  <w:abstractNum w:abstractNumId="393">
    <w:nsid w:val="76C44E4E"/>
    <w:multiLevelType w:val="hybridMultilevel"/>
    <w:lvl w:ilvl="0">
      <w:lvlJc w:val="left"/>
      <w:lvlText w:val="(%1)"/>
      <w:numFmt w:val="lowerLetter"/>
      <w:start w:val="2"/>
    </w:lvl>
  </w:abstractNum>
  <w:abstractNum w:abstractNumId="394">
    <w:nsid w:val="E04E6CE"/>
    <w:multiLevelType w:val="hybridMultilevel"/>
    <w:lvl w:ilvl="0">
      <w:lvlJc w:val="left"/>
      <w:lvlText w:val="(%1)"/>
      <w:numFmt w:val="lowerLetter"/>
      <w:start w:val="1"/>
    </w:lvl>
  </w:abstractNum>
  <w:abstractNum w:abstractNumId="395">
    <w:nsid w:val="31A9DB76"/>
    <w:multiLevelType w:val="hybridMultilevel"/>
    <w:lvl w:ilvl="0">
      <w:lvlJc w:val="left"/>
      <w:lvlText w:val="(%1)"/>
      <w:numFmt w:val="lowerLetter"/>
      <w:start w:val="3"/>
    </w:lvl>
  </w:abstractNum>
  <w:abstractNum w:abstractNumId="396">
    <w:nsid w:val="4C4FFF5B"/>
    <w:multiLevelType w:val="hybridMultilevel"/>
    <w:lvl w:ilvl="0">
      <w:lvlJc w:val="left"/>
      <w:lvlText w:val="(%1)"/>
      <w:numFmt w:val="lowerLetter"/>
      <w:start w:val="1"/>
    </w:lvl>
  </w:abstractNum>
  <w:abstractNum w:abstractNumId="397">
    <w:nsid w:val="51B76675"/>
    <w:multiLevelType w:val="hybridMultilevel"/>
    <w:lvl w:ilvl="0">
      <w:lvlJc w:val="left"/>
      <w:lvlText w:val="(%1)"/>
      <w:numFmt w:val="lowerLetter"/>
      <w:start w:val="4"/>
    </w:lvl>
  </w:abstractNum>
  <w:abstractNum w:abstractNumId="398">
    <w:nsid w:val="59A4BA71"/>
    <w:multiLevelType w:val="hybridMultilevel"/>
    <w:lvl w:ilvl="0">
      <w:lvlJc w:val="left"/>
      <w:lvlText w:val="(%1)"/>
      <w:numFmt w:val="lowerLetter"/>
      <w:start w:val="1"/>
    </w:lvl>
  </w:abstractNum>
  <w:abstractNum w:abstractNumId="399">
    <w:nsid w:val="450B7FB6"/>
    <w:multiLevelType w:val="hybridMultilevel"/>
    <w:lvl w:ilvl="0">
      <w:lvlJc w:val="left"/>
      <w:lvlText w:val="(%1)"/>
      <w:numFmt w:val="lowerRoman"/>
      <w:start w:val="4"/>
    </w:lvl>
  </w:abstractNum>
  <w:abstractNum w:abstractNumId="400">
    <w:nsid w:val="340BF64D"/>
    <w:multiLevelType w:val="hybridMultilevel"/>
    <w:lvl w:ilvl="0">
      <w:lvlJc w:val="left"/>
      <w:lvlText w:val="(%1)"/>
      <w:numFmt w:val="lowerLetter"/>
      <w:start w:val="1"/>
    </w:lvl>
  </w:abstractNum>
  <w:abstractNum w:abstractNumId="401">
    <w:nsid w:val="69454021"/>
    <w:multiLevelType w:val="hybridMultilevel"/>
    <w:lvl w:ilvl="0">
      <w:lvlJc w:val="left"/>
      <w:lvlText w:val="(%1)"/>
      <w:numFmt w:val="lowerLetter"/>
      <w:start w:val="2"/>
    </w:lvl>
  </w:abstractNum>
  <w:abstractNum w:abstractNumId="402">
    <w:nsid w:val="49F15C6B"/>
    <w:multiLevelType w:val="hybridMultilevel"/>
    <w:lvl w:ilvl="0">
      <w:lvlJc w:val="left"/>
      <w:lvlText w:val="%1"/>
      <w:numFmt w:val="lowerLetter"/>
      <w:start w:val="1"/>
    </w:lvl>
    <w:lvl w:ilvl="1">
      <w:lvlJc w:val="left"/>
      <w:lvlText w:val="(%2)"/>
      <w:numFmt w:val="lowerLetter"/>
      <w:start w:val="1"/>
    </w:lvl>
  </w:abstractNum>
  <w:abstractNum w:abstractNumId="403">
    <w:nsid w:val="75F56228"/>
    <w:multiLevelType w:val="hybridMultilevel"/>
    <w:lvl w:ilvl="0">
      <w:lvlJc w:val="left"/>
      <w:lvlText w:val="(%1)"/>
      <w:numFmt w:val="lowerLetter"/>
      <w:start w:val="2"/>
    </w:lvl>
    <w:lvl w:ilvl="1">
      <w:lvlJc w:val="left"/>
      <w:lvlText w:val="(%2)"/>
      <w:numFmt w:val="lowerLetter"/>
      <w:start w:val="2"/>
    </w:lvl>
  </w:abstractNum>
  <w:abstractNum w:abstractNumId="404">
    <w:nsid w:val="1C618271"/>
    <w:multiLevelType w:val="hybridMultilevel"/>
    <w:lvl w:ilvl="0">
      <w:lvlJc w:val="left"/>
      <w:lvlText w:val="(%1)"/>
      <w:numFmt w:val="lowerLetter"/>
      <w:start w:val="7"/>
    </w:lvl>
  </w:abstractNum>
  <w:abstractNum w:abstractNumId="405">
    <w:nsid w:val="6505F02E"/>
    <w:multiLevelType w:val="hybridMultilevel"/>
    <w:lvl w:ilvl="0">
      <w:lvlJc w:val="left"/>
      <w:lvlText w:val="(%1)"/>
      <w:numFmt w:val="lowerRoman"/>
      <w:start w:val="1"/>
    </w:lvl>
  </w:abstractNum>
  <w:abstractNum w:abstractNumId="406">
    <w:nsid w:val="2FE5D025"/>
    <w:multiLevelType w:val="hybridMultilevel"/>
    <w:lvl w:ilvl="0">
      <w:lvlJc w:val="left"/>
      <w:lvlText w:val="(%1)"/>
      <w:numFmt w:val="lowerLetter"/>
      <w:start w:val="2"/>
    </w:lvl>
  </w:abstractNum>
  <w:abstractNum w:abstractNumId="407">
    <w:nsid w:val="30E1B1CF"/>
    <w:multiLevelType w:val="hybridMultilevel"/>
    <w:lvl w:ilvl="0">
      <w:lvlJc w:val="left"/>
      <w:lvlText w:val="(%1)"/>
      <w:numFmt w:val="lowerLetter"/>
      <w:start w:val="3"/>
    </w:lvl>
  </w:abstractNum>
  <w:abstractNum w:abstractNumId="408">
    <w:nsid w:val="C7A9237"/>
    <w:multiLevelType w:val="hybridMultilevel"/>
    <w:lvl w:ilvl="0">
      <w:lvlJc w:val="left"/>
      <w:lvlText w:val="%1"/>
      <w:numFmt w:val="lowerLetter"/>
      <w:start w:val="1"/>
    </w:lvl>
    <w:lvl w:ilvl="1">
      <w:lvlJc w:val="left"/>
      <w:lvlText w:val="(%2)"/>
      <w:numFmt w:val="lowerLetter"/>
      <w:start w:val="2"/>
    </w:lvl>
  </w:abstractNum>
  <w:abstractNum w:abstractNumId="409">
    <w:nsid w:val="676B3580"/>
    <w:multiLevelType w:val="hybridMultilevel"/>
    <w:lvl w:ilvl="0">
      <w:lvlJc w:val="left"/>
      <w:lvlText w:val="(%1)"/>
      <w:numFmt w:val="lowerLetter"/>
      <w:start w:val="2"/>
    </w:lvl>
    <w:lvl w:ilvl="1">
      <w:lvlJc w:val="left"/>
      <w:lvlText w:val="%2"/>
      <w:numFmt w:val="lowerLetter"/>
      <w:start w:val="1"/>
    </w:lvl>
  </w:abstractNum>
  <w:abstractNum w:abstractNumId="410">
    <w:nsid w:val="3193C8F9"/>
    <w:multiLevelType w:val="hybridMultilevel"/>
    <w:lvl w:ilvl="0">
      <w:lvlJc w:val="left"/>
      <w:lvlText w:val="(%1)"/>
      <w:numFmt w:val="lowerLetter"/>
      <w:start w:val="4"/>
    </w:lvl>
  </w:abstractNum>
  <w:abstractNum w:abstractNumId="411">
    <w:nsid w:val="5FA6C6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12">
    <w:nsid w:val="77933F62"/>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413">
    <w:nsid w:val="6CB4EE9C"/>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414">
    <w:nsid w:val="6A6D56D7"/>
    <w:multiLevelType w:val="hybridMultilevel"/>
    <w:lvl w:ilvl="0">
      <w:lvlJc w:val="left"/>
      <w:lvlText w:val="%1"/>
      <w:numFmt w:val="lowerLetter"/>
      <w:start w:val="1"/>
    </w:lvl>
    <w:lvl w:ilvl="1">
      <w:lvlJc w:val="left"/>
      <w:lvlText w:val="(%2)"/>
      <w:numFmt w:val="lowerRoman"/>
      <w:start w:val="7"/>
    </w:lvl>
  </w:abstractNum>
  <w:abstractNum w:abstractNumId="415">
    <w:nsid w:val="5B727F19"/>
    <w:multiLevelType w:val="hybridMultilevel"/>
    <w:lvl w:ilvl="0">
      <w:lvlJc w:val="left"/>
      <w:lvlText w:val="(%1)"/>
      <w:numFmt w:val="lowerLetter"/>
      <w:start w:val="3"/>
    </w:lvl>
    <w:lvl w:ilvl="1">
      <w:lvlJc w:val="left"/>
      <w:lvlText w:val="%2"/>
      <w:numFmt w:val="lowerRoman"/>
      <w:start w:val="1"/>
    </w:lvl>
  </w:abstractNum>
  <w:abstractNum w:abstractNumId="416">
    <w:nsid w:val="514E5CB0"/>
    <w:multiLevelType w:val="hybridMultilevel"/>
    <w:lvl w:ilvl="0">
      <w:lvlJc w:val="left"/>
      <w:lvlText w:val="(%1)"/>
      <w:numFmt w:val="lowerLetter"/>
      <w:start w:val="4"/>
    </w:lvl>
  </w:abstractNum>
  <w:abstractNum w:abstractNumId="417">
    <w:nsid w:val="4210D41E"/>
    <w:multiLevelType w:val="hybridMultilevel"/>
    <w:lvl w:ilvl="0">
      <w:lvlJc w:val="left"/>
      <w:lvlText w:val="(%1)"/>
      <w:numFmt w:val="lowerLetter"/>
      <w:start w:val="5"/>
    </w:lvl>
  </w:abstractNum>
  <w:abstractNum w:abstractNumId="418">
    <w:nsid w:val="4FF4CC6D"/>
    <w:multiLevelType w:val="hybridMultilevel"/>
    <w:lvl w:ilvl="0">
      <w:lvlJc w:val="left"/>
      <w:lvlText w:val="(%1)"/>
      <w:numFmt w:val="lowerLetter"/>
      <w:start w:val="8"/>
    </w:lvl>
  </w:abstractNum>
  <w:abstractNum w:abstractNumId="419">
    <w:nsid w:val="404EAF4A"/>
    <w:multiLevelType w:val="hybridMultilevel"/>
    <w:lvl w:ilvl="0">
      <w:lvlJc w:val="left"/>
      <w:lvlText w:val="(%1)"/>
      <w:numFmt w:val="lowerLetter"/>
      <w:start w:val="35"/>
    </w:lvl>
  </w:abstractNum>
  <w:abstractNum w:abstractNumId="420">
    <w:nsid w:val="4A16874F"/>
    <w:multiLevelType w:val="hybridMultilevel"/>
    <w:lvl w:ilvl="0">
      <w:lvlJc w:val="left"/>
      <w:lvlText w:val="(%1)"/>
      <w:numFmt w:val="lowerLetter"/>
      <w:start w:val="1"/>
    </w:lvl>
  </w:abstractNum>
  <w:abstractNum w:abstractNumId="421">
    <w:nsid w:val="55FEE0D1"/>
    <w:multiLevelType w:val="hybridMultilevel"/>
    <w:lvl w:ilvl="0">
      <w:lvlJc w:val="left"/>
      <w:lvlText w:val="(%1)"/>
      <w:numFmt w:val="lowerLetter"/>
      <w:start w:val="1"/>
    </w:lvl>
  </w:abstractNum>
  <w:abstractNum w:abstractNumId="422">
    <w:nsid w:val="3C5E07C"/>
    <w:multiLevelType w:val="hybridMultilevel"/>
    <w:lvl w:ilvl="0">
      <w:lvlJc w:val="left"/>
      <w:lvlText w:val="(%1)"/>
      <w:numFmt w:val="lowerLetter"/>
      <w:start w:val="4"/>
    </w:lvl>
  </w:abstractNum>
  <w:abstractNum w:abstractNumId="423">
    <w:nsid w:val="60C2D273"/>
    <w:multiLevelType w:val="hybridMultilevel"/>
    <w:lvl w:ilvl="0">
      <w:lvlJc w:val="left"/>
      <w:lvlText w:val="%1."/>
      <w:numFmt w:val="decimal"/>
      <w:start w:val="1"/>
    </w:lvl>
  </w:abstractNum>
  <w:abstractNum w:abstractNumId="424">
    <w:nsid w:val="4CC32F1F"/>
    <w:multiLevelType w:val="hybridMultilevel"/>
    <w:lvl w:ilvl="0">
      <w:lvlJc w:val="left"/>
      <w:lvlText w:val="%1"/>
      <w:numFmt w:val="upperLetter"/>
      <w:start w:val="40"/>
    </w:lvl>
  </w:abstractNum>
  <w:abstractNum w:abstractNumId="425">
    <w:nsid w:val="11CAC74A"/>
    <w:multiLevelType w:val="hybridMultilevel"/>
    <w:lvl w:ilvl="0">
      <w:lvlJc w:val="left"/>
      <w:lvlText w:val="(%1)"/>
      <w:numFmt w:val="lowerRoman"/>
      <w:start w:val="2"/>
    </w:lvl>
  </w:abstractNum>
  <w:abstractNum w:abstractNumId="426">
    <w:nsid w:val="126CADE9"/>
    <w:multiLevelType w:val="hybridMultilevel"/>
    <w:lvl w:ilvl="0">
      <w:lvlJc w:val="left"/>
      <w:lvlText w:val="%1."/>
      <w:numFmt w:val="decimal"/>
      <w:start w:val="2"/>
    </w:lvl>
    <w:lvl w:ilvl="1">
      <w:lvlJc w:val="left"/>
      <w:lvlText w:val="(%2)"/>
      <w:numFmt w:val="lowerLetter"/>
      <w:start w:val="1"/>
    </w:lvl>
  </w:abstractNum>
  <w:abstractNum w:abstractNumId="427">
    <w:nsid w:val="19132E7B"/>
    <w:multiLevelType w:val="hybridMultilevel"/>
    <w:lvl w:ilvl="0">
      <w:lvlJc w:val="left"/>
      <w:lvlText w:val="(%1)"/>
      <w:numFmt w:val="lowerRoman"/>
      <w:start w:val="3"/>
    </w:lvl>
  </w:abstractNum>
  <w:abstractNum w:abstractNumId="428">
    <w:nsid w:val="63822DC0"/>
    <w:multiLevelType w:val="hybridMultilevel"/>
    <w:lvl w:ilvl="0">
      <w:lvlJc w:val="left"/>
      <w:lvlText w:val="(%1)"/>
      <w:numFmt w:val="lowerLetter"/>
      <w:start w:val="2"/>
    </w:lvl>
  </w:abstractNum>
  <w:abstractNum w:abstractNumId="429">
    <w:nsid w:val="6C11685A"/>
    <w:multiLevelType w:val="hybridMultilevel"/>
    <w:lvl w:ilvl="0">
      <w:lvlJc w:val="left"/>
      <w:lvlText w:val="(%1)"/>
      <w:numFmt w:val="decimal"/>
      <w:start w:val="1"/>
    </w:lvl>
  </w:abstractNum>
  <w:abstractNum w:abstractNumId="430">
    <w:nsid w:val="5E1EAE31"/>
    <w:multiLevelType w:val="hybridMultilevel"/>
    <w:lvl w:ilvl="0">
      <w:lvlJc w:val="left"/>
      <w:lvlText w:val="(%1)"/>
      <w:numFmt w:val="decimal"/>
      <w:start w:val="1"/>
    </w:lvl>
  </w:abstractNum>
  <w:abstractNum w:abstractNumId="431">
    <w:nsid w:val="178E240D"/>
    <w:multiLevelType w:val="hybridMultilevel"/>
    <w:lvl w:ilvl="0">
      <w:lvlJc w:val="left"/>
      <w:lvlText w:val="(%1)"/>
      <w:numFmt w:val="lowerLetter"/>
      <w:start w:val="3"/>
    </w:lvl>
  </w:abstractNum>
  <w:abstractNum w:abstractNumId="432">
    <w:nsid w:val="5556A87B"/>
    <w:multiLevelType w:val="hybridMultilevel"/>
    <w:lvl w:ilvl="0">
      <w:lvlJc w:val="left"/>
      <w:lvlText w:val="%1."/>
      <w:numFmt w:val="decimal"/>
      <w:start w:val="3"/>
    </w:lvl>
  </w:abstractNum>
  <w:abstractNum w:abstractNumId="433">
    <w:nsid w:val="28100A9C"/>
    <w:multiLevelType w:val="hybridMultilevel"/>
    <w:lvl w:ilvl="0">
      <w:lvlJc w:val="left"/>
      <w:lvlText w:val="(%1)"/>
      <w:numFmt w:val="lowerLetter"/>
      <w:start w:val="1"/>
    </w:lvl>
  </w:abstractNum>
  <w:abstractNum w:abstractNumId="434">
    <w:nsid w:val="D838636"/>
    <w:multiLevelType w:val="hybridMultilevel"/>
    <w:lvl w:ilvl="0">
      <w:lvlJc w:val="left"/>
      <w:lvlText w:val="(%1)"/>
      <w:numFmt w:val="lowerLetter"/>
      <w:start w:val="2"/>
    </w:lvl>
    <w:lvl w:ilvl="1">
      <w:lvlJc w:val="left"/>
      <w:lvlText w:val="(%2)"/>
      <w:numFmt w:val="lowerLetter"/>
      <w:start w:val="2"/>
    </w:lvl>
  </w:abstractNum>
  <w:abstractNum w:abstractNumId="435">
    <w:nsid w:val="71B82AE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6">
    <w:nsid w:val="D15FACA"/>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437">
    <w:nsid w:val="3D69565B"/>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438">
    <w:nsid w:val="2299DCBC"/>
    <w:multiLevelType w:val="hybridMultilevel"/>
    <w:lvl w:ilvl="0">
      <w:lvlJc w:val="left"/>
      <w:lvlText w:val="%1"/>
      <w:numFmt w:val="decimal"/>
      <w:start w:val="1"/>
    </w:lvl>
    <w:lvl w:ilvl="1">
      <w:lvlJc w:val="left"/>
      <w:lvlText w:val="(%2)"/>
      <w:numFmt w:val="lowerLetter"/>
      <w:start w:val="2"/>
    </w:lvl>
  </w:abstractNum>
  <w:abstractNum w:abstractNumId="439">
    <w:nsid w:val="19908D02"/>
    <w:multiLevelType w:val="hybridMultilevel"/>
    <w:lvl w:ilvl="0">
      <w:lvlJc w:val="left"/>
      <w:lvlText w:val="%1."/>
      <w:numFmt w:val="decimal"/>
      <w:start w:val="5"/>
    </w:lvl>
    <w:lvl w:ilvl="1">
      <w:lvlJc w:val="left"/>
      <w:lvlText w:val="%2"/>
      <w:numFmt w:val="lowerLetter"/>
      <w:start w:val="1"/>
    </w:lvl>
  </w:abstractNum>
  <w:abstractNum w:abstractNumId="440">
    <w:nsid w:val="24D48BDB"/>
    <w:multiLevelType w:val="hybridMultilevel"/>
    <w:lvl w:ilvl="0">
      <w:lvlJc w:val="left"/>
      <w:lvlText w:val="(%1)"/>
      <w:numFmt w:val="lowerLetter"/>
      <w:start w:val="1"/>
    </w:lvl>
  </w:abstractNum>
  <w:abstractNum w:abstractNumId="441">
    <w:nsid w:val="542DA5B5"/>
    <w:multiLevelType w:val="hybridMultilevel"/>
    <w:lvl w:ilvl="0">
      <w:lvlJc w:val="left"/>
      <w:lvlText w:val="(%1)"/>
      <w:numFmt w:val="lowerLetter"/>
      <w:start w:val="2"/>
    </w:lvl>
  </w:abstractNum>
  <w:abstractNum w:abstractNumId="442">
    <w:nsid w:val="793753DE"/>
    <w:multiLevelType w:val="hybridMultilevel"/>
    <w:lvl w:ilvl="0">
      <w:lvlJc w:val="left"/>
      <w:lvlText w:val="(%1)"/>
      <w:numFmt w:val="lowerLetter"/>
      <w:start w:val="4"/>
    </w:lvl>
  </w:abstractNum>
  <w:abstractNum w:abstractNumId="443">
    <w:nsid w:val="1C67CB3D"/>
    <w:multiLevelType w:val="hybridMultilevel"/>
    <w:lvl w:ilvl="0">
      <w:lvlJc w:val="left"/>
      <w:lvlText w:val="(%1)"/>
      <w:numFmt w:val="lowerLetter"/>
      <w:start w:val="8"/>
    </w:lvl>
  </w:abstractNum>
  <w:abstractNum w:abstractNumId="444">
    <w:nsid w:val="40E29452"/>
    <w:multiLevelType w:val="hybridMultilevel"/>
    <w:lvl w:ilvl="0">
      <w:lvlJc w:val="left"/>
      <w:lvlText w:val="(%1)"/>
      <w:numFmt w:val="lowerLetter"/>
      <w:start w:val="11"/>
    </w:lvl>
  </w:abstractNum>
  <w:abstractNum w:abstractNumId="445">
    <w:nsid w:val="63A4AAB6"/>
    <w:multiLevelType w:val="hybridMultilevel"/>
    <w:lvl w:ilvl="0">
      <w:lvlJc w:val="left"/>
      <w:lvlText w:val="%1"/>
      <w:numFmt w:val="lowerLetter"/>
      <w:start w:val="1"/>
    </w:lvl>
    <w:lvl w:ilvl="1">
      <w:lvlJc w:val="left"/>
      <w:lvlText w:val="(%2)"/>
      <w:numFmt w:val="lowerLetter"/>
      <w:start w:val="15"/>
    </w:lvl>
  </w:abstractNum>
  <w:abstractNum w:abstractNumId="446">
    <w:nsid w:val="77DA4A57"/>
    <w:multiLevelType w:val="hybridMultilevel"/>
    <w:lvl w:ilvl="0">
      <w:lvlJc w:val="left"/>
      <w:lvlText w:val="(%1)"/>
      <w:numFmt w:val="lowerLetter"/>
      <w:start w:val="35"/>
    </w:lvl>
    <w:lvl w:ilvl="1">
      <w:lvlJc w:val="left"/>
      <w:lvlText w:val="%2"/>
      <w:numFmt w:val="lowerLetter"/>
      <w:start w:val="1"/>
    </w:lvl>
  </w:abstractNum>
  <w:abstractNum w:abstractNumId="447">
    <w:nsid w:val="1230F102"/>
    <w:multiLevelType w:val="hybridMultilevel"/>
    <w:lvl w:ilvl="0">
      <w:lvlJc w:val="left"/>
      <w:lvlText w:val="(%1)"/>
      <w:numFmt w:val="lowerLetter"/>
      <w:start w:val="16"/>
    </w:lvl>
  </w:abstractNum>
  <w:abstractNum w:abstractNumId="448">
    <w:nsid w:val="25B57ED4"/>
    <w:multiLevelType w:val="hybridMultilevel"/>
    <w:lvl w:ilvl="0">
      <w:lvlJc w:val="left"/>
      <w:lvlText w:val="(%1)"/>
      <w:numFmt w:val="lowerLetter"/>
      <w:start w:val="25"/>
    </w:lvl>
    <w:lvl w:ilvl="1">
      <w:lvlJc w:val="left"/>
      <w:lvlText w:val="%2."/>
      <w:numFmt w:val="decimal"/>
      <w:start w:val="6"/>
    </w:lvl>
  </w:abstractNum>
  <w:abstractNum w:abstractNumId="449">
    <w:nsid w:val="47CF16C4"/>
    <w:multiLevelType w:val="hybridMultilevel"/>
    <w:lvl w:ilvl="0">
      <w:lvlJc w:val="left"/>
      <w:lvlText w:val="%1."/>
      <w:numFmt w:val="decimal"/>
      <w:start w:val="7"/>
    </w:lvl>
    <w:lvl w:ilvl="1">
      <w:lvlJc w:val="left"/>
      <w:lvlText w:val="(%2)"/>
      <w:numFmt w:val="lowerLetter"/>
      <w:start w:val="8"/>
    </w:lvl>
    <w:lvl w:ilvl="2">
      <w:lvlJc w:val="left"/>
      <w:lvlText w:val="(%3)"/>
      <w:numFmt w:val="lowerLetter"/>
      <w:start w:val="1"/>
    </w:lvl>
  </w:abstractNum>
  <w:abstractNum w:abstractNumId="450">
    <w:nsid w:val="527FA04C"/>
    <w:multiLevelType w:val="hybridMultilevel"/>
    <w:lvl w:ilvl="0">
      <w:lvlJc w:val="left"/>
      <w:lvlText w:val="(%1)"/>
      <w:numFmt w:val="lowerRoman"/>
      <w:start w:val="2"/>
    </w:lvl>
  </w:abstractNum>
  <w:abstractNum w:abstractNumId="451">
    <w:nsid w:val="6FCC0624"/>
    <w:multiLevelType w:val="hybridMultilevel"/>
    <w:lvl w:ilvl="0">
      <w:lvlJc w:val="left"/>
      <w:lvlText w:val="(%1)"/>
      <w:numFmt w:val="lowerLetter"/>
      <w:start w:val="2"/>
    </w:lvl>
  </w:abstractNum>
  <w:abstractNum w:abstractNumId="452">
    <w:nsid w:val="1DCDF795"/>
    <w:multiLevelType w:val="hybridMultilevel"/>
    <w:lvl w:ilvl="0">
      <w:lvlJc w:val="left"/>
      <w:lvlText w:val="(%1)"/>
      <w:numFmt w:val="lowerLetter"/>
      <w:start w:val="3"/>
    </w:lvl>
  </w:abstractNum>
  <w:abstractNum w:abstractNumId="453">
    <w:nsid w:val="564580C8"/>
    <w:multiLevelType w:val="hybridMultilevel"/>
    <w:lvl w:ilvl="0">
      <w:lvlJc w:val="left"/>
      <w:lvlText w:val="%1."/>
      <w:numFmt w:val="decimal"/>
      <w:start w:val="8"/>
    </w:lvl>
    <w:lvl w:ilvl="1">
      <w:lvlJc w:val="left"/>
      <w:lvlText w:val="(%2)"/>
      <w:numFmt w:val="lowerLetter"/>
      <w:start w:val="1"/>
    </w:lvl>
  </w:abstractNum>
  <w:abstractNum w:abstractNumId="454">
    <w:nsid w:val="508ED897"/>
    <w:multiLevelType w:val="hybridMultilevel"/>
    <w:lvl w:ilvl="0">
      <w:lvlJc w:val="left"/>
      <w:lvlText w:val="%1"/>
      <w:numFmt w:val="decimal"/>
      <w:start w:val="1"/>
    </w:lvl>
    <w:lvl w:ilvl="1">
      <w:lvlJc w:val="left"/>
      <w:lvlText w:val="(%2)"/>
      <w:numFmt w:val="lowerLetter"/>
      <w:start w:val="2"/>
    </w:lvl>
  </w:abstractNum>
  <w:abstractNum w:abstractNumId="455">
    <w:nsid w:val="6A9126B5"/>
    <w:multiLevelType w:val="hybridMultilevel"/>
    <w:lvl w:ilvl="0">
      <w:lvlJc w:val="left"/>
      <w:lvlText w:val="%1."/>
      <w:numFmt w:val="decimal"/>
      <w:start w:val="9"/>
    </w:lvl>
    <w:lvl w:ilvl="1">
      <w:lvlJc w:val="left"/>
      <w:lvlText w:val="%2"/>
      <w:numFmt w:val="lowerLetter"/>
      <w:start w:val="1"/>
    </w:lvl>
  </w:abstractNum>
  <w:abstractNum w:abstractNumId="456">
    <w:nsid w:val="68104812"/>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457">
    <w:nsid w:val="62FB868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58">
    <w:nsid w:val="3A45530"/>
    <w:multiLevelType w:val="hybridMultilevel"/>
    <w:lvl w:ilvl="0">
      <w:lvlJc w:val="left"/>
      <w:lvlText w:val="%1"/>
      <w:numFmt w:val="lowerLetter"/>
      <w:start w:val="1"/>
    </w:lvl>
    <w:lvl w:ilvl="1">
      <w:lvlJc w:val="left"/>
      <w:lvlText w:val="(%2)"/>
      <w:numFmt w:val="lowerLetter"/>
      <w:start w:val="5"/>
    </w:lvl>
  </w:abstractNum>
  <w:abstractNum w:abstractNumId="459">
    <w:nsid w:val="4B9275D2"/>
    <w:multiLevelType w:val="hybridMultilevel"/>
    <w:lvl w:ilvl="0">
      <w:lvlJc w:val="left"/>
      <w:lvlText w:val="(%1)"/>
      <w:numFmt w:val="lowerLetter"/>
      <w:start w:val="9"/>
    </w:lvl>
    <w:lvl w:ilvl="1">
      <w:lvlJc w:val="left"/>
      <w:lvlText w:val="%2"/>
      <w:numFmt w:val="lowerLetter"/>
      <w:start w:val="1"/>
    </w:lvl>
  </w:abstractNum>
  <w:abstractNum w:abstractNumId="460">
    <w:nsid w:val="4F0CEEDB"/>
    <w:multiLevelType w:val="hybridMultilevel"/>
    <w:lvl w:ilvl="0">
      <w:lvlJc w:val="left"/>
      <w:lvlText w:val="(%1)"/>
      <w:numFmt w:val="lowerRoman"/>
      <w:start w:val="2"/>
    </w:lvl>
  </w:abstractNum>
  <w:abstractNum w:abstractNumId="461">
    <w:nsid w:val="61C30361"/>
    <w:multiLevelType w:val="hybridMultilevel"/>
    <w:lvl w:ilvl="0">
      <w:lvlJc w:val="left"/>
      <w:lvlText w:val="(%1)"/>
      <w:numFmt w:val="lowerLetter"/>
      <w:start w:val="6"/>
    </w:lvl>
  </w:abstractNum>
  <w:abstractNum w:abstractNumId="462">
    <w:nsid w:val="632099E0"/>
    <w:multiLevelType w:val="hybridMultilevel"/>
    <w:lvl w:ilvl="0">
      <w:lvlJc w:val="left"/>
      <w:lvlText w:val="(%1)"/>
      <w:numFmt w:val="lowerLetter"/>
      <w:start w:val="11"/>
    </w:lvl>
  </w:abstractNum>
  <w:abstractNum w:abstractNumId="463">
    <w:nsid w:val="24639756"/>
    <w:multiLevelType w:val="hybridMultilevel"/>
    <w:lvl w:ilvl="0">
      <w:lvlJc w:val="left"/>
      <w:lvlText w:val="%1"/>
      <w:numFmt w:val="lowerRoman"/>
      <w:start w:val="1"/>
    </w:lvl>
    <w:lvl w:ilvl="1">
      <w:lvlJc w:val="left"/>
      <w:lvlText w:val="%2."/>
      <w:numFmt w:val="decimal"/>
      <w:start w:val="1"/>
    </w:lvl>
  </w:abstractNum>
  <w:abstractNum w:abstractNumId="464">
    <w:nsid w:val="9D30DFD"/>
    <w:multiLevelType w:val="hybridMultilevel"/>
    <w:lvl w:ilvl="0">
      <w:lvlJc w:val="left"/>
      <w:lvlText w:val="(%1)"/>
      <w:numFmt w:val="lowerRoman"/>
      <w:start w:val="3"/>
    </w:lvl>
    <w:lvl w:ilvl="1">
      <w:lvlJc w:val="left"/>
      <w:lvlText w:val="%2."/>
      <w:numFmt w:val="decimal"/>
      <w:start w:val="2"/>
    </w:lvl>
  </w:abstractNum>
  <w:abstractNum w:abstractNumId="465">
    <w:nsid w:val="70A42016"/>
    <w:multiLevelType w:val="hybridMultilevel"/>
    <w:lvl w:ilvl="0">
      <w:lvlJc w:val="left"/>
      <w:lvlText w:val="%1"/>
      <w:numFmt w:val="lowerRoman"/>
      <w:start w:val="1"/>
    </w:lvl>
    <w:lvl w:ilvl="1">
      <w:lvlJc w:val="left"/>
      <w:lvlText w:val="%2."/>
      <w:numFmt w:val="decimal"/>
      <w:start w:val="1"/>
    </w:lvl>
  </w:abstractNum>
  <w:abstractNum w:abstractNumId="466">
    <w:nsid w:val="161BC243"/>
    <w:multiLevelType w:val="hybridMultilevel"/>
    <w:lvl w:ilvl="0">
      <w:lvlJc w:val="left"/>
      <w:lvlText w:val="(%1)"/>
      <w:numFmt w:val="lowerRoman"/>
      <w:start w:val="3"/>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2019-12-06T10:29:18Z</dcterms:created>
  <dcterms:modified xsi:type="dcterms:W3CDTF">2019-12-06T10:29:18Z</dcterms:modified>
</cp:coreProperties>
</file>