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333-201274</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February 23, 2015)</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6,600,000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178435</wp:posOffset>
            </wp:positionV>
            <wp:extent cx="1003300"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are offering 6,600,000 shares of our common stock, par value $0.01 per share, which we refer to as our “common stock.”</w:t>
      </w:r>
    </w:p>
    <w:p>
      <w:pPr>
        <w:spacing w:after="0" w:line="225" w:lineRule="exact"/>
        <w:rPr>
          <w:sz w:val="24"/>
          <w:szCs w:val="24"/>
          <w:color w:val="auto"/>
        </w:rPr>
      </w:pPr>
    </w:p>
    <w:p>
      <w:pPr>
        <w:ind w:right="240" w:firstLine="456"/>
        <w:spacing w:after="0" w:line="277" w:lineRule="auto"/>
        <w:rPr>
          <w:sz w:val="20"/>
          <w:szCs w:val="20"/>
          <w:color w:val="auto"/>
        </w:rPr>
      </w:pPr>
      <w:r>
        <w:rPr>
          <w:rFonts w:ascii="Arial" w:cs="Arial" w:eastAsia="Arial" w:hAnsi="Arial"/>
          <w:sz w:val="18"/>
          <w:szCs w:val="18"/>
          <w:color w:val="auto"/>
        </w:rPr>
        <w:t>Our common stock is listed on The NASDAQ Global Select Market, which we refer to as the “NASDAQ,” under the symbol “NNBR.” The last sale price of our common stock on June 25, 2015, as reported on the NASDAQ, was $24.75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108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S-10 of this prospectus supplement.</w:t>
      </w:r>
    </w:p>
    <w:p>
      <w:pPr>
        <w:spacing w:after="0" w:line="182"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b w:val="1"/>
                <w:bCs w:val="1"/>
                <w:color w:val="auto"/>
              </w:rPr>
              <w:t>Per</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24.00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158,400,000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Underwriting discount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150,480,000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p>
      <w:pPr>
        <w:ind w:right="40" w:firstLine="456"/>
        <w:spacing w:after="0" w:line="277" w:lineRule="auto"/>
        <w:rPr>
          <w:sz w:val="20"/>
          <w:szCs w:val="20"/>
          <w:color w:val="auto"/>
        </w:rPr>
      </w:pPr>
      <w:r>
        <w:rPr>
          <w:rFonts w:ascii="Arial" w:cs="Arial" w:eastAsia="Arial" w:hAnsi="Arial"/>
          <w:sz w:val="18"/>
          <w:szCs w:val="18"/>
          <w:color w:val="auto"/>
        </w:rPr>
        <w:t>The underwriters may also purchase up to an additional 990,000 shares of our common stock from us, at the public offering price, less the underwriting discount, within 30 days from the date of this prospectus supplement.</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Delivery of the shares of common stock is expected to be made on or about July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KeyBanc Capital Markets</w:t>
      </w:r>
    </w:p>
    <w:p>
      <w:pPr>
        <w:sectPr>
          <w:pgSz w:w="11900" w:h="16838" w:orient="portrait"/>
          <w:cols w:equalWidth="0" w:num="1">
            <w:col w:w="11420"/>
          </w:cols>
          <w:pgMar w:left="240" w:top="230" w:right="2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William Blair</w:t>
      </w:r>
    </w:p>
    <w:p>
      <w:pPr>
        <w:spacing w:after="0" w:line="4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Avondale Partners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ind w:left="60"/>
        <w:spacing w:after="0"/>
        <w:rPr>
          <w:sz w:val="20"/>
          <w:szCs w:val="20"/>
          <w:color w:val="auto"/>
        </w:rPr>
      </w:pPr>
      <w:r>
        <w:rPr>
          <w:rFonts w:ascii="Arial" w:cs="Arial" w:eastAsia="Arial" w:hAnsi="Arial"/>
          <w:sz w:val="23"/>
          <w:szCs w:val="23"/>
          <w:b w:val="1"/>
          <w:bCs w:val="1"/>
          <w:color w:val="auto"/>
        </w:rPr>
        <w:t>Stephens Inc.</w:t>
      </w:r>
    </w:p>
    <w:p>
      <w:pPr>
        <w:spacing w:after="0" w:line="6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CJS Securities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jc w:val="right"/>
        <w:spacing w:after="0"/>
        <w:rPr>
          <w:sz w:val="20"/>
          <w:szCs w:val="20"/>
          <w:color w:val="auto"/>
        </w:rPr>
      </w:pPr>
      <w:r>
        <w:rPr>
          <w:rFonts w:ascii="Arial" w:cs="Arial" w:eastAsia="Arial" w:hAnsi="Arial"/>
          <w:sz w:val="25"/>
          <w:szCs w:val="25"/>
          <w:b w:val="1"/>
          <w:bCs w:val="1"/>
          <w:color w:val="auto"/>
        </w:rPr>
        <w:t>Stifel</w:t>
      </w:r>
    </w:p>
    <w:p>
      <w:pPr>
        <w:spacing w:after="0" w:line="41"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Regions Securities LLC</w:t>
      </w:r>
    </w:p>
    <w:p>
      <w:pPr>
        <w:spacing w:after="0" w:line="200" w:lineRule="exact"/>
        <w:rPr>
          <w:sz w:val="24"/>
          <w:szCs w:val="24"/>
          <w:color w:val="auto"/>
        </w:rPr>
      </w:pPr>
    </w:p>
    <w:p>
      <w:pPr>
        <w:sectPr>
          <w:pgSz w:w="11900" w:h="16838" w:orient="portrait"/>
          <w:cols w:equalWidth="0" w:num="3">
            <w:col w:w="3820" w:space="720"/>
            <w:col w:w="3620" w:space="720"/>
            <w:col w:w="2540"/>
          </w:cols>
          <w:pgMar w:left="240" w:top="230" w:right="2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supplement is June 25, 2015</w:t>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40" w:type="dxa"/>
            <w:vAlign w:val="bottom"/>
            <w:gridSpan w:val="2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Table of Contents</w:t>
              </w:r>
            </w:hyperlink>
          </w:p>
        </w:tc>
        <w:tc>
          <w:tcPr>
            <w:tcW w:w="248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4"/>
                <w:szCs w:val="24"/>
                <w:color w:val="auto"/>
              </w:rPr>
            </w:pPr>
          </w:p>
        </w:tc>
      </w:tr>
      <w:tr>
        <w:trPr>
          <w:trHeight w:val="459"/>
        </w:trPr>
        <w:tc>
          <w:tcPr>
            <w:tcW w:w="884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248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330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5180" w:type="dxa"/>
            <w:vAlign w:val="bottom"/>
            <w:gridSpan w:val="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72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SPECIAL NOTE REGARDING FORWARD-LOOKING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360" w:type="dxa"/>
            <w:vAlign w:val="bottom"/>
          </w:tcPr>
          <w:p>
            <w:pPr>
              <w:spacing w:after="0"/>
              <w:rPr>
                <w:sz w:val="17"/>
                <w:szCs w:val="17"/>
                <w:color w:val="auto"/>
              </w:rPr>
            </w:pPr>
          </w:p>
        </w:tc>
        <w:tc>
          <w:tcPr>
            <w:tcW w:w="5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314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3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6900" w:type="dxa"/>
            <w:vAlign w:val="bottom"/>
            <w:gridSpan w:val="1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360" w:type="dxa"/>
            <w:vAlign w:val="bottom"/>
          </w:tcPr>
          <w:p>
            <w:pPr>
              <w:spacing w:after="0"/>
              <w:rPr>
                <w:sz w:val="17"/>
                <w:szCs w:val="17"/>
                <w:color w:val="auto"/>
              </w:rPr>
            </w:pPr>
          </w:p>
        </w:tc>
        <w:tc>
          <w:tcPr>
            <w:tcW w:w="37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UNDERWRITING (CONFLICTS OF INTEREST)</w:t>
              </w:r>
            </w:hyperlink>
          </w:p>
        </w:tc>
        <w:tc>
          <w:tcPr>
            <w:tcW w:w="476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36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INFORMATION INCORPORATED BY REFERENCE</w:t>
              </w:r>
            </w:hyperlink>
          </w:p>
        </w:tc>
        <w:tc>
          <w:tcPr>
            <w:tcW w:w="44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EXPERTS</w:t>
              </w:r>
            </w:hyperlink>
          </w:p>
        </w:tc>
        <w:tc>
          <w:tcPr>
            <w:tcW w:w="3040" w:type="dxa"/>
            <w:vAlign w:val="bottom"/>
            <w:tcBorders>
              <w:top w:val="single" w:sz="8" w:color="0000EE"/>
            </w:tcBorders>
            <w:gridSpan w:val="18"/>
          </w:tcPr>
          <w:p>
            <w:pPr>
              <w:spacing w:after="0"/>
              <w:rPr>
                <w:sz w:val="17"/>
                <w:szCs w:val="17"/>
                <w:color w:val="auto"/>
              </w:rPr>
            </w:pPr>
          </w:p>
        </w:tc>
        <w:tc>
          <w:tcPr>
            <w:tcW w:w="46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20"/>
        </w:trPr>
        <w:tc>
          <w:tcPr>
            <w:tcW w:w="3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0"/>
        </w:trPr>
        <w:tc>
          <w:tcPr>
            <w:tcW w:w="8840" w:type="dxa"/>
            <w:vAlign w:val="bottom"/>
            <w:gridSpan w:val="24"/>
          </w:tcPr>
          <w:p>
            <w:pPr>
              <w:spacing w:after="0"/>
              <w:rPr>
                <w:sz w:val="20"/>
                <w:szCs w:val="20"/>
                <w:color w:val="auto"/>
              </w:rPr>
            </w:pPr>
            <w:r>
              <w:rPr>
                <w:rFonts w:ascii="Arial" w:cs="Arial" w:eastAsia="Arial" w:hAnsi="Arial"/>
                <w:sz w:val="18"/>
                <w:szCs w:val="18"/>
                <w:b w:val="1"/>
                <w:bCs w:val="1"/>
                <w:color w:val="auto"/>
              </w:rPr>
              <w:t>PROSPECTUS</w:t>
            </w:r>
          </w:p>
        </w:tc>
        <w:tc>
          <w:tcPr>
            <w:tcW w:w="248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2240" w:type="dxa"/>
            <w:vAlign w:val="bottom"/>
            <w:tcBorders>
              <w:bottom w:val="single" w:sz="8" w:color="0000EE"/>
            </w:tcBorders>
            <w:gridSpan w:val="10"/>
          </w:tcPr>
          <w:p>
            <w:pPr>
              <w:spacing w:after="0" w:line="190"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6240" w:type="dxa"/>
            <w:vAlign w:val="bottom"/>
            <w:gridSpan w:val="13"/>
          </w:tcPr>
          <w:p>
            <w:pPr>
              <w:spacing w:after="0"/>
              <w:rPr>
                <w:sz w:val="16"/>
                <w:szCs w:val="16"/>
                <w:color w:val="auto"/>
              </w:rPr>
            </w:pPr>
          </w:p>
        </w:tc>
        <w:tc>
          <w:tcPr>
            <w:tcW w:w="24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52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DISCLOSURE REGARDING FORWARD-LOOKING STATEMENTS</w:t>
              </w:r>
            </w:hyperlink>
          </w:p>
        </w:tc>
        <w:tc>
          <w:tcPr>
            <w:tcW w:w="328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ABOUT NN, INC.</w:t>
              </w:r>
            </w:hyperlink>
          </w:p>
        </w:tc>
        <w:tc>
          <w:tcPr>
            <w:tcW w:w="710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72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RATIO OF EARNINGS TO FIXED CHARGES</w:t>
              </w:r>
            </w:hyperlink>
          </w:p>
        </w:tc>
        <w:tc>
          <w:tcPr>
            <w:tcW w:w="496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29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THE SECURITIES</w:t>
              </w:r>
            </w:hyperlink>
          </w:p>
        </w:tc>
        <w:tc>
          <w:tcPr>
            <w:tcW w:w="5560" w:type="dxa"/>
            <w:vAlign w:val="bottom"/>
            <w:gridSpan w:val="1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5440" w:type="dxa"/>
            <w:vAlign w:val="bottom"/>
            <w:gridSpan w:val="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DESCRIPTION OF PREFERRED STOCK</w:t>
              </w:r>
            </w:hyperlink>
          </w:p>
        </w:tc>
        <w:tc>
          <w:tcPr>
            <w:tcW w:w="532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COMMON STOCK</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60" w:type="dxa"/>
            <w:vAlign w:val="bottom"/>
          </w:tcPr>
          <w:p>
            <w:pPr>
              <w:spacing w:after="0"/>
              <w:rPr>
                <w:sz w:val="17"/>
                <w:szCs w:val="17"/>
                <w:color w:val="auto"/>
              </w:rPr>
            </w:pPr>
          </w:p>
        </w:tc>
        <w:tc>
          <w:tcPr>
            <w:tcW w:w="2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552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600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gridSpan w:val="1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642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INFORMATION INCORPORATED BY REFERENCE</w:t>
              </w:r>
            </w:hyperlink>
          </w:p>
        </w:tc>
        <w:tc>
          <w:tcPr>
            <w:tcW w:w="44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EXPERTS</w:t>
              </w:r>
            </w:hyperlink>
          </w:p>
        </w:tc>
        <w:tc>
          <w:tcPr>
            <w:tcW w:w="3040" w:type="dxa"/>
            <w:vAlign w:val="bottom"/>
            <w:tcBorders>
              <w:top w:val="single" w:sz="8" w:color="0000EE"/>
            </w:tcBorders>
            <w:gridSpan w:val="18"/>
          </w:tcPr>
          <w:p>
            <w:pPr>
              <w:spacing w:after="0"/>
              <w:rPr>
                <w:sz w:val="17"/>
                <w:szCs w:val="17"/>
                <w:color w:val="auto"/>
              </w:rPr>
            </w:pPr>
          </w:p>
        </w:tc>
        <w:tc>
          <w:tcPr>
            <w:tcW w:w="46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LEGAL MATTERS</w:t>
              </w:r>
            </w:hyperlink>
          </w:p>
        </w:tc>
        <w:tc>
          <w:tcPr>
            <w:tcW w:w="7000" w:type="dxa"/>
            <w:vAlign w:val="bottom"/>
            <w:gridSpan w:val="1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59" w:lineRule="auto"/>
        <w:rPr>
          <w:sz w:val="20"/>
          <w:szCs w:val="20"/>
          <w:color w:val="auto"/>
        </w:rPr>
      </w:pPr>
      <w:r>
        <w:rPr>
          <w:rFonts w:ascii="Arial" w:cs="Arial" w:eastAsia="Arial" w:hAnsi="Arial"/>
          <w:sz w:val="18"/>
          <w:szCs w:val="18"/>
          <w:color w:val="auto"/>
        </w:rPr>
        <w:t>This document consists of two parts. The first part is the prospectus supplement, which describes the specific terms of the offering. The second part is the prospectus, which describes more general information, some of which may not apply to the offering. You should read both this prospectus supplement and the accompanying prospectus, together with additional information described under the headings “Information Incorporated by Reference” and “Where You Can Find More Information” in this prospectus supplement and the accompanying prospectus.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the information set forth in this prospectus supplement differs in any way from the information set forth in the accompanying prospectus, you should rely on the information set forth in this prospectus supplement.</w:t>
      </w:r>
    </w:p>
    <w:p>
      <w:pPr>
        <w:spacing w:after="0" w:line="166"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into this prospectus supplement and the accompanying prospectus or in any free writing prospectus that we have authorized for use in connection with this offering. We have not, and the underwriters have not, authorized anyone to provide you with information different than that contained in or incorporated by reference into this prospectus supplement and the accompanying prospectus or in any free writing prospectus that we have authorized for use in connection with this offering. We and the underwriters take no responsibility for, and can provide no assurance as to the reliability of, any other information that others may give. If anyone provides you with different or inconsistent information, you should not rely 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it. You should not assume that the information contained in this prospectus supplement, the accompanying prospectus, any document incorporated by reference or any free writing prospectus is accurate as of any date, other than the date mentioned on the cover page of these documents. Our business, financial condition, results of operations and prospects may have changed since such date.</w:t>
      </w:r>
    </w:p>
    <w:p>
      <w:pPr>
        <w:spacing w:after="0" w:line="15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We are not, and the underwriters are not, making an offer to sell the securities described in this prospectus supplement in any jurisdiction in which an offer or solicitation is not authorized or in which the person making such offer or solicitation is not qualified to do so or to anyone to whom it is unlawful to make an offer or solicitation. Neither this prospectus supplement nor the accompanying prospectus constitutes an offer, or an invitation on our behalf or on behalf of the underwriters or any agents,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This summary highlights certain information about us, this offering and the information appearing elsewhere in this prospectus supplement, in the accompanying prospectus and in the documents we incorporate by reference. This summary is not complete and does not contain all of the information that you should consider before investing in our common stock. You should carefully read this entire prospectus supplement, the accompanying prospectus, including the information referred to under the heading “Risk Factors” in this prospectus supplement beginning on page S-10, and the documents incorporated by reference before making an investment decision. Unless otherwise indicated, the terms “the Company,” “we,” “our,” or “us” mean NN, Inc. and its subsidiaries.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NN, Inc. is a diversified industrial company and a leading global manufacturer of metal bearing, plastic, rubber and precision metal components. We were founded in 1980 and are headquartered in Johnson City, Tennessee. We have 26 manufacturing plants in the United States, Mexico, Western Europe, Eastern Europe, South America and China.</w:t>
      </w:r>
    </w:p>
    <w:p>
      <w:pPr>
        <w:spacing w:after="0" w:line="1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Our business is aggregated into three reportable segments, the Metal Bearing Components Segment, the Autocam Precision Components Segment and the Plastic and Rubber Components Segment.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Metal Bearing Components Segment</w:t>
      </w:r>
    </w:p>
    <w:p>
      <w:pPr>
        <w:spacing w:after="0" w:line="11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Metal Bearing Components Segment manufactures and supplies high-precision bearing components, consisting of balls, cylindrical rollers, tapered rollers, spherical rollers and metal retainers, for leading bearing and CV-joint manufacturers on a global basis. We are a leading independent manufacturer of precision steel bearing balls and rollers for the North American, European and Asian markets.</w:t>
      </w:r>
    </w:p>
    <w:p>
      <w:pPr>
        <w:spacing w:after="0" w:line="181"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Through a series of acquisitions and plant expansions, we have built upon our strong core ball business and expanded our bearing component product offering. Today, we offer one of the industry’s most complete lines of commercially available bearing components. We emphasize application-specific, engineered products that take advantage of competencies in product design and tight tolerance manufacturing processes. Our customers use our components in fully assembled ball and roller bearings and CV-joints, which serve a wide variety of end markets, including automotive, industrial, electrical, agricultural, construction, machinery, heavy truck, rail, and mining.</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Autocam Precision Components Segment</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Autocam Precision Components Segment manufactures highly engineered, application-specific and difficult to manufacture precision metal components and subassemblies for the automotive, HVAC, fluid power and diesel engine markets. Our entry into the precision metal components market began in 2006 with the acquisition of Whirlaway Corporation and continued through 2014 with the acquisitions of V-S Industries, Inc., which we refer to as “V-S Industries,” and Autocam Corporation, which we refer to as “Autocam.” These acquisitions are part of our strategy to diversify our end markets and build on our core manufacturing competency of high-precision metal machining.</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Plastic and Rubber Components Segment</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Plastic and Rubber Components Segment manufactures high-precision molded plastic products and rubber seals for leading bearing manufacturers and assembled part suppliers in the automotive and retail markets on a global basis. Our specialized plastic products include automotive components, bearing retainers, electronic instrument cases and other molded components used in a variety of industrial and consumer applications. Our rubber seals are used in various automotive, industrial and mining applications.</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following charts illustrate the diversification of our revenue for fiscal year 2014 on a pro forma basis as if the acquisitions completed in 2014 had occurred on January 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Unique High-Volume / High-Precision Manufacturing Capabilities</w:t>
      </w:r>
    </w:p>
    <w:p>
      <w:pPr>
        <w:spacing w:after="0" w:line="117"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We believe our ability to produce high-precision parts at high production volumes is among the best in the metal components industry. Unique specialty machine building capabilities, in-house tool design and process know-how create trade secrets that enable consistent production tolerances of less than one micron while producing millions of parts per day. Parts are manufactured to application-specific, customer 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clear competitive advantage as few other manufacturers are capable of meeting tolerance demands at high volume levels. As the use of tight-tolerance precision parts continues to increase, we believe that our production capabilities will place us at the forefront of the industry.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Differentiated, System-Critical Products</w:t>
      </w:r>
    </w:p>
    <w:p>
      <w:pPr>
        <w:spacing w:after="0" w:line="117"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The tight-tolerance and high-quality nature of our precision products are specifically suited for use in the most demanding applications that require superior reliability. Our products are often the critical components to the operation and reliability of larger mechanical sub-systems.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Complete Product Lifecycle Focus</w:t>
      </w:r>
    </w:p>
    <w:p>
      <w:pPr>
        <w:spacing w:after="0" w:line="11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Our engineering expertise and deep knowledge of precision manufacturing processes add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metal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production engineering services further deepen relationships with our customers as well as provide additional industry knowledge that is applicable to future design programs and provide continuous manufacturing process improvement.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Strategic Global Footprint</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Our 26 facilities, on four continents, are strategically located to serve our customer base and provide local service and expertise. Our global footprint provides flexibility to locally supply identical products for global customers, reducing shipping time and expense, and allowing us to capitalize on industry localization trends. In total, we operate more than 2.6 million square feet of manufacturing space in ten countries. North America constitutes the largest portion of our manufacturing operations with 13 facilities in the United States and Mexico. The North American facilities are strategically located to serve major customers in the Southeast and Midwest United States and Northern Mexico. The European facilities are located in regional manufacturing hubs in France, Poland, Italy, Slovakia, the Netherlands and Bosnia, and primarily serve local customers. The Asian and South American facilities were established to serve specific customers and, while constituting a relatively small portion of current overall revenue, we believe have significant growth potential as local customer bases expand and the markets for high-precision products grow in those regions.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Blue-Chip Customer Base</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maintain relationships with more than 500 customers around the world. Our customers are typically sophisticated, engineering-driven, mechanical systems manufacturers with long histories of product development and reputations for quality. Our products are primarily sold either under sales contracts or agreed upon commercial terms. We have no significant retail exposure, which limits volatility and provides enhanced sales visibility. Relationships with our top ten customers, in terms of revenue, average more than ten years, with our top customer relationship spanning more than 25 years. Approximately half of our customers are located outside of North America, and we have meaningful exposure to emerging markets in Asia, South America and Eastern Europe. The diverse nature, size and reach of our customer base provide resistance to localized market and geographic fluctuations and help stabilize overall product demand.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Proven and Experienced Management Team</w:t>
      </w:r>
    </w:p>
    <w:p>
      <w:pPr>
        <w:spacing w:after="0" w:line="117"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We believe that we are led by one of the strongest management teams in our industry, with significant proven experience in precision manufacturing and the diversified industrial sector. Rich Holder was named Chief Executive Officer and director in 2013. Mr. Holder joined us from Eaton Corporation, where he served as President of Eaton Electronics Components, and brings to us a proven record of leadership, successful team building and relevant experience in both organic and acquisition growth. He has since assembled a deep management team through retention of key talent, recent acquisitions and new hires. Jim Dorton, our Chief Financial Officer, has been with us since 2005 and has been involved in each of our recent acquisitions. Most recently, we hired Jeff Manzagol as General Manager of the Metal Bearing Components Segment and Warren Veltman as General Manager of the Autocam Precision Components Segment. Mr. Manzagol has more than 36 years of industry experience and previously was the President of the Bearings Division at Kaydon Corporation. Mr. Veltman has 25 years of experience at Autocam and was instrumental in building Autocam into a premier precision metal components producer. Our management team averages over 20 years of industry experience and has significant proprietary market, product and operational knowledge. Our management team has successfully executed and integrated five acquisitions over the last two years, increasing revenue by more than 47.5% since 2013. We believe that current management has the necessary talent and experience to meet and exceed our organic and acquisition growth goals.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We are focused on growing our business in markets that require high-precision capabilities and that complement our strong, global operating platform, proprietary trade secrets and manufacturing know-how. Our growth strategy emphasizes the following elements: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Capitalize on Organic Growth Opportunities</w:t>
      </w:r>
    </w:p>
    <w:p>
      <w:pPr>
        <w:spacing w:after="0" w:line="117"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We believe there are strong growth opportunities for our existing product segments within the current markets and customers that we serve. Most significantly, market trends within the automotive industry are expected to drive increased sales of both our Metal Bearing Components and Precision Components Segments. The Metal Bearing Components Segment has opportunities to significantly grow in international markets and with the existing customer base as supply chain localization trends continue and original equipment manufacturers (OEMs) focus on increased outsourcing. The Autocam Precision Components Segment has significant growth potential in products that are used in fuel efficient technologies and whose adoption are being driven by rapidly increasing global fuel efficiency standards. We currently produce parts that are used in the most effective and widely adopted fuel saving technologies, including gasoline direct injection (GDI), high pressure diesel, multi-speed transmission, variable valve timing, and electric power steering. We have a leading presence in the GDI market, which provides the most significant fuel efficiency increase relative to additional cost per vehicle. The average GDI system includes $60.00 of precision parts as compared to $6.00 of parts in conventional multi-point fuel injection. With global market growth forecast by IHS to be more than 15% annually, leading to a near 45% adoption rate by 2018, GDI represents a robust growth opportunity for which we are ideally positioned. Organic product growth is complemented by recent strategic initiatives that have created one corporate identity and enhanced our marketing efforts to better leverage newly acquired sales professionals and drive additional sales in existing markets.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Focus on Adjacent Markets</w:t>
      </w:r>
    </w:p>
    <w:p>
      <w:pPr>
        <w:spacing w:after="0" w:line="117"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We believe that there are significant opportunities to grow our product offering to tangential markets and increase our customer base. Our high-precision production capabilities and product lines are well-suited for many applications and are capable of serving a diverse set of end markets. The medical, aerospace, and industrial equipment markets use component parts that are manufactured in substantially the same way as our existing products. For example, precision balls used in automotive and industrial applications can also be used in aerospace markets with proper certifications.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Attractive End Market Dynamics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sell our products into high-growth areas of large global markets. The light automotive market is expected to grow significantly through 2019, driven by strong sales in both North America and Asia. Within the automotive market, fuel efficiency standards continue to increase at unprecedented rates. According to The National Highway Traffic Safety Administration and the European Union Commission on Climate Action, United States and European fuel efficiency requirements are slated to increase by 28% and 37%, respectively, by 2020. The rapidly escalating standards are driving OEMs to accelerate the development and adoption of new fuel-saving technologies, including GDI, high pressure diesel, multi-speed transmission, variable valve timing, and electric power steering. GDI technology provides the most significant increase in fuel efficiency at the lowest on-cost to the vehicle. All of the fuel-saving technologies require many high-precision components to meet the strict performance and durability standards of vehicle manufacturers.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Disciplined Approach to Acquisitions</w:t>
      </w:r>
    </w:p>
    <w:p>
      <w:pPr>
        <w:spacing w:after="0" w:line="11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We have successfully completed a number of acquisitions since our founding in 1980. Our approach to acquisitions has been to pursue only strategic targets that fit within our core competencies and broaden our reach</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within attractive end markets and geographies. We have a proven integration model that has allowed us to effectively integrate 11 acquisitions since our first strategic acquisition in 1999. Five of those 11 acquisitions occurred since 2014, including the transformative acquisition of Autocam.</w:t>
      </w:r>
    </w:p>
    <w:p>
      <w:pPr>
        <w:spacing w:after="0" w:line="29" w:lineRule="exact"/>
        <w:rPr>
          <w:sz w:val="20"/>
          <w:szCs w:val="20"/>
          <w:color w:val="auto"/>
        </w:rPr>
      </w:pPr>
    </w:p>
    <w:p>
      <w:pPr>
        <w:ind w:left="1060" w:hanging="323"/>
        <w:spacing w:after="0" w:line="259"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February 2014, we acquired V-S Industries, a manufacturer of precision metal components with locations in Wheeling, Illinois and Juarez, Mexico. The acquisition of V-S Industries provided us with a broader product offering and allowed for penetration into adjacent markets. V-S Industries’ products serve a variety of industries including electric motors, HVAC, power tools, automotive and medical. V-S Industries’ operations were integrated with the Autocam Precision Components Segment.</w:t>
      </w:r>
    </w:p>
    <w:p>
      <w:pPr>
        <w:spacing w:after="0" w:line="92" w:lineRule="exact"/>
        <w:rPr>
          <w:rFonts w:ascii="Arial" w:cs="Arial" w:eastAsia="Arial" w:hAnsi="Arial"/>
          <w:sz w:val="18"/>
          <w:szCs w:val="18"/>
          <w:color w:val="auto"/>
        </w:rPr>
      </w:pPr>
    </w:p>
    <w:p>
      <w:pPr>
        <w:ind w:left="1060" w:right="320" w:hanging="323"/>
        <w:spacing w:after="0" w:line="25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June 2014, we acquired RFK Valjcici d.d. Konjic, which we refer to as “RFK” or our “Konjic Plant,” a manufacturer of tapered rollers located in Konjic, Bosnia and Herzegovina. RFK’s products complemented our existing roller bearing products and broadened the Company’s product offering and allowed penetration into adjacent markets. RFK exports all of its products to customers serving the European truck, industrial vehicle and railway markets. RFK’s operations were integrated with our European Metal Bearing Components Segment.</w:t>
      </w:r>
    </w:p>
    <w:p>
      <w:pPr>
        <w:spacing w:after="0" w:line="93"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July 2014, we acquired Chelsea Grinding Company, a manufacturer of cylindrical rollers used primarily in the hydraulic pump industry. We integrated this operation into our Metal Bearing Components Segment to expand our customer base and to serve markets in which manufacturers utilize cylindrical rollers.</w:t>
      </w:r>
    </w:p>
    <w:p>
      <w:pPr>
        <w:spacing w:after="0" w:line="86" w:lineRule="exact"/>
        <w:rPr>
          <w:rFonts w:ascii="Arial" w:cs="Arial" w:eastAsia="Arial" w:hAnsi="Arial"/>
          <w:sz w:val="18"/>
          <w:szCs w:val="18"/>
          <w:color w:val="auto"/>
        </w:rPr>
      </w:pPr>
    </w:p>
    <w:p>
      <w:pPr>
        <w:ind w:left="1060" w:right="40" w:hanging="323"/>
        <w:spacing w:after="0" w:line="279" w:lineRule="auto"/>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August 2014, we acquired Autocam, a manufacturer of high-precision metal components serving primarily the automotive and fluid power industries. Headquartered in Kentwood, Michigan, Autocam manufactures and assembles highly complex, system critical components for fuel systems, engines, transmission, power steering and electric motors. Following the acquisition of Autocam, we combined our Whirlaway and V-S Industries businesses under the renamed Autocam Precision Components.</w:t>
      </w:r>
    </w:p>
    <w:p>
      <w:pPr>
        <w:spacing w:after="0" w:line="76" w:lineRule="exact"/>
        <w:rPr>
          <w:rFonts w:ascii="Arial" w:cs="Arial" w:eastAsia="Arial" w:hAnsi="Arial"/>
          <w:sz w:val="17"/>
          <w:szCs w:val="17"/>
          <w:color w:val="auto"/>
        </w:rPr>
      </w:pPr>
    </w:p>
    <w:p>
      <w:pPr>
        <w:ind w:left="1060" w:right="160" w:hanging="323"/>
        <w:spacing w:after="0" w:line="264"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May 2015, we acquired Caprock Manufacturing, Inc., a plastic components supplier located in Lubbock, Texas. Caprock serves multiple end markets including aerospace, medical and general industrial. The Caprock acquisition is part of our strategic plan to build a robust plastics business.</w:t>
      </w:r>
    </w:p>
    <w:p>
      <w:pPr>
        <w:spacing w:after="0" w:line="181"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Going forward, we expect acquisitions will represent an attractive means for us to further complement our existing high-precision manufacturing capabilities and product lines while increasing our overall exposure to end markets outside of automotive.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were founded in October 1980 and are incorporated in Delaware. Our principal executive offices are located at 207 Mockingbird Lane, Johnson City, Tennessee, and our telephone number is (423) 434-8300. Our website address is www.nninc.com. The information contained on our website or that can be accessed through our website does not constitute part of this prospectus supplement other than documents that we file with the SEC that are incorporated by reference into this prospectus supplement.</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13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913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i w:val="1"/>
          <w:iCs w:val="1"/>
          <w:color w:val="auto"/>
        </w:rPr>
        <w:t>The following is a brief summary of certain terms of this offering and is not intended to be complete. It does not contain all of the information that will be important to a purchaser of our common stock. For a more complete description of our common stock, see “Description of Common Stock” in the accompanying prospectus.</w:t>
      </w:r>
    </w:p>
    <w:p>
      <w:pPr>
        <w:sectPr>
          <w:pgSz w:w="11900" w:h="16838" w:orient="portrait"/>
          <w:cols w:equalWidth="0" w:num="1">
            <w:col w:w="11260"/>
          </w:cols>
          <w:pgMar w:left="240" w:top="459" w:right="39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6,600,000 shares (or 7,590,000 shares if the underwriters’ option to purchase additional shares is exercised in full).</w:t>
      </w:r>
    </w:p>
    <w:p>
      <w:pPr>
        <w:spacing w:after="0" w:line="17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80" w:hanging="81"/>
        <w:spacing w:after="0" w:line="277" w:lineRule="auto"/>
        <w:rPr>
          <w:sz w:val="20"/>
          <w:szCs w:val="20"/>
          <w:color w:val="auto"/>
        </w:rPr>
      </w:pPr>
      <w:r>
        <w:rPr>
          <w:rFonts w:ascii="Arial" w:cs="Arial" w:eastAsia="Arial" w:hAnsi="Arial"/>
          <w:sz w:val="18"/>
          <w:szCs w:val="18"/>
          <w:color w:val="auto"/>
        </w:rPr>
        <w:t>Common stock to be outstanding immediately after this offering</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25,844,339 shares (or 26,834,339 shares if the underwriters’ option to purchase additional shares is exercised in full).</w:t>
      </w:r>
    </w:p>
    <w:p>
      <w:pPr>
        <w:spacing w:after="0" w:line="200" w:lineRule="exact"/>
        <w:rPr>
          <w:sz w:val="20"/>
          <w:szCs w:val="20"/>
          <w:color w:val="auto"/>
        </w:rPr>
      </w:pPr>
    </w:p>
    <w:p>
      <w:pPr>
        <w:sectPr>
          <w:pgSz w:w="11900" w:h="16838" w:orient="portrait"/>
          <w:cols w:equalWidth="0" w:num="2">
            <w:col w:w="4200" w:space="200"/>
            <w:col w:w="6860"/>
          </w:cols>
          <w:pgMar w:left="240" w:top="459" w:right="39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40"/>
        <w:spacing w:after="0" w:line="302" w:lineRule="auto"/>
        <w:rPr>
          <w:sz w:val="20"/>
          <w:szCs w:val="20"/>
          <w:color w:val="auto"/>
        </w:rPr>
      </w:pPr>
      <w:r>
        <w:rPr>
          <w:rFonts w:ascii="Arial" w:cs="Arial" w:eastAsia="Arial" w:hAnsi="Arial"/>
          <w:sz w:val="16"/>
          <w:szCs w:val="16"/>
          <w:color w:val="auto"/>
        </w:rPr>
        <w:t>We intend to use the net proceeds from this offering to repay debt under our term loan and asset-backed revolving credit facility, and the remainder of the net proceeds will be used for other general corporate purposes, including to fund acquisitions and investments, to finance capital expenditures, to repay or refinance other borrowings and to provide working capital.</w:t>
      </w:r>
    </w:p>
    <w:p>
      <w:pPr>
        <w:spacing w:after="0" w:line="18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An affiliate of KeyBanc Capital Markets Inc., which is the representative for the underwriters in this offering, serves as Joint Lead Arranger, Joint Bookrunner and Syndication Agent under the term loan. Furthermore, an affiliate of KeyBanc Capital Markets Inc. is a lender under the asset-backed revolving credit facility and also serves as the Joint Lead Arranger, Joint Bookrunner and Administrative Agent under the asset-backed revolving credit facility. Accordingly, this offering is being made in compliance with the applicable provisions of Rule 5121 of the Financial Industry Regulatory Authority, Inc., or FINRA. In accordance with FINRA Rule 5121, KeyBanc Capital Markets Inc. will not confirm any sales to any account over which it exercises discretionary authority without specific written approval of the transaction from the account holder. See “Use of Proceeds” and “Underwriting (Conflicts of Interest) — Conflicts of Interest” for more information.</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quoted on NASDAQ under the symbol “NNBR.”</w:t>
      </w:r>
    </w:p>
    <w:p>
      <w:pPr>
        <w:spacing w:after="0" w:line="21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See “Risk Factors” beginning on page S-10 and other information included in this prospectus supplement and the accompanying prospectus or incorporated herein and therein by reference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4" w:lineRule="exact"/>
        <w:rPr>
          <w:sz w:val="20"/>
          <w:szCs w:val="20"/>
          <w:color w:val="auto"/>
        </w:rPr>
      </w:pPr>
    </w:p>
    <w:p>
      <w:pPr>
        <w:ind w:left="620" w:hanging="423"/>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number of shares of common stock to be outstanding immediately after this offering is based on 19,244,339 shares outstanding as of June 25,</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2015 and excludes as of that date:</w:t>
      </w:r>
    </w:p>
    <w:p>
      <w:pPr>
        <w:spacing w:after="0" w:line="116" w:lineRule="exact"/>
        <w:rPr>
          <w:rFonts w:ascii="Arial" w:cs="Arial" w:eastAsia="Arial" w:hAnsi="Arial"/>
          <w:sz w:val="16"/>
          <w:szCs w:val="16"/>
          <w:color w:val="auto"/>
        </w:rPr>
      </w:pPr>
    </w:p>
    <w:p>
      <w:pPr>
        <w:ind w:left="1060" w:right="60" w:hanging="323"/>
        <w:spacing w:after="0" w:line="277" w:lineRule="auto"/>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1,071,239 shares of common stock issuable upon the exercise of outstanding stock options, with a weighted average exercise price of $12.11 per share;</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36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98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302,474 additional shares of common stock reserved for issuance pursuant to outstanding equity awards issued under our equity compensation plans; and</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768,416 shares of common stock reserved for future awards pursuant to our equity compensation plans.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that the underwriters will not exercise their option to purchase up to an additional 990,000 shares of common stock from us.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87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200" w:right="320" w:firstLine="443"/>
        <w:spacing w:after="0" w:line="273" w:lineRule="auto"/>
        <w:rPr>
          <w:sz w:val="20"/>
          <w:szCs w:val="20"/>
          <w:color w:val="auto"/>
        </w:rPr>
      </w:pPr>
      <w:r>
        <w:rPr>
          <w:rFonts w:ascii="Arial" w:cs="Arial" w:eastAsia="Arial" w:hAnsi="Arial"/>
          <w:sz w:val="17"/>
          <w:szCs w:val="17"/>
          <w:color w:val="auto"/>
        </w:rPr>
        <w:t>The following tables set forth our summary consolidated financial and other data. The financial data have been derived from our audited consolidated financial statements, except for the quarterly financial data, which have been derived from our condensed consolidated unaudited financial statements. In the opinion of management, the unaudited quarterly financial data reflect all adjustments necessary for a fair statement of the results and financial position of such periods. The quarterly results are not necessarily indicative of the results for the full year. You should read the following information in conjunction with our consolidated financial statements, and related notes thereto, incorporated by reference into this prospectus supplement and accompanying prospectus, as well as the information included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4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4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370,084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373,206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w w:val="95"/>
              </w:rPr>
              <w:t>488,601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102,528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163,746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294,859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295,136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w w:val="95"/>
              </w:rPr>
              <w:t>384,889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80,283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129,317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43,756</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10,030</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Acquisition-related costs excluded from selling, general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9,248</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17,643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16,957</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22,146</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8,494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27,827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27,687</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12,293</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20,341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w w:val="87"/>
              </w:rPr>
              <w:t>(1)</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8,217</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0.30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4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Cash Flows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30,708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(17,418)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Investing activities</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(15,250)</w:t>
            </w:r>
          </w:p>
        </w:tc>
        <w:tc>
          <w:tcPr>
            <w:tcW w:w="100" w:type="dxa"/>
            <w:vAlign w:val="bottom"/>
          </w:tcPr>
          <w:p>
            <w:pPr>
              <w:spacing w:after="0"/>
              <w:rPr>
                <w:sz w:val="18"/>
                <w:szCs w:val="18"/>
                <w:color w:val="auto"/>
              </w:rPr>
            </w:pPr>
          </w:p>
        </w:tc>
        <w:tc>
          <w:tcPr>
            <w:tcW w:w="1140" w:type="dxa"/>
            <w:vAlign w:val="bottom"/>
            <w:gridSpan w:val="2"/>
          </w:tcPr>
          <w:p>
            <w:pPr>
              <w:jc w:val="right"/>
              <w:ind w:right="363"/>
              <w:spacing w:after="0"/>
              <w:rPr>
                <w:sz w:val="20"/>
                <w:szCs w:val="20"/>
                <w:color w:val="auto"/>
              </w:rPr>
            </w:pPr>
            <w:r>
              <w:rPr>
                <w:rFonts w:ascii="Arial" w:cs="Arial" w:eastAsia="Arial" w:hAnsi="Arial"/>
                <w:sz w:val="18"/>
                <w:szCs w:val="18"/>
                <w:color w:val="auto"/>
                <w:w w:val="88"/>
              </w:rPr>
              <w:t>(281,608)</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(9,444)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(32,291)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w w:val="95"/>
              </w:rPr>
              <w:t>286,973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12,363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27,602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44,243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63,043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140" w:type="dxa"/>
            <w:vAlign w:val="bottom"/>
            <w:gridSpan w:val="2"/>
          </w:tcPr>
          <w:p>
            <w:pPr>
              <w:jc w:val="right"/>
              <w:ind w:right="26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0" w:type="dxa"/>
            <w:vAlign w:val="bottom"/>
            <w:tcBorders>
              <w:bottom w:val="single" w:sz="8" w:color="auto"/>
            </w:tcBorders>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gridSpan w:val="3"/>
          </w:tcPr>
          <w:p>
            <w:pPr>
              <w:jc w:val="right"/>
              <w:ind w:right="700"/>
              <w:spacing w:after="0"/>
              <w:rPr>
                <w:sz w:val="20"/>
                <w:szCs w:val="20"/>
                <w:color w:val="auto"/>
              </w:rPr>
            </w:pPr>
            <w:r>
              <w:rPr>
                <w:rFonts w:ascii="Arial" w:cs="Arial" w:eastAsia="Arial" w:hAnsi="Arial"/>
                <w:sz w:val="18"/>
                <w:szCs w:val="18"/>
                <w:color w:val="auto"/>
                <w:w w:val="92"/>
              </w:rPr>
              <w:t>S-8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0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694,386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533,098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161,288</w:t>
            </w:r>
          </w:p>
        </w:tc>
        <w:tc>
          <w:tcPr>
            <w:tcW w:w="0" w:type="dxa"/>
            <w:vAlign w:val="bottom"/>
          </w:tcPr>
          <w:p>
            <w:pPr>
              <w:spacing w:after="0"/>
              <w:rPr>
                <w:sz w:val="1"/>
                <w:szCs w:val="1"/>
                <w:color w:val="auto"/>
              </w:rPr>
            </w:pPr>
          </w:p>
        </w:tc>
      </w:tr>
      <w:tr>
        <w:trPr>
          <w:trHeight w:val="369"/>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300" w:type="dxa"/>
            <w:vAlign w:val="bottom"/>
            <w:gridSpan w:val="2"/>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Reconciliations: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24,268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17,178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8,217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5,238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12,293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17,643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16,957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22,146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41,862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44,509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48,442</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3"/>
              </w:rPr>
              <w:t>12,132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21,889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Adjustments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Acquisition and integration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11,856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Foreign exchange loss on intercompany loans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44,243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45,186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63,043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20" w:right="480" w:hanging="423"/>
        <w:spacing w:after="0" w:line="258"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year ended December 31, 2014, includes the impact of $14,831 pre-tax and $13,553 after-tax acquisition-related costs due to the four acquisitions completed in 2014.</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$257,664 of cash paid to acquire businesses, net of cash received for the year ended December 31, 2014.</w:t>
      </w:r>
    </w:p>
    <w:p>
      <w:pPr>
        <w:spacing w:after="0" w:line="211"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EBITDA is defined as net income before interest expense and interest income, income taxes, and depreciation and amortization. We adjust EBITDA to exclude acquisition and integration costs, restructuring and impairment charges, and foreign exchange losses on intercompany loans. We believe excluding such items provides a more effective and comparable measure of performance and a clearer view of underlying trends. EBITDA and Adjusted EBITDA, as calculated by us, may not be comparable to EBITDA and Adjusted EBITDA reported by other companies that do not define such terms exactly as we do. EBITDA and Adjusted EBITDA should not be considered as an alternative measure of our operating performance.</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Investing in our common stock involves a degree of risk. Please see the risk factors described below and in our most recent Annual Report on Form 10-K for the year ended December 31, 2014, which are incorporated by reference in this prospectus, together with the other information in this prospectus, including the information and documents incorporated by reference herein. If any of these risks actually occurs, our business, financial condition, results of operations or cash flow could be harmed. This could cause the trading price of our common stock to decline, resulting in a loss of all or part of your investment. The risks described below and in the documents referenced above are not the only ones that we face. Additional risks not presently known to us or that we currently deem immaterial may also affect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Management will have broad discretion over the use of the remaining net proceeds from this offering and may apply the net proceeds in ways that do not improve our operating results or increase the value of your investment.</w:t>
      </w:r>
    </w:p>
    <w:p>
      <w:pPr>
        <w:spacing w:after="0" w:line="62" w:lineRule="exact"/>
        <w:rPr>
          <w:sz w:val="20"/>
          <w:szCs w:val="20"/>
          <w:color w:val="auto"/>
        </w:rPr>
      </w:pPr>
    </w:p>
    <w:p>
      <w:pPr>
        <w:jc w:val="both"/>
        <w:ind w:right="320" w:firstLine="456"/>
        <w:spacing w:after="0" w:line="279" w:lineRule="auto"/>
        <w:rPr>
          <w:sz w:val="20"/>
          <w:szCs w:val="20"/>
          <w:color w:val="auto"/>
        </w:rPr>
      </w:pPr>
      <w:r>
        <w:rPr>
          <w:rFonts w:ascii="Arial" w:cs="Arial" w:eastAsia="Arial" w:hAnsi="Arial"/>
          <w:sz w:val="17"/>
          <w:szCs w:val="17"/>
          <w:color w:val="auto"/>
        </w:rPr>
        <w:t>We intend to use approximately $120 million of the net proceeds from this offering to repay borrowings outstanding under our term loan and asset-backed revolving credit facility. Our management will have broad discretion in the application of any remaining net proceeds from this offering and could spend such net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and preferred stock may depress the price of our common stock.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of June 25, 2015, there were 19,244,339 shares of our common stock outstanding, 1,071,239 shares of common stock issuable upon the exercise of outstanding stock options, with a weighted average exercise price of $12.11 per share, and an additional 302,474 shares of our common stock that may be issued in connection with outstanding equity awards held by management, other employees and directors. As of June 25, 2015, 768,416 shares of our common stock were reserved for future awards pursuant to our equity compensation plans without stockholder approval. We also have the authority to issue up to 5,000,000 shares of preferred stock upon terms that are determined by our Board of Directors. In addition, in 2015, we registered with the SEC the potential issuance of debt securities, shares of preferred stock, shares of common stock, warrants and units of the Company in an amount up to $200,000,000 on a registration statement on Form S-3 (which amount includes the shares of common stock that may be issued and sold pursuant to this offering). These securities, if issued, may be used for working capital and general corporate purposes, or used in future acquisitions, respectively, subject to the covenants of any existing and future outstanding indebtedness. Sales of a substantial number of these securities in the public market, or factors relating to the terms we may determine for our common stock, preferred stock, debt securities, warrants, units and options, could decrease the market price of our common stock. In addition, the perception that such sales might occur may cause the market price of our common stock to decline. Future issuances or sales of our common stock could have an adverse effect on the market price of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able to issue shares of preferred stock with greater rights than our common stock.</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Board of Directors is authorized to issue one or more series of preferred stock from time to time without any action on the part of our stockholders. Our Board of Directors also has the power, without stockholder approval, to set the terms of any such series of preferred stock that may be issued, including voting rights, dividend rights and preferences over our common stock with respect to dividends and other terms. If we issue preferred stock in the future that has a preference over our common stock with respect to the payment of dividends or other terms, or if we issue preferred stock with voting rights that dilute the voting power of our common stock, the rights of holders of our common stock or the market price of our common stock could be adversely affected.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Except for specific historical information, many of the matters discussed in this prospectus supplement and the accompanying prospectus, including the information incorporated by reference into this prospectus supplement and the accompanying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that may cause our actual performance to differ materially from those expressed or implied by this discussion. All forward-looking information appearing in this prospectus supplement and the accompanying prospectus, including the information incorporated by reference into this prospectus supplement and the accompanying prospectus, is provided by us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that could materially affect actual results include, but are not limited to: general economic conditions and economic conditions in the industrial sector, inventory levels, regulatory compliance costs and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our source(s) of financing, the future performance and prospects of an acquired business, the expected benefits of an acquisition on our future business and operations and our ability to successfully integrate recently acquired businesses.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3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this prospectus supplement as well as in our Annual Report on Form 10-K for the fiscal year ended December 31, 2014 and our other reports on file with the SEC. Except as required by law, we undertake no obligation to update or revise any forward-looking statements we make in this prospectus supplement or the accompanying prospectus, whether as a result of new information, future events or otherwise.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estimate that the net proceeds from the sale of the 6,600,000 shares of common stock that we are offering will be approximately $150.0 million, or approximately $173.1 million if the underwriters exercise in full their option to purchase an additional 990,000 shares of common stock, based on the public offering price of $24.00 per share and after deducting the underwriting discounts and estimated offering expenses payable by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intend to use the net proceeds from this offering for the following purposes:</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$103.0 million to repay a portion of borrowings outstanding under our term loan;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$17.0 million to repay a portion of our asset-backed revolving credit facility;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remainder of the net proceeds will be used for other general corporate purposes, including to fund acquisitions and investments, to finance capital expenditures, to repay or refinance other borrowings and to provide working capital.</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interest rate on borrowings under our term loan is based on a variable rate, which, at June 25, 2015, was at the greater of 1% or 3-month LIBOR (0.281% at June 25, 2015), plus an applicable margin of 5.00%. The term loan matures on August 29, 2021. The interest rate on borrowings under our asset-backed revolving credit facility is also based on a variable rate, which, at June 25, 2015, was equal to LIBOR (0.187% at June 25, 2015), plus an applicable margin of 1.75%. The asset-backed revolving credit facility matures on the earlier of August 29, 2019 or the date that is six months prior to the maturity date of the term loan.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 affiliate of KeyBanc Capital Markets Inc., which is the representative for the underwriters in this offering, serves as Joint Lead Arranger, Joint Bookrunner and Syndication Agent under the term loan. Furthermore, an affiliate of KeyBanc Capital Markets Inc. is a lender under the asset-backed revolving credit facility and also serves as the Joint Lead Arranger, Joint Bookrunner and Administrative Agent under the asset-backed revolving credit facility. Accordingly, this offering is being made in compliance with the applicable provisions of FINRA Rule 5121. See “Underwriting (Conflicts of Interest) —Conflicts of Interest.”</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expected use of net proceeds for this offering represents our current intentions based upon our present plans and business conditions. However, the amount and timing of actual expenditures may vary significantly depending on a number of factors, such as the availability of acquisition opportunities, the status of our sales activities, the amount of cash otherwise used by operations and the availability of debt financing on terms advantageous to us. Accordingly, our management will have broad discretion in the application of such net proceeds, and investors will be relying on the judgment of our management regarding the application of the net proceeds from the sale of shares of common stock by 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2015:</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an as adjusted basis to give effect to the sale by us of 6,600,000 shares of our common stock in this offering, after deducting underwriting discounts and commissions and estimated offering expenses payable by us as described in the section entitled “Use of Proceeds.”</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You should read this information in conjunction with the information provided in the sections entitled “Use of Proceeds” and our consolidated financial statements and related notes incorporated herein by reference.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March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5"/>
          </w:tcPr>
          <w:p>
            <w:pPr>
              <w:jc w:val="right"/>
              <w:ind w:right="153"/>
              <w:spacing w:after="0" w:line="142" w:lineRule="exact"/>
              <w:rPr>
                <w:sz w:val="20"/>
                <w:szCs w:val="20"/>
                <w:color w:val="auto"/>
              </w:rPr>
            </w:pPr>
            <w:r>
              <w:rPr>
                <w:rFonts w:ascii="Arial" w:cs="Arial" w:eastAsia="Arial" w:hAnsi="Arial"/>
                <w:sz w:val="14"/>
                <w:szCs w:val="14"/>
                <w:b w:val="1"/>
                <w:bCs w:val="1"/>
                <w:color w:val="auto"/>
                <w:w w:val="94"/>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23,248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334,995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214,995</w:t>
            </w:r>
          </w:p>
        </w:tc>
        <w:tc>
          <w:tcPr>
            <w:tcW w:w="0" w:type="dxa"/>
            <w:vAlign w:val="bottom"/>
          </w:tcPr>
          <w:p>
            <w:pPr>
              <w:spacing w:after="0"/>
              <w:rPr>
                <w:sz w:val="1"/>
                <w:szCs w:val="1"/>
                <w:color w:val="auto"/>
              </w:rPr>
            </w:pP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Common stock — $0.01 par value, 45,000,000 shares authorized, 19,057,716 issued and outstanding, actual;</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25,657,716 issued and outstanding, as adjusted</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99,871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73,688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(12,493)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161,288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519,531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5520"/>
              <w:spacing w:after="0"/>
              <w:rPr>
                <w:sz w:val="20"/>
                <w:szCs w:val="20"/>
                <w:color w:val="auto"/>
              </w:rPr>
            </w:pPr>
            <w:r>
              <w:rPr>
                <w:rFonts w:ascii="Arial" w:cs="Arial" w:eastAsia="Arial" w:hAnsi="Arial"/>
                <w:sz w:val="18"/>
                <w:szCs w:val="18"/>
                <w:color w:val="auto"/>
              </w:rPr>
              <w:t>S-13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Subject to the terms and conditions set forth in an underwriting agreement by and between KeyBanc Capital Markets Inc., as representative for the underwriters named in the agreement, and us, we have agreed to sell to each underwriter, and each underwriter has severally agreed to purchase from us, the number of shares of common stock set forth opposite its name in the table below:</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36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Number of Shares</w:t>
            </w: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KeyBanc</w:t>
            </w:r>
          </w:p>
        </w:tc>
        <w:tc>
          <w:tcPr>
            <w:tcW w:w="8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Markets Inc.</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660,000</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Stephens Inc.</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660,000</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660,000</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Avondale Partners, LLC</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CJS Securities, Inc.</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w:t>
            </w:r>
          </w:p>
        </w:tc>
      </w:tr>
      <w:tr>
        <w:trPr>
          <w:trHeight w:val="223"/>
        </w:trPr>
        <w:tc>
          <w:tcPr>
            <w:tcW w:w="93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6,600,000</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Under the terms of the underwriting agreement, the underwriters are committed to purchase all of these shares if any shares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underwriting agreement provides that the underwriters’ obligation to purchase the common stock depends on the satisfaction of the conditions contained in the underwriting agreement. The conditions contained in the underwriting agreement include the requirement that the representations and warranties made by us to the underwriters are true, that there is no material change in the financial markets and that we deliver to the underwriters customary closing documents.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underwriters propose to offer the shares of common stock directly to the public at the public offering price set forth on the cover of this prospectus and to certain dealers at such price less a concession not in excess of $0.72 per share. If all of the shares are not sold at the public offering price, the representative of the underwriters may change the public offering price and the other selling terms.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granted the underwriters an option to purchase up to an additional 990,000 shares from us at the public offering price less the underwriting discount. The underwriters may exercise the option for 30 days from the date of this prospectus supplement. If the underwriters exercise this option, each will be obligated, subject to conditions contained in the underwriting agreement, to purchase a number of additional shares of common stock proportionate to that underwriter’s initial amount reflected in the above table.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 that we will pay to the underwriters. These amounts are shown assuming both no exercise and full exercise of the underwriters’ option to purchase additional shares.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color w:val="auto"/>
              </w:rPr>
              <w:t>Total Without Option</w:t>
            </w:r>
          </w:p>
        </w:tc>
        <w:tc>
          <w:tcPr>
            <w:tcW w:w="3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Total With Option</w:t>
            </w:r>
          </w:p>
        </w:tc>
      </w:tr>
      <w:tr>
        <w:trPr>
          <w:trHeight w:val="167"/>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Per Share</w:t>
            </w:r>
          </w:p>
        </w:tc>
        <w:tc>
          <w:tcPr>
            <w:tcW w:w="20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color w:val="auto"/>
              </w:rPr>
              <w:t>Exercised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Exercised</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24.00</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158,400,000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182,160,000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800" w:type="dxa"/>
            <w:vAlign w:val="bottom"/>
            <w:gridSpan w:val="2"/>
          </w:tcPr>
          <w:p>
            <w:pPr>
              <w:ind w:left="16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7,920,000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9,108,000</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3"/>
              </w:rPr>
              <w:t>22.80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150,480,000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173,052,000</w:t>
            </w:r>
          </w:p>
        </w:tc>
        <w:tc>
          <w:tcPr>
            <w:tcW w:w="100" w:type="dxa"/>
            <w:vAlign w:val="bottom"/>
            <w:shd w:val="clear" w:color="auto" w:fill="CCEEFF"/>
          </w:tcPr>
          <w:p>
            <w:pPr>
              <w:spacing w:after="0"/>
              <w:rPr>
                <w:sz w:val="18"/>
                <w:szCs w:val="18"/>
                <w:color w:val="auto"/>
              </w:rPr>
            </w:pPr>
          </w:p>
        </w:tc>
      </w:tr>
      <w:tr>
        <w:trPr>
          <w:trHeight w:val="365"/>
        </w:trPr>
        <w:tc>
          <w:tcPr>
            <w:tcW w:w="3500" w:type="dxa"/>
            <w:vAlign w:val="bottom"/>
          </w:tcPr>
          <w:p>
            <w:pPr>
              <w:spacing w:after="0"/>
              <w:rPr>
                <w:sz w:val="24"/>
                <w:szCs w:val="24"/>
                <w:color w:val="auto"/>
              </w:rPr>
            </w:pPr>
          </w:p>
        </w:tc>
        <w:tc>
          <w:tcPr>
            <w:tcW w:w="1800" w:type="dxa"/>
            <w:vAlign w:val="bottom"/>
            <w:gridSpan w:val="2"/>
          </w:tcPr>
          <w:p>
            <w:pPr>
              <w:ind w:left="1120"/>
              <w:spacing w:after="0"/>
              <w:rPr>
                <w:sz w:val="20"/>
                <w:szCs w:val="20"/>
                <w:color w:val="auto"/>
              </w:rPr>
            </w:pPr>
            <w:r>
              <w:rPr>
                <w:rFonts w:ascii="Arial" w:cs="Arial" w:eastAsia="Arial" w:hAnsi="Arial"/>
                <w:sz w:val="18"/>
                <w:szCs w:val="18"/>
                <w:color w:val="auto"/>
              </w:rPr>
              <w:t>S-14</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the total expenses related to this offering payable by us, excluding underwriting discounts, will be approximately $480,000.</w:t>
      </w:r>
    </w:p>
    <w:p>
      <w:pPr>
        <w:spacing w:after="0" w:line="23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our executive officers and directors have agreed with the underwriters, for a period of 90 days after the date of this prospectus supplement, subject to certain exceptions, not to offer, sell, hedge or otherwise dispose of any shares of common stock or any securities convertible into or exchangeable for shares of our common stock, without the prior written consent of KeyBanc Capital Markets Inc. Immediately after this offering, 1,900,729 shares of common stock will be beneficially owned by our executive officers and directors and certain affiliates thereof. However, KeyBanc Capital Markets Inc. may, in its sole discretion and at any time without notice, release all or any portion of the securities subject to these lock-up agreements. When determining whether to release securities from the lock-up agreements, KeyBanc Capital Markets Inc. may consider, among other factors, market conditions at the time, the number of securities for which the release is requested and the stockholder’s reasons for requesting the release. Notwithstanding the foregoing, if, under certain circumstances, during the term of this lock-up, we issue an earnings release or announce that we will release earning or material news or a material even regarding our company occurs, then the lock-up period will continue to apply until the expiration of the 18-day period beginning on the issuance of the earnings release or the occurrence of the material news or material event.</w:t>
      </w:r>
    </w:p>
    <w:p>
      <w:pPr>
        <w:spacing w:after="0" w:line="17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Until the distribution of the shares of our common stock is completed, SEC rules may limit the underwriters from bidding for and purchasing our common stock. However, the underwriters may engage in transactions that stabilize the price of our common stock, such as bids or purchases of shares in the open market while this offering is in progress to peg, fix, or maintain that price. These transactions also may include short sales and purchases to cover positions created by short sales. Short sales involve the sale by the underwriters of a greater number of shares than they are required to purchase in this offering. “Covered” short sales are made in an amount not greater than the underwriters’ option to purchase additional shares from us. The underwriters may reduce that short position by purchasing shares in the open market or by exercising all or part of the option to purchase additional shares described above.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of our common stock sold by or for the account of such underwriter in stabilizing or short covering transactions.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we nor the underwriters make any representation or prediction as to the effect of the transactions described above may have on the price of our common stock. Any of these activities may have the effect of preventing or retarding a decline in the market price of our common stock. They may also cause the price of our common stock to be higher than the price that would otherwise exist on the open market in the absence of these transactions. The underwriters may conduct these transactions on the NASDAQ or in the over-the-counter market, or otherwise. If the underwriters commence any of these transactions, they may discontinue them without notice at any time.</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this offering, the underwriters may also engage in passive market making transactions in our common stock on NASDAQ in accordance with Rule 103 of Regulation M under the Securities Exchange Act of 1934, as amended, which we refer to as the “Exchange Act,” during a period before the commencement of offers or sales of common stock and extending through the completion of distribution. A passive market maker must display its bid at a price not in excess of the highest independent bid of that security. However, if 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independent bids are lowered below the passive market maker’s bid that bid must then be lowered when specified purchase limits are exceeded.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offering, certain of the underwriters of securities dealers may distribute prospectuses by electronic means, such as e-mail.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An affiliate of KeyBanc Capital Markets Inc., which is the representative for the underwriters in this offering, serves as Joint Lead Arranger, Joint Bookrunner and Syndication Agent under the term loan. Furthermore, an affiliate of KeyBanc Capital Markets Inc. is a lender under the asset-backed revolving credit facility and also serves as the Joint Lead Arranger, Joint Bookrunner and Administrative Agent under the asset-backed revolving credit facility. We intend to use a portion of the net proceeds from the offering to repay a portion of the amounts outstanding under our term loan and asset-backed revolving credit facility. Because such affiliate may receive more than 5% of the net proceeds of this offering, KeyBanc Capital Markets Inc. is deemed to have a “conflict of interest” under FINRA Rule 5121. Accordingly, this offering is being made in compliance with the applicable provisions of Rule 5121. The appointment of a “qualified independent underwriter” is not required in connection with this offering as a “bona fide public market,” as defined in Rule 5121, exists for our common stock. In accordance with Rule 5121, KeyBanc Capital Markets Inc. will not confirm any sales to any account over which it exercises discretionary authority without specific written approval of the transaction from the account holder.</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of the underwriters and their respective affiliates have engaged in, and may in the future engage in, investment banking and other transactions with us and perform services for us in the ordinary course of their business. They have received customary fees and commissions for those transactions. In the course of their businesses, the underwriters and their respective affiliates may actively trade our securities or loan for their own account or for the accounts of customers, and, accordingly, the underwriters and their respective affiliates may at any time hold long or short positions in such securities or loans.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and reports we file with it, which means that we can disclose important information to you by referring you to these documents. Our SEC file number is 0-23486. The information incorporated by reference is an important part of this prospectus supplement and the accompanying prospectus, and information that we file later with the SEC will automatically update and supersede the information already incorporated by reference. We incorporate by reference the following documents that we have filed with the SEC (other than, in each case, documents or information deemed to have been furnished and not filed in accordance with the SEC’s rules):</w:t>
      </w:r>
    </w:p>
    <w:p>
      <w:pPr>
        <w:spacing w:after="0" w:line="78" w:lineRule="exact"/>
        <w:rPr>
          <w:sz w:val="20"/>
          <w:szCs w:val="20"/>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(including information incorporated therein by reference to the Definitive Proxy Statement for the Company’s 2015 Annual Meeting of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2015;</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Reports on Form 8-K and 8-K/A filed with the SEC on September 2, 2014 (as amended on October 27, 2014), May 7, 2015, May 14, 2015 and June 22, 2015; and</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70"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For purposes of the registration statement of which the accompanying prospectus is a part, any statement contained in a document incorporated or deemed to be incorporated herein by reference shall be deemed to be modified or superseded to the extent that a statement contained herein modifies or supersedes such statement in such document. Any statement so modified or superseded shall not be deemed, except as so modified or superseded, to constitute a part of the registration statement of which the accompanying prospectus is a part.</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also incorporate by reference any future filings we make with the SEC (other than information furnished pursuant to Item 2.02 or Item 7.01 of Form 8-K or as otherwise permitted by the SEC’s rules) under Section 13(a), 13(c), 14 or 15(d) of the Exchange Act, until we have sold all of the shares of common stock to which this prospectus supplement relates or the offering is otherwise terminated.</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part of a registration statement on Form S-3 we have filed with the SEC relating to the shares of common stock. As permitted by SEC rules, this prospectus supplement and the accompanying prospectus do not contain all of the information included in the registration statement and the accompanying exhibits and schedules we file with the SEC. We have filed or incorporated by reference certain legal documents that control the terms of the shares of common stock offered by this prospectus supplement as exhibits to the registration statement. We may file certain other legal documents that control the terms of the shares of common stock offered by this prospectus supplement as exhibits to reports we file with the SEC. You may refer to the registration statement and the exhibits and schedules for more information about us and our common stock. The registration statement and exhibits and schedules are also available at the SEC’s Public Reference Room or through its website at http://www.sec.gov.</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these filings, at no cost, by writing or telephoning us at the following address or telephone number: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(423) 743-9151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William C. Kelly, Jr., Vice President, Chief Administrative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filed with the SEC a registration statement on Form S-3 under the Securities Act relating to the common stock offered by this prospectus. We also file annual, quarterly and current reports, proxy statements and other information with the SEC.</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SEC filings are available to the public over the Internet at the SEC’s website at http://www.sec.gov. Copies of certain information filed by us with the SEC are also available on our website at http://www.nninc.com. Our website, however, is not a part of this prospectus supplement or the accompanying prospectus. You may also read and copy any document we file with the SEC at its public reference room, at 100 F Street, N.E., Washington, D.C. 20549. Please call the SEC at 1-800-SEC-0330 for further information on the operation of its public reference room.</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review the information and exhibits included in the registration statement for further information about us and the common stock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See “Information Incorporated By Reference” for additional information.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and contains an explanatory paragraph on the effectiveness of internal control over financial reporting due to the exclusion of certain elements of the internal control over financial reporting of the Autocam Corporation, RFK Valijcici, and V-S Industries, Inc., V-S Precision, LLC and V-S Precision SA de DV businesses the Company acquired during 2014, incorporated in this prospectus supplement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5"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The consolidated financial statements of Autocam Corporation as of December 31, 2013 and 2012, and for each of the years in the three-year period ended December 31, 2013 incorporated in this prospectus supplement by reference from our amended Current Report on Form 8-K filed with the SEC on October 27, 2014, have been audited by Deloitte &amp; Touche LLP, independent auditors, as stated in their report, which is incorporated herein by reference.</w:t>
      </w:r>
    </w:p>
    <w:p>
      <w:pPr>
        <w:ind w:right="120"/>
        <w:spacing w:after="0" w:line="261" w:lineRule="auto"/>
        <w:rPr>
          <w:sz w:val="20"/>
          <w:szCs w:val="20"/>
          <w:color w:val="auto"/>
        </w:rPr>
      </w:pPr>
      <w:r>
        <w:rPr>
          <w:rFonts w:ascii="Arial" w:cs="Arial" w:eastAsia="Arial" w:hAnsi="Arial"/>
          <w:sz w:val="18"/>
          <w:szCs w:val="18"/>
          <w:color w:val="auto"/>
        </w:rPr>
        <w:t>Such consolidated financial statements have been so incorporated in reliance upon the report of such firm given upon their authority as experts in accounting and auditing.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Baker, Donelson, Bearman, Caldwell &amp; Berkowitz, PC, Memphis, Tennessee. The underwriters are being represented by Jones Day.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103505</wp:posOffset>
            </wp:positionV>
            <wp:extent cx="600075" cy="608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NN, INC.</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From time to time, we may sell up to an aggregate of $200,000,000 of any combination of the securities described in this prospectus. We will specify the terms of any offering of securities by us in a prospectus supplement.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this prospectus, any prospectus supplement and the information incorporated by reference herein or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235585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3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carefully consider the risk factors described in the applicable prospectus supplement and certain of our filings with the Securities and Exchange Commission, as described under “</w:t>
      </w:r>
      <w:hyperlink w:anchor="page2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207010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common stock is quoted and traded on The NASDAQ Global Select Market under the ticker symbol “NNBR.” On January 26, 2015, the last reported sale price of our common stock on The NASDAQ Global Select Market was $23.10. The applicable prospectus supplement will contain information, where applicable, as to any other listing on The NASDAQ Global Select Market or any securities market or exchange of the securities covered by the prospectus supplement.</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securities may be offered directly by us to investors, to or through underwriters or dealers or through agents. If any underwriters are involved in the sale of any securities offered by this prospectus and any prospectus supplement, their names, and any applicable purchase price, fee, commission or discount arrangement between or among them, and any applicable options to purchase additional securities, will be set forth, or will be calculable from the information set forth, in the applicable prospectus supplement. The price to the public of such securities and the net proceeds we expect to receive from such sale will also be set forth in a prospectus supplement.</w:t>
      </w:r>
    </w:p>
    <w:p>
      <w:pPr>
        <w:spacing w:after="0" w:line="14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February 23, 2015.</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8"/>
            <w:vMerge w:val="restart"/>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78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878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DISCLOSURE REGARDING FORWARD-LOOKING STATEMENTS</w:t>
              </w:r>
            </w:hyperlink>
          </w:p>
        </w:tc>
        <w:tc>
          <w:tcPr>
            <w:tcW w:w="58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ABOUT NN, INC.</w:t>
              </w:r>
            </w:hyperlink>
          </w:p>
        </w:tc>
        <w:tc>
          <w:tcPr>
            <w:tcW w:w="96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76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 OF EARNINGS TO FIXED CHARGES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THE SECURITIES</w:t>
              </w:r>
            </w:hyperlink>
          </w:p>
        </w:tc>
        <w:tc>
          <w:tcPr>
            <w:tcW w:w="580" w:type="dxa"/>
            <w:vAlign w:val="bottom"/>
            <w:tcBorders>
              <w:top w:val="single" w:sz="8" w:color="0000EE"/>
            </w:tcBorders>
            <w:gridSpan w:val="4"/>
          </w:tcPr>
          <w:p>
            <w:pPr>
              <w:spacing w:after="0"/>
              <w:rPr>
                <w:sz w:val="17"/>
                <w:szCs w:val="17"/>
                <w:color w:val="auto"/>
              </w:rPr>
            </w:pPr>
          </w:p>
        </w:tc>
        <w:tc>
          <w:tcPr>
            <w:tcW w:w="75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79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DESCRIPTION OF PREFERRED STOCK</w:t>
              </w:r>
            </w:hyperlink>
          </w:p>
        </w:tc>
        <w:tc>
          <w:tcPr>
            <w:tcW w:w="7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COMMON STOCK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80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85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89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INFORMATION INCORPORATED BY REFERENCE</w:t>
              </w:r>
            </w:hyperlink>
          </w:p>
        </w:tc>
        <w:tc>
          <w:tcPr>
            <w:tcW w:w="69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EXPERTS</w:t>
              </w:r>
            </w:hyperlink>
          </w:p>
        </w:tc>
        <w:tc>
          <w:tcPr>
            <w:tcW w:w="3040" w:type="dxa"/>
            <w:vAlign w:val="bottom"/>
            <w:tcBorders>
              <w:top w:val="single" w:sz="8" w:color="0000EE"/>
            </w:tcBorders>
            <w:gridSpan w:val="14"/>
          </w:tcPr>
          <w:p>
            <w:pPr>
              <w:spacing w:after="0"/>
              <w:rPr>
                <w:sz w:val="17"/>
                <w:szCs w:val="17"/>
                <w:color w:val="auto"/>
              </w:rPr>
            </w:pPr>
          </w:p>
        </w:tc>
        <w:tc>
          <w:tcPr>
            <w:tcW w:w="72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prospectus supplemental shall constitute an offer to sell or a solicitation of an offer to buy offered securities in any jurisdiction in which it is unlawful for such person to make such an offering or solicitation. Neither the delivery of this prospectus or any prospectus supplement nor any sale made hereunder shall under any circumstances imply that the information contained or incorporated by reference in this prospectus or in any prospectus supplement is correct as of any date subsequent to the date of this prospectus supplement or of any prospectus supplement.</w:t>
      </w:r>
    </w:p>
    <w:p>
      <w:pPr>
        <w:spacing w:after="0" w:line="1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to “NN,” “we,” “our,” “us” or “our company” in this prospectus refer to NN, Inc., a Delaware corporation and its consolidated subsidiaries.</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prospectus is part of a registration statement filed with the Securities and Exchange Commission, or SEC, utilizing a shelf registration process. Under this shelf registration process, we may sell any combination of the securities described in this prospectus, either individually or in units, in one or more offerings, up to a total dollar amount of $200,000,000.</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specific offering. The prospectus supplement may also add, update or change information contained in this prospectus. You should read this prospectus and the applicable prospectus supplement together with the additional information described under the heading “Where You Can Find More Information.”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Except for specific historical information, many of the matters discussed in this prospectus, or the information incorporated by reference into this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appearing in this prospectus, including the information incorporated by reference into this prospectus,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any prospectus supplement as well as in our Annual Report on Form 10-K for the fiscal year ended December 31, 2013 and our other reports on file with the SEC. Except as required by law, we undertake no obligation to update or revise any forward-looking statements we make in our prospectus,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NN, INC.</w:t>
      </w:r>
    </w:p>
    <w:p>
      <w:pPr>
        <w:spacing w:after="0" w:line="229"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We are a manufacturer and supplier of high precision metal bearing components, industrial plastic and rubber products and precision metal components to a variety of markets across the globe. We have 25 manufacturing plants across the United States, Western Europe, Eastern Europe, South America and China.</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were incorporated in Delaware in October, 1980. Our principal executive offices are maintained at 207 Mockingbird Lane, Johnson City, Tennessee 37604 and our telephone number is (423) 743-9151. Our common stock is listed on The NASDAQ Global Select Market under the ticker symbol “NNBR.”</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For further discussion of the material elements of our business, please refer to our Annual Report on Form 10-K for the fiscal year ended December 31, 2013 on file with the SEC, and any subsequent reports we file with the SEC, including those incorporated by reference into this 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Investing in our securities involves a high degree of risk. Please see the risk factors under the heading “Risk Factors” in any prospectus supplement as well as in our Annual Report on Form 10-K for the fiscal year ended December 31, 2013 on file with the SEC, which are incorporated by reference into this prospectus and which may be amended, supplemented or superseded from time to time by other reports that we subsequently file with the SEC. Before you invest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indicated otherwise in the applicable prospectus supplement, we expect to use the net proceeds for our operations and for other general corporate purposes, including, but not limited to, capital expenditures, repayment or refinancing of borrowings, working capital, investments and acquisitions. We have not allocated any portion of the net proceeds for any particular use at this time. Pending such uses, we may invest the net proceeds in demand deposits, money market accounts or short-term, investment-grade, interest-bearing securities or guaranteed obligations of the United States government or other</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securities. Additional information on the use of net proceeds may be set forth in the applicable prospectus supplement or other offering material relating to such offering. If net proceeds from a specific offering will be used to repay indebtedness, the applicable prospectus supplement or other offering material will describe the relevant terms of the debt to be repaid.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our ratio of earnings to fixed charges in each of the periods indicated. The ratios are calculated by dividing earnings by the fixed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Nine months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66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7"/>
          </w:tcPr>
          <w:p>
            <w:pPr>
              <w:ind w:left="80"/>
              <w:spacing w:after="0"/>
              <w:rPr>
                <w:sz w:val="20"/>
                <w:szCs w:val="20"/>
                <w:color w:val="auto"/>
              </w:rPr>
            </w:pPr>
            <w:r>
              <w:rPr>
                <w:rFonts w:ascii="Arial" w:cs="Arial" w:eastAsia="Arial" w:hAnsi="Arial"/>
                <w:sz w:val="14"/>
                <w:szCs w:val="14"/>
                <w:color w:val="auto"/>
              </w:rPr>
              <w:t>Fiscal years ended 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23"/>
        </w:trPr>
        <w:tc>
          <w:tcPr>
            <w:tcW w:w="6640" w:type="dxa"/>
            <w:vAlign w:val="bottom"/>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5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67"/>
        </w:trPr>
        <w:tc>
          <w:tcPr>
            <w:tcW w:w="6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2010</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22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2.49x</w:t>
            </w:r>
            <w:r>
              <w:rPr>
                <w:rFonts w:ascii="Arial" w:cs="Arial" w:eastAsia="Arial" w:hAnsi="Arial"/>
                <w:sz w:val="15"/>
                <w:szCs w:val="15"/>
                <w:color w:val="auto"/>
              </w:rPr>
              <w:t>(1)</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6.36x</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4.26x</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4.31x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2.01x</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nine months ended September 30, 2014 were significantly impacted by certain costs related to four acquisitions completed in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earnings of $37.6 million would have been needed to achieve a coverage of 1:1 for the fiscal year ended December 31,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offer, from time to time, in one or more offerings, up to $200,000,000 of the following securities:</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combination of the foregoing securities.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aggregate initial offering price of the offered securities that we may issue will not exceed $200,000,000. 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prospectus contains a summary of the general terms of the various securities that we may offer.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applicable prospectus supplement will also contain the terms of a given offering, the initial offering price and our net proceeds. Where applicable, a prospectus supplement will also describe any material United States federal income tax consequences relating to the securities offered and indicate whether the securities offered are or will be quoted or listed on any quotation system or securities exchange.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describes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offer senior or subordinated debt securities. Each series of debt securities may have different terms. The senior debt securities will be issued under a senior indenture, dated as of or prior to the date of such issuance, between us and a trustee to be named in the senior indenture, as amended or supplemented from time to time. We will refer to any such indenture throughout this prospectus as the “senior indenture.” Any subordinated debt securities will be issued under a separate indenture, dated as of or prior to the date of such issuance, between us and a trustee to be named in the subordinated indenture,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individually referred to in this prospectus as an “indenture” and collectively referred to in this prospectus as the “indentures.” The indentures will be subject to and governed by the Trust Indenture Act of 1939, as amended. We have included copies of the forms of the indentures as exhibits to our registration statement and they are incorporated into this prospectus by reference.</w:t>
      </w:r>
    </w:p>
    <w:p>
      <w:pPr>
        <w:spacing w:after="0" w:line="18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any other debt securities issued by us under the indentures.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Because this section is a summary of some of the terms of the indentures, it does not describe every aspect of the debt securities. You should read the applicable indentures for a complete description of their provisions and the definitions of the terms used in them, because the indentures, and not this description, will define your rights as a holder of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92"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convertible, the terms on which such debt securities are convertible, including the initial conversion price or rate and the conversion period and any applicable limitations on the ownership or transferability of common stock or preferred stock received on conversion;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we will determine those 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or make-whole amount, and interest on, the debt securities will be payable;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6" w:lineRule="exact"/>
        <w:rPr>
          <w:rFonts w:ascii="Arial" w:cs="Arial" w:eastAsia="Arial" w:hAnsi="Arial"/>
          <w:sz w:val="18"/>
          <w:szCs w:val="18"/>
          <w:color w:val="auto"/>
        </w:rPr>
      </w:pPr>
    </w:p>
    <w:p>
      <w:pPr>
        <w:jc w:val="both"/>
        <w:ind w:left="900" w:right="18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6" w:lineRule="exact"/>
        <w:rPr>
          <w:rFonts w:ascii="Arial" w:cs="Arial" w:eastAsia="Arial" w:hAnsi="Arial"/>
          <w:sz w:val="18"/>
          <w:szCs w:val="18"/>
          <w:color w:val="auto"/>
        </w:rPr>
      </w:pPr>
    </w:p>
    <w:p>
      <w:pPr>
        <w:ind w:left="900" w:right="4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75" w:lineRule="exact"/>
        <w:rPr>
          <w:rFonts w:ascii="Arial" w:cs="Arial" w:eastAsia="Arial" w:hAnsi="Arial"/>
          <w:sz w:val="18"/>
          <w:szCs w:val="18"/>
          <w:color w:val="auto"/>
        </w:rPr>
      </w:pPr>
    </w:p>
    <w:p>
      <w:pPr>
        <w:jc w:val="both"/>
        <w:ind w:left="900" w:right="16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w:t>
      </w:r>
    </w:p>
    <w:p>
      <w:pPr>
        <w:ind w:left="900" w:right="900" w:hanging="1"/>
        <w:spacing w:after="0" w:line="261" w:lineRule="auto"/>
        <w:tabs>
          <w:tab w:leader="none" w:pos="11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89"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debt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900" w:right="100" w:hanging="325"/>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identity of the depositary for debt securities in registered form, if such series are to be issuable as a global security;</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applicability, if any, of the defeasance and covenant defeasance provisions described in this prospectus or in the applicable indenture;</w:t>
      </w:r>
    </w:p>
    <w:p>
      <w:pPr>
        <w:spacing w:after="0" w:line="142" w:lineRule="exact"/>
        <w:rPr>
          <w:rFonts w:ascii="Arial" w:cs="Arial" w:eastAsia="Arial" w:hAnsi="Arial"/>
          <w:sz w:val="17"/>
          <w:szCs w:val="17"/>
          <w:color w:val="auto"/>
        </w:rPr>
      </w:pPr>
    </w:p>
    <w:p>
      <w:pPr>
        <w:ind w:left="900" w:right="94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9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described under “—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Neither the New York State laws nor our governing instruments define the term “substantially all” as it relates to the sale of assets. Additionally, New York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obligation underlying payment becomes due and payable. After funds have been returned to us, the holder of the debt security may look only to us for payment, without payment of interest for the period which we hold the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$2,000 and integral multiples of $1,000.</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ind w:left="900" w:right="1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900" w:right="2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indentures provide that we may consolidate with or sell, lease or convey all or substantially all of our assets to, or merge with or into, any other entity provided that:</w:t>
      </w:r>
    </w:p>
    <w:p>
      <w:pPr>
        <w:spacing w:after="0" w:line="76" w:lineRule="exact"/>
        <w:rPr>
          <w:sz w:val="20"/>
          <w:szCs w:val="20"/>
          <w:color w:val="auto"/>
        </w:rPr>
      </w:pPr>
    </w:p>
    <w:p>
      <w:pPr>
        <w:ind w:left="900" w:right="18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(1) to pay the principal of, and any premium (or make-whole amount) and interest on, all of the debt securities, and (2) to duly perform and observe all of the covenants and conditions contained in each indenture;</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 Merger, Consolidation or Sale of Assets,” the indentures require us to do or cause to be done all things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Payment of taxes and other claims</w:t>
      </w:r>
      <w:r>
        <w:rPr>
          <w:rFonts w:ascii="Arial" w:cs="Arial" w:eastAsia="Arial" w:hAnsi="Arial"/>
          <w:sz w:val="18"/>
          <w:szCs w:val="18"/>
          <w:color w:val="auto"/>
        </w:rPr>
        <w:t>. The indentures require us to pay, discharge or cause to be paid or discharged, before they become delinquent (1) all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Provision of financial information</w:t>
      </w:r>
      <w:r>
        <w:rPr>
          <w:rFonts w:ascii="Arial" w:cs="Arial" w:eastAsia="Arial" w:hAnsi="Arial"/>
          <w:sz w:val="18"/>
          <w:szCs w:val="18"/>
          <w:color w:val="auto"/>
        </w:rPr>
        <w:t>. The indentures require us to (1) within 15 days of each of the respective dates by which we are required to file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quarterly reports and other documents with the SEC, file with the trustee copies of the annual report, quarterly report and other documents that we file with the SEC under Section 13 or 15(d) of the Exchange Act; and (2) file with the trustee and the SEC any additional information, documents and reports regarding compliance by us with the conditions and covenants of the indentures, as required.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covenants</w:t>
      </w:r>
      <w:r>
        <w:rPr>
          <w:rFonts w:ascii="Arial" w:cs="Arial" w:eastAsia="Arial" w:hAnsi="Arial"/>
          <w:sz w:val="17"/>
          <w:szCs w:val="17"/>
          <w:color w:val="auto"/>
        </w:rPr>
        <w:t>. The applicable prospectus supplement will set forth any additional covenants of NN relating to any series of debt securities.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it becomes due and payable at its stated maturity;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when due;</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NN continuing for 60 days after written notice as provided in the applicable indenture, but not of a covenant added to the indenture solely for the benefit of a series of debt securities issued thereunder other than such series;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17" w:lineRule="exact"/>
        <w:rPr>
          <w:rFonts w:ascii="Arial" w:cs="Arial" w:eastAsia="Arial" w:hAnsi="Arial"/>
          <w:sz w:val="18"/>
          <w:szCs w:val="18"/>
          <w:color w:val="auto"/>
        </w:rPr>
      </w:pPr>
    </w:p>
    <w:p>
      <w:pPr>
        <w:ind w:left="920" w:right="60" w:firstLine="1"/>
        <w:spacing w:after="0" w:line="272" w:lineRule="auto"/>
        <w:tabs>
          <w:tab w:leader="none" w:pos="1175" w:val="left"/>
        </w:tabs>
        <w:numPr>
          <w:ilvl w:val="1"/>
          <w:numId w:val="17"/>
        </w:numPr>
        <w:rPr>
          <w:rFonts w:ascii="Arial" w:cs="Arial" w:eastAsia="Arial" w:hAnsi="Arial"/>
          <w:sz w:val="17"/>
          <w:szCs w:val="17"/>
          <w:color w:val="auto"/>
        </w:rPr>
      </w:pPr>
      <w:r>
        <w:rPr>
          <w:rFonts w:ascii="Arial" w:cs="Arial" w:eastAsia="Arial" w:hAnsi="Arial"/>
          <w:sz w:val="17"/>
          <w:szCs w:val="17"/>
          <w:color w:val="auto"/>
        </w:rPr>
        <w:t>under which there may be issued, secured or evidenced any existing or later created indebtedness for money borrowed by us or our subsidiaries, if we are directly responsible or liable as obligor or guarantor,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NN or any significant subsidiary of NN;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73" w:lineRule="exact"/>
        <w:rPr>
          <w:sz w:val="20"/>
          <w:szCs w:val="20"/>
          <w:color w:val="auto"/>
        </w:rPr>
      </w:pPr>
    </w:p>
    <w:p>
      <w:pPr>
        <w:ind w:left="900" w:right="12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5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87" w:lineRule="exact"/>
        <w:rPr>
          <w:sz w:val="20"/>
          <w:szCs w:val="20"/>
          <w:color w:val="auto"/>
        </w:rPr>
      </w:pPr>
    </w:p>
    <w:p>
      <w:pPr>
        <w:ind w:left="900" w:right="3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900" w:right="56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900" w:right="2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52" w:lineRule="exact"/>
        <w:rPr>
          <w:rFonts w:ascii="Arial" w:cs="Arial" w:eastAsia="Arial" w:hAnsi="Arial"/>
          <w:sz w:val="16"/>
          <w:szCs w:val="16"/>
          <w:color w:val="auto"/>
        </w:rPr>
      </w:pPr>
    </w:p>
    <w:p>
      <w:pPr>
        <w:ind w:left="900" w:right="22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75"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7" w:lineRule="exact"/>
        <w:rPr>
          <w:sz w:val="20"/>
          <w:szCs w:val="20"/>
          <w:color w:val="auto"/>
        </w:rPr>
      </w:pPr>
    </w:p>
    <w:p>
      <w:pPr>
        <w:ind w:left="900" w:right="8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51" w:lineRule="exact"/>
        <w:rPr>
          <w:rFonts w:ascii="Arial" w:cs="Arial" w:eastAsia="Arial" w:hAnsi="Arial"/>
          <w:sz w:val="17"/>
          <w:szCs w:val="17"/>
          <w:color w:val="auto"/>
        </w:rPr>
      </w:pPr>
    </w:p>
    <w:p>
      <w:pPr>
        <w:jc w:val="both"/>
        <w:ind w:left="900" w:right="240" w:hanging="325"/>
        <w:spacing w:after="0" w:line="31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52" w:lineRule="exact"/>
        <w:rPr>
          <w:rFonts w:ascii="Arial" w:cs="Arial" w:eastAsia="Arial" w:hAnsi="Arial"/>
          <w:sz w:val="16"/>
          <w:szCs w:val="16"/>
          <w:color w:val="auto"/>
        </w:rPr>
      </w:pPr>
    </w:p>
    <w:p>
      <w:pPr>
        <w:ind w:left="900" w:right="5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in account in determining whether such request, demand, authorization, direction, notice, consent, waiver or other action has been made, given or taken under such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NN and its subsidiaries. As a result of these subordination provisions, in the event of a distribution of assets upon insolvency, holders of subordinated debt securities may recover less, ratably, than our general creditors.</w:t>
      </w:r>
    </w:p>
    <w:p>
      <w:pPr>
        <w:spacing w:after="0" w:line="16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900" w:right="2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30"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indentures only permit us to establish the trust described in the paragraph above if, among other things, it has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31" w:lineRule="exact"/>
        <w:rPr>
          <w:sz w:val="20"/>
          <w:szCs w:val="20"/>
          <w:color w:val="auto"/>
        </w:rPr>
      </w:pPr>
    </w:p>
    <w:p>
      <w:pPr>
        <w:ind w:left="900" w:right="2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75"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31" w:lineRule="exact"/>
        <w:rPr>
          <w:sz w:val="20"/>
          <w:szCs w:val="20"/>
          <w:color w:val="auto"/>
        </w:rPr>
      </w:pPr>
    </w:p>
    <w:p>
      <w:pPr>
        <w:ind w:left="900" w:right="5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preferred stock will be set forth in the applicable prospectus supplement. The terms will include whether the debt securities are convertible into shares of common stock or preferred stock,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72"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$2,000 and integral multiples of $1,000.</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As of December 26, 2014, no shares of preferred stock or Series A preferred stock were issued and outstanding.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description of the material terms and provisions of our common stock. It may not contain all the information that is important to you. You can access complete information by referring to our certificate of incorporation and bylaws.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our certificate of incorporation, we have authority to issue 45,000,000 shares of common stock, par value $.01 per share. As of December 22, 2014, there were 18,983,549 shares of common stock issued and outstanding. All shares of common stock will, when issued, be duly authorized, fully paid and nonassessable. Thus, the full price for the outstanding shares of common stock will have been paid at issuance and any holder of our common stock will not be later required to pay us any additional money for such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Subject to preferential rights of any other class or series of preferred stock, holders of common stock may receive dividends pro rata out of assets that we can legally use to pay dividends, when, as and if they are declared by our board of directors.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Subject to the preferential rights of any other class or series of preferred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Section 203,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71" w:lineRule="exact"/>
        <w:rPr>
          <w:sz w:val="20"/>
          <w:szCs w:val="20"/>
          <w:color w:val="auto"/>
        </w:rPr>
      </w:pPr>
    </w:p>
    <w:p>
      <w:pPr>
        <w:ind w:left="900" w:right="4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40" w:hanging="325"/>
        <w:spacing w:after="0" w:line="28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as:</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to or with the interested stockholder;</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certain exceptions, any transaction which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and Other Matters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is divided into three classes, each of which serves until the third annual meeting of shareholders after their election, with one class being elected each year. Subject to the preferential rights of any other class or series of preferred stock, any director, or the entire board of directors, may be removed from office at any time, with or without cause, by the affirmative vote of the holders of at least half of the voting power of all the then outstanding voting stock of the company, voting together as a single class</w:t>
      </w:r>
      <w:r>
        <w:rPr>
          <w:rFonts w:ascii="Arial" w:cs="Arial" w:eastAsia="Arial" w:hAnsi="Arial"/>
          <w:sz w:val="17"/>
          <w:szCs w:val="17"/>
          <w:b w:val="1"/>
          <w:bCs w:val="1"/>
          <w:color w:val="auto"/>
        </w:rPr>
        <w:t>.</w:t>
      </w:r>
      <w:r>
        <w:rPr>
          <w:rFonts w:ascii="Arial" w:cs="Arial" w:eastAsia="Arial" w:hAnsi="Arial"/>
          <w:sz w:val="17"/>
          <w:szCs w:val="17"/>
          <w:color w:val="auto"/>
        </w:rPr>
        <w:t xml:space="preserve"> Our bylaws require that shareholders provide the Secretary of our company with notice of the nomination of a person for election as a director (1) with respect to an election to be held at an annual meeting of stockholders or special meeting in lieu of an annual meeting, not less than 90 nor more than 120 days prior to the anniversary date of the immediately preceding annual meeting of stockholders or special meeting in lieu of an annual meeting. Our bylaws provide that special meetings of shareholders of our company may be called only by the Chairman of the board of directors or by a majority of the board of directors. Our bylaws, as well as applicable provisions of the General Corporation Law of the State of Delaware, provide that no action required or permitted to be taken at any annual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 special meeting of our shareholders may be taken without a meeting, unless the consent of two-thirds of the voting power of the then outstanding shares of stock of the company entitled to vote on the matter is obtained. These provisions may diminish the likelihood that a potential acquiror would make an offer for our common stock or that there would otherwise be a change in control of our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no warrants outstanding. We may issue warrants for the purchase of preferred stock, common stock or debt securities. Warrants may be issued independently, together with any other securities offered by any prospectus supplement or through a dividend or other distribution to our stockholders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applicable warrant agreement, including, where applicable, the following:</w:t>
      </w:r>
    </w:p>
    <w:p>
      <w:pPr>
        <w:spacing w:after="0" w:line="8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warrants offered and the aggregate number of warrants outstanding as of the most practicable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or prices at which we will issue the warrants;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stock, common stock or debt securities that can be purchased upon exercise of the warrants and the procedures and conditions relating to the exercise of the warrants;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issued and the number of warrants issued with each of those securities;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preferred stock, common stock or debt securities, if any, will be separately transferable;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at which each share of preferred stock, common stock or debt securities that can be purchased upon exercise of such warrants may be purchased;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such right shall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warrants represented by warrant certificates will be issued in registered or bearer form, and, if registered, where they may be transferred and registered;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discussion of applicable United States federal income tax consequences;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redemption or call provisions of the debt warrants, if any; and</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such warrants, including terms and additional rights, preferences, privileges, procedures and limitations relating to the transferability, exchange and exercise of such warrants.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supplement, the specific terms of any series of units may differ from the general description of terms presented below.</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issue units comprised of shares of preferred stock, shares of common stock, warrants and debt securities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may describe:</w:t>
      </w:r>
    </w:p>
    <w:p>
      <w:pPr>
        <w:spacing w:after="0" w:line="131" w:lineRule="exact"/>
        <w:rPr>
          <w:sz w:val="20"/>
          <w:szCs w:val="20"/>
          <w:color w:val="auto"/>
        </w:rPr>
      </w:pPr>
    </w:p>
    <w:p>
      <w:pPr>
        <w:ind w:left="900" w:right="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applicable U.S. federal income tax considerations relating to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Preferred Stock,” “Description of Common Stock” and “Description of Warrants” will apply to the securities included in each unit, to the extent relevant.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in Series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of the financial and other specific terms of your series will be described in the applicable prospectus supplement.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Agreements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900" w:right="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900" w:right="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900" w:right="620" w:hanging="325"/>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will issue each unit in global form only (i.e., book-entry).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900" w:right="16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75" w:lineRule="exact"/>
        <w:rPr>
          <w:rFonts w:ascii="Arial" w:cs="Arial" w:eastAsia="Arial" w:hAnsi="Arial"/>
          <w:sz w:val="18"/>
          <w:szCs w:val="18"/>
          <w:color w:val="auto"/>
        </w:rPr>
      </w:pPr>
    </w:p>
    <w:p>
      <w:pPr>
        <w:ind w:left="900" w:right="180" w:hanging="325"/>
        <w:spacing w:after="0" w:line="31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52"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in any one or more of the following methods from time to time:</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to investors, directly to agents, or to investors through agents;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underwriting syndicates led by one or more managing underwriters, or through one or more underwriters acting alone, for resale to the public or investors;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 block trade (which may involve crosses) in which the broker or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by delayed delivery contracts or by remarketing firms;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that may or may not be listed on an exchange;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prices may represent a discount from the prevailing market prices.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underwritten offering may be on a best efforts or a firm commitment basis. If underwriters are used in the sale, the securities acquired by the underwriters will be for their own account. The underwriters may resell the securities in one or more transactions, including without limitation negotiated transactions, at a fixed public offering price or at a varying price determined at the time of sale. The obligations, if any, of the underwriter to purchase any securities will be subject to certain conditions. We may offer the securities to the public through underwriting syndicates represented by managing underwriters or by underwriters without a syndicate. Subject to certain conditions, the underwriters will be obligated to purchase all of the securities if any are purchased, other than securities covered by any option to purchase additional securities. Any public offering price and any discounts or concessions allowed, reallowed or paid to dealers may be changed from time to time.</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 dealer is used in an offering of securities, we may sell the securities to the dealer, as principal. The dealer may then resell the securities to the public at varying prices to be determined by the dealer at the time of sale.</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may also sell securities directly to one or more purchasers without using underwriters, dealers or agents.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applicable prospectus supplement will, where applicable:</w:t>
      </w:r>
    </w:p>
    <w:p>
      <w:pPr>
        <w:spacing w:after="0" w:line="84"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any such underwriter or agent;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describe any compensation in the form of discounts, concessions, commissions or otherwise received from us by each of such underwriter, dealer or agent and in the aggregate to all underwriters, dealers and agents;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purchase price and proceeds from such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amounts underwritten;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nature of the underwriter’s obligation to take the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any option under which the underwriters may purchase additional securities from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any quotation systems or securities exchanges on which the securities may be quoted or listed.</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Unless otherwise specified in the related prospectus supplement, each series of securities will be a new issue with no established trading market, other than the common stock, which is listed on The NASDAQ Global Select Market. Any common stock sold pursuant to a prospectus supplement will be listed on The NASDAQ Global Select Market, subject to applicable notices. We may elect to apply for quotation or listing of any other class or series of our securities, on a quotation system or an exchange but we are not obligated to do so. It is possible that one or more underwriters may make a market in a class or series of our securities, but such underwriters will not be obligated to do so and may discontinue any market making at any time without notice. Therefore, no assurance can be given as to the liquidity of, or the trading market for, any other class or series of our securities.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at any time.</w:t>
      </w:r>
    </w:p>
    <w:p>
      <w:pPr>
        <w:spacing w:after="0" w:line="181"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the securities may be entitled to indemnification by us against certain civil liabilities, including liabilities under the Securities Act, or contribution from us to payments which the underwriters, dealers or agents may be required to make.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Underwriters, dealers and agents may engage in transactions with us or perform services for us in the ordinary course of business.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indicated in the applicable prospectus supplement, we will authorize underwriters, dealers or other persons acting as our agents to solicit offers by particular institutions to purchase securities from us at the public offering price set forth in such prospectus supplement pursuant to delayed delivery contracts providing for payment and delivery on such future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delayed delivery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(1) the purchase of the securities shall not at the time of delivery be prohibited under the laws of any jurisdiction in the United States to which the purchaser is subject, and (2) if the securities are being sold to underwriters, we shall have sold to the underwriters the total principal amount of the securities less the principal amount thereof covered by the delayed delivery contracts. The underwriters and such other agents will not have any responsibility in respect of the validity or performance of such delayed delivery contracts.</w:t>
      </w:r>
    </w:p>
    <w:p>
      <w:pPr>
        <w:spacing w:after="0" w:line="1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SEC allows us to incorporate by reference the information and reports we file with it, which means that we can disclose important information to you by referring you to these documents. Our SEC file number is 0-23486.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prior to termination to the offering of the securities described in this prospectus except as to any portion of any future report or document that is not deemed filed under such provisions:</w:t>
      </w:r>
    </w:p>
    <w:p>
      <w:pPr>
        <w:spacing w:after="0" w:line="8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Reports on Form 10-Q for the three months ended March 31, 2014, June 30, 2014 and September 30, 2014.</w:t>
      </w:r>
    </w:p>
    <w:p>
      <w:pPr>
        <w:spacing w:after="0" w:line="130" w:lineRule="exact"/>
        <w:rPr>
          <w:rFonts w:ascii="Arial" w:cs="Arial" w:eastAsia="Arial" w:hAnsi="Arial"/>
          <w:sz w:val="18"/>
          <w:szCs w:val="18"/>
          <w:color w:val="auto"/>
        </w:rPr>
      </w:pPr>
    </w:p>
    <w:p>
      <w:pPr>
        <w:ind w:left="900" w:right="80" w:hanging="325"/>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Reports on Form 8-K filed with the SEC on February 11, 2014, May 15, 2014, May 19, 2014, July 22, 2014, August 8, 2014, August 12, 2014, August 15, 2014, September 2, 2014 (as amended on October 27, 2014), September 23, 2014 and November 13, 2014.</w:t>
      </w:r>
    </w:p>
    <w:p>
      <w:pPr>
        <w:spacing w:after="0" w:line="51" w:lineRule="exact"/>
        <w:rPr>
          <w:rFonts w:ascii="Arial" w:cs="Arial" w:eastAsia="Arial" w:hAnsi="Arial"/>
          <w:sz w:val="17"/>
          <w:szCs w:val="17"/>
          <w:color w:val="auto"/>
        </w:rPr>
      </w:pPr>
    </w:p>
    <w:p>
      <w:pPr>
        <w:ind w:left="900" w:right="66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Upon request, we will provide, without charge, to each person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(423) 743-9151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William C. Kelly, Jr., Vice President, Chief Administrative Officer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are subject to the information requirements of the Exchange Act, and in accordance with the Exchange Act,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 Our telephone number is (423) 743-9151. Our website is located at </w:t>
      </w:r>
      <w:r>
        <w:rPr>
          <w:rFonts w:ascii="Arial" w:cs="Arial" w:eastAsia="Arial" w:hAnsi="Arial"/>
          <w:sz w:val="16"/>
          <w:szCs w:val="16"/>
          <w:i w:val="1"/>
          <w:iCs w:val="1"/>
          <w:color w:val="auto"/>
        </w:rPr>
        <w:t>www.nninc.com</w:t>
      </w:r>
      <w:r>
        <w:rPr>
          <w:rFonts w:ascii="Arial" w:cs="Arial" w:eastAsia="Arial" w:hAnsi="Arial"/>
          <w:sz w:val="16"/>
          <w:szCs w:val="16"/>
          <w:color w:val="auto"/>
        </w:rPr>
        <w:t>. Information contained on our website, other than the documents that we file with the SEC that are incorporated by reference in this prospectus, is not incorporated by reference into this prospectus and, therefore, is not part of this prospectus or any accompanying prospectus supplement.</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consolidated financial statements of Autocam Corporation as of December 31, 2013 and 2012, and for each of the years in the three-year period ended December 31, 2013 incorporated in this Prospectus by reference from NN’s Amendment to Current Report on Form 8-K filed with the SEC on October 27, 2014, have been audited by Deloitte &amp; Touche LLP, independent auditors, as stated in their report which is incorporated herein by reference. Such consolidated financial statements have been so incorporated in reliance upon the report of such firm given upon their authority as experts in accounting and auditing.</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Baker, Donelson, Bearman, Caldwell &amp; Berkowitz, PC, Memphis, Tennessee.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6,600,000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751840</wp:posOffset>
            </wp:positionV>
            <wp:extent cx="1003300" cy="1012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0330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40"/>
        <w:spacing w:after="0"/>
        <w:rPr>
          <w:sz w:val="20"/>
          <w:szCs w:val="20"/>
          <w:color w:val="auto"/>
        </w:rPr>
      </w:pPr>
      <w:r>
        <w:rPr>
          <w:rFonts w:ascii="Arial" w:cs="Arial" w:eastAsia="Arial" w:hAnsi="Arial"/>
          <w:sz w:val="43"/>
          <w:szCs w:val="43"/>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560705</wp:posOffset>
            </wp:positionV>
            <wp:extent cx="1517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250190</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26"/>
          <w:szCs w:val="26"/>
          <w:b w:val="1"/>
          <w:bCs w:val="1"/>
          <w:color w:val="auto"/>
        </w:rPr>
        <w:t>KeyBanc Capital Markets</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William Blair</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Stephens Inc.</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Stifel</w:t>
      </w:r>
    </w:p>
    <w:p>
      <w:pPr>
        <w:spacing w:after="0" w:line="81"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Avondale Partners</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CJS Securities</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Regions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566420</wp:posOffset>
            </wp:positionV>
            <wp:extent cx="1517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lvl w:ilvl="1">
      <w:lvlJc w:val="left"/>
      <w:lvlText w:val="(%2)"/>
      <w:numFmt w:val="decimal"/>
      <w:start w:val="2"/>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lvl w:ilvl="1">
      <w:lvlJc w:val="left"/>
      <w:lvlText w:val="(%2)"/>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2019-12-06T10:23:34Z</dcterms:created>
  <dcterms:modified xsi:type="dcterms:W3CDTF">2019-12-06T10:23:34Z</dcterms:modified>
</cp:coreProperties>
</file>