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332105</wp:posOffset>
            </wp:positionV>
            <wp:extent cx="7178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349250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163195</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348615</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326390</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497840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300990</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2440"/>
        <w:spacing w:after="0"/>
        <w:tabs>
          <w:tab w:leader="none" w:pos="81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62-1096725</w:t>
      </w:r>
    </w:p>
    <w:p>
      <w:pPr>
        <w:spacing w:after="0" w:line="77" w:lineRule="exact"/>
        <w:rPr>
          <w:sz w:val="24"/>
          <w:szCs w:val="24"/>
          <w:color w:val="auto"/>
        </w:rPr>
      </w:pPr>
    </w:p>
    <w:p>
      <w:pPr>
        <w:ind w:left="1820"/>
        <w:spacing w:after="0"/>
        <w:tabs>
          <w:tab w:leader="none" w:pos="804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22" w:lineRule="exact"/>
        <w:rPr>
          <w:sz w:val="24"/>
          <w:szCs w:val="24"/>
          <w:color w:val="auto"/>
        </w:rPr>
      </w:pPr>
    </w:p>
    <w:p>
      <w:pPr>
        <w:ind w:left="1780"/>
        <w:spacing w:after="0"/>
        <w:tabs>
          <w:tab w:leader="none" w:pos="782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Number)</w:t>
      </w: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6210 Ardrey Kell Road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Charlotte, North Carolina 28277</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3" w:lineRule="exact"/>
        <w:rPr>
          <w:sz w:val="24"/>
          <w:szCs w:val="24"/>
          <w:color w:val="auto"/>
        </w:rPr>
      </w:pPr>
    </w:p>
    <w:p>
      <w:pPr>
        <w:ind w:left="1440"/>
        <w:spacing w:after="0"/>
        <w:tabs>
          <w:tab w:leader="none" w:pos="5260" w:val="left"/>
          <w:tab w:leader="none" w:pos="820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4"/>
          <w:szCs w:val="14"/>
          <w:i w:val="1"/>
          <w:iCs w:val="1"/>
          <w:color w:val="auto"/>
        </w:rPr>
        <w:t>Trading symbol</w:t>
      </w:r>
      <w:r>
        <w:rPr>
          <w:sz w:val="20"/>
          <w:szCs w:val="20"/>
          <w:color w:val="auto"/>
        </w:rPr>
        <w:tab/>
      </w:r>
      <w:r>
        <w:rPr>
          <w:rFonts w:ascii="Arial" w:cs="Arial" w:eastAsia="Arial" w:hAnsi="Arial"/>
          <w:sz w:val="12"/>
          <w:szCs w:val="12"/>
          <w:i w:val="1"/>
          <w:iCs w:val="1"/>
          <w:color w:val="auto"/>
        </w:rPr>
        <w:t>Name of each exchange on which registered</w:t>
      </w:r>
    </w:p>
    <w:p>
      <w:pPr>
        <w:spacing w:after="0" w:line="105" w:lineRule="exact"/>
        <w:rPr>
          <w:sz w:val="24"/>
          <w:szCs w:val="24"/>
          <w:color w:val="auto"/>
        </w:rPr>
      </w:pPr>
    </w:p>
    <w:p>
      <w:pPr>
        <w:ind w:left="660"/>
        <w:spacing w:after="0"/>
        <w:tabs>
          <w:tab w:leader="none" w:pos="5500" w:val="left"/>
          <w:tab w:leader="none" w:pos="8460" w:val="left"/>
        </w:tabs>
        <w:rPr>
          <w:sz w:val="20"/>
          <w:szCs w:val="20"/>
          <w:color w:val="auto"/>
        </w:rPr>
      </w:pPr>
      <w:r>
        <w:rPr>
          <w:rFonts w:ascii="Arial" w:cs="Arial" w:eastAsia="Arial" w:hAnsi="Arial"/>
          <w:sz w:val="14"/>
          <w:szCs w:val="14"/>
          <w:b w:val="1"/>
          <w:bCs w:val="1"/>
          <w:color w:val="auto"/>
        </w:rPr>
        <w:t>Common Stock, par value $0.01 per share</w:t>
      </w:r>
      <w:r>
        <w:rPr>
          <w:sz w:val="20"/>
          <w:szCs w:val="20"/>
          <w:color w:val="auto"/>
        </w:rPr>
        <w:tab/>
      </w:r>
      <w:r>
        <w:rPr>
          <w:rFonts w:ascii="Arial" w:cs="Arial" w:eastAsia="Arial" w:hAnsi="Arial"/>
          <w:sz w:val="14"/>
          <w:szCs w:val="14"/>
          <w:b w:val="1"/>
          <w:bCs w:val="1"/>
          <w:color w:val="auto"/>
        </w:rPr>
        <w:t>NNBR</w:t>
      </w:r>
      <w:r>
        <w:rPr>
          <w:sz w:val="20"/>
          <w:szCs w:val="20"/>
          <w:color w:val="auto"/>
        </w:rPr>
        <w:tab/>
      </w:r>
      <w:r>
        <w:rPr>
          <w:rFonts w:ascii="Arial" w:cs="Arial" w:eastAsia="Arial" w:hAnsi="Arial"/>
          <w:sz w:val="13"/>
          <w:szCs w:val="13"/>
          <w:b w:val="1"/>
          <w:bCs w:val="1"/>
          <w:color w:val="auto"/>
        </w:rPr>
        <w:t>The Nasdaq Stock Market, LLC</w:t>
      </w:r>
    </w:p>
    <w:p>
      <w:pPr>
        <w:spacing w:after="0" w:line="7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20"/>
              <w:spacing w:after="0"/>
              <w:rPr>
                <w:sz w:val="20"/>
                <w:szCs w:val="20"/>
                <w:color w:val="auto"/>
              </w:rPr>
            </w:pPr>
            <w:r>
              <w:rPr>
                <w:rFonts w:ascii="Arial" w:cs="Arial" w:eastAsia="Arial" w:hAnsi="Arial"/>
                <w:sz w:val="14"/>
                <w:szCs w:val="14"/>
                <w:color w:val="auto"/>
              </w:rPr>
              <w:t>Accelerated filer</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20"/>
              <w:spacing w:after="0"/>
              <w:rPr>
                <w:sz w:val="20"/>
                <w:szCs w:val="20"/>
                <w:color w:val="auto"/>
              </w:rPr>
            </w:pPr>
            <w:r>
              <w:rPr>
                <w:rFonts w:ascii="Arial" w:cs="Arial" w:eastAsia="Arial" w:hAnsi="Arial"/>
                <w:sz w:val="14"/>
                <w:szCs w:val="14"/>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1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60" w:type="dxa"/>
            <w:vAlign w:val="bottom"/>
          </w:tcPr>
          <w:p>
            <w:pPr>
              <w:ind w:left="2820"/>
              <w:spacing w:after="0"/>
              <w:rPr>
                <w:sz w:val="20"/>
                <w:szCs w:val="20"/>
                <w:color w:val="auto"/>
              </w:rPr>
            </w:pPr>
            <w:r>
              <w:rPr>
                <w:rFonts w:ascii="Arial" w:cs="Arial" w:eastAsia="Arial" w:hAnsi="Arial"/>
                <w:sz w:val="14"/>
                <w:szCs w:val="14"/>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760"/>
        <w:spacing w:after="0" w:line="20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 2019, there were 42,327,206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161925</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179070</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880" w:type="dxa"/>
            <w:vAlign w:val="bottom"/>
            <w:gridSpan w:val="9"/>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260" w:type="dxa"/>
            <w:vAlign w:val="bottom"/>
            <w:gridSpan w:val="12"/>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0000EE"/>
            </w:tcBorders>
            <w:gridSpan w:val="9"/>
            <w:vMerge w:val="continue"/>
          </w:tcPr>
          <w:p>
            <w:pPr>
              <w:spacing w:after="0"/>
              <w:rPr>
                <w:sz w:val="15"/>
                <w:szCs w:val="15"/>
                <w:color w:val="auto"/>
              </w:rPr>
            </w:pPr>
          </w:p>
        </w:tc>
        <w:tc>
          <w:tcPr>
            <w:tcW w:w="7260" w:type="dxa"/>
            <w:vAlign w:val="bottom"/>
            <w:gridSpan w:val="12"/>
            <w:vMerge w:val="continue"/>
          </w:tcPr>
          <w:p>
            <w:pPr>
              <w:spacing w:after="0"/>
              <w:rPr>
                <w:sz w:val="15"/>
                <w:szCs w:val="15"/>
                <w:color w:val="auto"/>
              </w:rPr>
            </w:pPr>
          </w:p>
        </w:tc>
        <w:tc>
          <w:tcPr>
            <w:tcW w:w="1240" w:type="dxa"/>
            <w:vAlign w:val="bottom"/>
          </w:tcPr>
          <w:p>
            <w:pPr>
              <w:jc w:val="right"/>
              <w:spacing w:after="0" w:line="170"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1500" w:type="dxa"/>
            <w:vAlign w:val="bottom"/>
            <w:gridSpan w:val="2"/>
          </w:tcPr>
          <w:p>
            <w:pPr>
              <w:ind w:left="40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120" w:type="dxa"/>
            <w:vAlign w:val="bottom"/>
            <w:gridSpan w:val="11"/>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and Comprehensive Income (Loss) (Unaudited)</w:t>
              </w:r>
            </w:hyperlink>
          </w:p>
        </w:tc>
        <w:tc>
          <w:tcPr>
            <w:tcW w:w="12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3280" w:type="dxa"/>
            <w:vAlign w:val="bottom"/>
            <w:tcBorders>
              <w:top w:val="single" w:sz="8" w:color="0000EE"/>
            </w:tcBorders>
            <w:gridSpan w:val="7"/>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Equity (Unaudited)</w:t>
              </w:r>
            </w:hyperlink>
          </w:p>
        </w:tc>
        <w:tc>
          <w:tcPr>
            <w:tcW w:w="2320" w:type="dxa"/>
            <w:vAlign w:val="bottom"/>
            <w:gridSpan w:val="3"/>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w:t>
              </w:r>
            </w:hyperlink>
          </w:p>
        </w:tc>
        <w:tc>
          <w:tcPr>
            <w:tcW w:w="3780" w:type="dxa"/>
            <w:vAlign w:val="bottom"/>
            <w:gridSpan w:val="5"/>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500" w:type="dxa"/>
            <w:vAlign w:val="bottom"/>
            <w:gridSpan w:val="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86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2180" w:type="dxa"/>
            <w:vAlign w:val="bottom"/>
            <w:gridSpan w:val="2"/>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6860" w:type="dxa"/>
            <w:vAlign w:val="bottom"/>
            <w:gridSpan w:val="10"/>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72"/>
        </w:trPr>
        <w:tc>
          <w:tcPr>
            <w:tcW w:w="101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1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86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7300" w:type="dxa"/>
            <w:vAlign w:val="bottom"/>
            <w:gridSpan w:val="13"/>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4280" w:type="dxa"/>
            <w:vAlign w:val="bottom"/>
            <w:gridSpan w:val="7"/>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6340" w:type="dxa"/>
            <w:vAlign w:val="bottom"/>
            <w:gridSpan w:val="9"/>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6860" w:type="dxa"/>
            <w:vAlign w:val="bottom"/>
            <w:gridSpan w:val="10"/>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86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320" w:type="dxa"/>
            <w:vAlign w:val="bottom"/>
            <w:gridSpan w:val="14"/>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SIGNATURES</w:t>
              </w:r>
            </w:hyperlink>
          </w:p>
        </w:tc>
        <w:tc>
          <w:tcPr>
            <w:tcW w:w="40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9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571,180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160,816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485,598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431,492</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71,298</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w w:val="99"/>
              </w:rPr>
              <w:t>Acquisition related costs excluded from selling, general and administrative expense</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5,810</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51,798</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Restructuring and integration expense, net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2,137</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9,283</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46,592</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19,562</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w w:val="96"/>
              </w:rPr>
              <w:t>Loss before (provision) benefit for income taxes and share of net income from joint venture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(58,753)</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1,744</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(44,796)</w:t>
            </w: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41"/>
        </w:trPr>
        <w:tc>
          <w:tcPr>
            <w:tcW w:w="7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Change in fair value of interest rate swap,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600"/>
              <w:spacing w:after="0"/>
              <w:rPr>
                <w:sz w:val="20"/>
                <w:szCs w:val="20"/>
                <w:color w:val="auto"/>
              </w:rPr>
            </w:pPr>
            <w:r>
              <w:rPr>
                <w:rFonts w:ascii="Arial" w:cs="Arial" w:eastAsia="Arial" w:hAnsi="Arial"/>
                <w:sz w:val="18"/>
                <w:szCs w:val="18"/>
                <w:color w:val="auto"/>
                <w:w w:val="95"/>
              </w:rPr>
              <w:t>Less: reclassification adjustment for (gains) losses included in net income, net of tax</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(54,275)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(59,305)</w:t>
            </w:r>
          </w:p>
        </w:tc>
      </w:tr>
      <w:tr>
        <w:trPr>
          <w:trHeight w:val="67"/>
        </w:trPr>
        <w:tc>
          <w:tcPr>
            <w:tcW w:w="7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7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Basic net loss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Net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42,038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27,784</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141,583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133,421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316,318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298,202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361,028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439,452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340,513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376,248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joint venture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1,553,745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1,502,901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65,534</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65,694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156,009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145,030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Non-current income tax payable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811,471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29,417</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1,193,948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1,081,631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 - $0.01 par value per share, authorized 90,000 shares, 42,297 and 42,104 shares issued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513,268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511,545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(31,625)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359,797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421,270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1,553,745</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1,502,901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vMerge w:val="restart"/>
          </w:tcPr>
          <w:p>
            <w:pPr>
              <w:jc w:val="center"/>
              <w:ind w:left="322"/>
              <w:spacing w:after="0"/>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paid 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760" w:type="dxa"/>
            <w:vAlign w:val="bottom"/>
          </w:tcPr>
          <w:p>
            <w:pPr>
              <w:jc w:val="center"/>
              <w:ind w:left="322"/>
              <w:spacing w:after="0"/>
              <w:rPr>
                <w:sz w:val="20"/>
                <w:szCs w:val="20"/>
                <w:color w:val="auto"/>
              </w:rPr>
            </w:pPr>
            <w:r>
              <w:rPr>
                <w:rFonts w:ascii="Arial" w:cs="Arial" w:eastAsia="Arial" w:hAnsi="Arial"/>
                <w:sz w:val="14"/>
                <w:szCs w:val="14"/>
                <w:b w:val="1"/>
                <w:bCs w:val="1"/>
                <w:color w:val="auto"/>
                <w:w w:val="89"/>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deficit</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comprehensive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11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42,367</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424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513,380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380,836</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Shares issued for option exercises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Restricted shares and performance shares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forgiven for taxes and 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 in estimate of performance share</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vesting</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w w:val="96"/>
              </w:rPr>
              <w:t>Change in fair value of interest rate swap, net</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of tax of $376</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of interest rate swap</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settlement to income, net of tax of $68</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loss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2019</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42,297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513,268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359,797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294,380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442,795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Shares issued</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217,168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Restricted shares and performance shares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forgiven for taxes and forfeited</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 in estimate of performance share</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vesting</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loss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511,834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160,514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640,515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3"/>
                <w:szCs w:val="13"/>
                <w:color w:val="auto"/>
              </w:rPr>
            </w:pPr>
          </w:p>
        </w:tc>
        <w:tc>
          <w:tcPr>
            <w:tcW w:w="7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20" w:type="dxa"/>
            <w:vAlign w:val="bottom"/>
          </w:tcPr>
          <w:p>
            <w:pPr>
              <w:spacing w:after="0"/>
              <w:rPr>
                <w:sz w:val="16"/>
                <w:szCs w:val="16"/>
                <w:color w:val="auto"/>
              </w:rPr>
            </w:pPr>
          </w:p>
        </w:tc>
        <w:tc>
          <w:tcPr>
            <w:tcW w:w="74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42,104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511,545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Shares issued for option exercises</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Restricted shares forgiven for taxes and</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 in estimate of performance share</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vesting</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w w:val="96"/>
              </w:rPr>
              <w:t>Change in fair value of interest rate swap, net</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of tax of $3,472</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of interest rate swap</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settlement to income, net of tax of $68</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loss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Adoption of new accounting standard (Note 1)</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Balance, September 30, 2019</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42,297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jc w:val="right"/>
              <w:ind w:right="56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423</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513,268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359,797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3"/>
                <w:szCs w:val="13"/>
                <w:color w:val="auto"/>
              </w:rPr>
            </w:pPr>
          </w:p>
        </w:tc>
        <w:tc>
          <w:tcPr>
            <w:tcW w:w="74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292,494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Shares issued</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217,168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Shares issued for option exercises</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shares and performance shares</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forgiven for taxes and 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Change in estimate of performance share</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vesting</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Adoption of new accounting standard</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42,104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421</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511,834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160,514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640,515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58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Adjustments to reconcile net loss to net cash provided by (used by) operating activities: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Amortization of debt issuance costs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Loss on extinguishment of debt and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Share of net income from joint venture, net of cash dividends received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Compensation expense from issuance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Income taxes receivable and payable, net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Net cash provided by (used in) operating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property, plant and equipment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liquidation of short-term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to acquire businesses, net of cash received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used in investing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for debt issuance or prepayment costs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common shares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 of long-term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(repayments of)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Effect of exchange rate changes on cash flows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528"/>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(30,894)</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(44,796)</w:t>
            </w:r>
          </w:p>
        </w:tc>
      </w:tr>
      <w:tr>
        <w:trPr>
          <w:trHeight w:val="540"/>
        </w:trPr>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68,970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51,798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3,631</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19,562</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(1,744)</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2,623</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(14,737)</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w:t>
            </w:r>
          </w:p>
        </w:tc>
      </w:tr>
      <w:tr>
        <w:trPr>
          <w:trHeight w:val="540"/>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(19,656)</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(18,207)</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3,733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(1,681)</w:t>
            </w:r>
          </w:p>
        </w:tc>
      </w:tr>
      <w:tr>
        <w:trPr>
          <w:trHeight w:val="27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6,004</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33,607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(13,215)</w:t>
            </w:r>
          </w:p>
        </w:tc>
      </w:tr>
      <w:tr>
        <w:trPr>
          <w:trHeight w:val="528"/>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(40,720)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(46,998)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(399,011)</w:t>
            </w:r>
          </w:p>
        </w:tc>
      </w:tr>
      <w:tr>
        <w:trPr>
          <w:trHeight w:val="27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(445,359)</w:t>
            </w:r>
          </w:p>
        </w:tc>
      </w:tr>
      <w:tr>
        <w:trPr>
          <w:trHeight w:val="528"/>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(20,703)</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(5,812)</w:t>
            </w:r>
          </w:p>
        </w:tc>
      </w:tr>
      <w:tr>
        <w:trPr>
          <w:trHeight w:val="270"/>
        </w:trPr>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217,435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52,144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288,594</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(234,000)</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10,474</w:t>
            </w:r>
          </w:p>
        </w:tc>
      </w:tr>
      <w:tr>
        <w:trPr>
          <w:trHeight w:val="27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252,827</w:t>
            </w:r>
          </w:p>
        </w:tc>
      </w:tr>
      <w:tr>
        <w:trPr>
          <w:trHeight w:val="244"/>
        </w:trPr>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(206,657)</w:t>
            </w:r>
          </w:p>
        </w:tc>
      </w:tr>
      <w:tr>
        <w:trPr>
          <w:trHeight w:val="27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224,446</w:t>
            </w:r>
          </w:p>
        </w:tc>
      </w:tr>
      <w:tr>
        <w:trPr>
          <w:trHeight w:val="237"/>
        </w:trPr>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24,409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17,789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60" w:space="720"/>
            <w:col w:w="2820"/>
          </w:cols>
          <w:pgMar w:left="240" w:top="125"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(this “Quarterly Report), the terms “NN,” the “Company,” “we,” “our,” or “us” refer to NN, Inc., and its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205-40)</w:t>
      </w:r>
      <w:r>
        <w:rPr>
          <w:rFonts w:ascii="Arial" w:cs="Arial" w:eastAsia="Arial" w:hAnsi="Arial"/>
          <w:sz w:val="17"/>
          <w:szCs w:val="17"/>
          <w:color w:val="auto"/>
        </w:rPr>
        <w:t>, the Company has evaluated whether there are conditions or events, considered in the aggregate, that raise substantial doubt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ability to continue as a going concern within one year after the date of the issuance of these unaudited interim financial statements. The Company’s existing revolving line of credit, which has a maximum capacity of $110.0 million, matures on October 19, 2020 (the “Senior Secured Revolver”). The Company leverages such line of credit, along with cash generated from operations, to fund operations and working capital and had $71.5 million of outstanding borrowings as of November 6, 2019. Based on our current and projected use of the facility, as well as cash flows to be generated from operations and investing activities, we do not anticipate that we will be able to repay the outstanding borrowings when they become due in October 2020 without refinancing the line of credit or obtaining new financing. The Company has and continues to make efforts to obtain new financing; however, there is no assurance that we will obtain sufficient financing on commercially reasonable terms, if at all, before the outstanding amounts would be required to be repaid. This condition raises substantial doubt about the Company’s ability to continue as a going concern within one year after the date of issuance of these financial statements. The accompanying condensed consolidated financial statements have been prepared assuming that the Company will continue as a going concern and do not include any adjustments that might result from the outcome of this uncertainty.</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condensed consolidated financial statements have not been audited, except that the Condensed Consolidated Balance Sheet as of December 31, 2018, was derived from the audited consolidated financial statements included in our Annual Report on Form 10-K for the year ended December 31, 2018 (the “2018 Annual Report”), which we filed with the U.S. Securities and Exchange Commission (the “SEC”) on March 18, 2019. In management’s opinion, the accompanying unaudited condensed consolidated financial statements reflect all adjustments necessary to fairly state our results of operations for the three and nine months ended September 30, 2019 and 2018; financial position as of September 30, 2019, and December 31, 2018; and cash flows for the nine months ended September 30, 2019 and 2018, on a basis consistent with our audited consolidated financial statements other than the adoption of new accounting standards, such as the new lease standard (see Note 10). These adjustments are of a normal recurring nature and are, in the opinion of management, necessary to state fairly the Company’s financial position and operating results for the interim periods.</w:t>
      </w:r>
    </w:p>
    <w:p>
      <w:pPr>
        <w:spacing w:after="0" w:line="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2018 Annual Report. The results for the three and nine months ended September 30, 2019, are not necessarily indicative of results for the year ending December 31, 2019, or any other future periods.</w:t>
      </w:r>
    </w:p>
    <w:p>
      <w:pPr>
        <w:spacing w:after="0" w:line="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presented in the tables in these Notes to Condensed Consolidated Financial Statements are in thousands.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connection with the preparation of our interim financial statements for the nine months ended September 30, 2019, we identified tax accounting misstatements in our previously issued 2018 Annual Report. Such misstatements relate to the tax accounting associated with the 2018 impairment of our joint venture as well as other immaterial tax misstatements. We assessed the materiality of the misstatements on prior periods’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Accounting Standards Codification (“ASC”) Topic 250,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and Error Corrections</w:t>
      </w:r>
      <w:r>
        <w:rPr>
          <w:rFonts w:ascii="Arial" w:cs="Arial" w:eastAsia="Arial" w:hAnsi="Arial"/>
          <w:sz w:val="17"/>
          <w:szCs w:val="17"/>
          <w:color w:val="auto"/>
        </w:rPr>
        <w:t>, (“ASC 250”) and concluded that the misstatements were not material to the prior annual or interim periods. However,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determined that it will revise its previously issued 2018 and 2017 annual financial statements,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relevant interim periods, to correct for these misstatements. In connection with such revision, the Company will correct for an immaterial tax misstatement that originated in 2017 and had been previously corrected for as an out of period adjustment in 2018.</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this Quarterly Report, we have revised the accompanying Consolidated Statements of Operations and Comprehensive Income (Loss) and our Consolidated Statements of Cash Flows for the nine months ended September 30, 2018, and have reflected the impact of the revision on our Consolidated Balance Sheet as of December 31, 2018. Refer to Note 17 for the effect of the correction of the misstatements on each of the financial statements noted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On January 1, 2019, we adopted Accounting Standards Codification (“ASC”) 842,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which superseded ASC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We adopted ASC 842</w:t>
      </w:r>
      <w:r>
        <w:rPr>
          <w:rFonts w:ascii="Arial" w:cs="Arial" w:eastAsia="Arial" w:hAnsi="Arial"/>
          <w:sz w:val="16"/>
          <w:szCs w:val="16"/>
          <w:i w:val="1"/>
          <w:iCs w:val="1"/>
          <w:color w:val="auto"/>
        </w:rPr>
        <w:t xml:space="preserve"> </w:t>
      </w:r>
      <w:r>
        <w:rPr>
          <w:rFonts w:ascii="Arial" w:cs="Arial" w:eastAsia="Arial" w:hAnsi="Arial"/>
          <w:sz w:val="16"/>
          <w:szCs w:val="16"/>
          <w:color w:val="auto"/>
        </w:rPr>
        <w:t>utilizing the modified retrospective transition approach; therefore, historical financial information and disclosures do not reflect the new standard and will continue to be presented under the previous lease accounting guidance. Under the modified retrospective transition method, the cumulative effect of the initial adoption adjustment of less than $0.1 million was recognized to the opening balance of retained deficit as of January 1, 2019. As part of the adoption, we elected the package of practical expedients, the short-term lease exemption, and the practical expedient to not separate lease and non-lease components. We recorded lease-related assets and liabilities to our balance sheet for leases with terms greater than twelve months that were classified as operating leases and not previously recorded on our balance sheet. See Note 10 for the required disclosures related to ASC 842.</w:t>
      </w:r>
    </w:p>
    <w:p>
      <w:pPr>
        <w:spacing w:after="0" w:line="5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Derivatives and Hedging</w:t>
      </w:r>
      <w:r>
        <w:rPr>
          <w:rFonts w:ascii="Arial" w:cs="Arial" w:eastAsia="Arial" w:hAnsi="Arial"/>
          <w:sz w:val="18"/>
          <w:szCs w:val="18"/>
          <w:color w:val="auto"/>
        </w:rPr>
        <w:t>. In August 2017, the Financial Accounting Standards Board (“FASB”) issued ASU 2017-12,</w:t>
      </w:r>
      <w:r>
        <w:rPr>
          <w:rFonts w:ascii="Arial" w:cs="Arial" w:eastAsia="Arial" w:hAnsi="Arial"/>
          <w:sz w:val="18"/>
          <w:szCs w:val="18"/>
          <w:i w:val="1"/>
          <w:iCs w:val="1"/>
          <w:color w:val="auto"/>
        </w:rPr>
        <w:t xml:space="preserve"> Derivatives and Hedging (Topic 815): Targeted Improvements to Accounting for Hedging Activities</w:t>
      </w:r>
      <w:r>
        <w:rPr>
          <w:rFonts w:ascii="Arial" w:cs="Arial" w:eastAsia="Arial" w:hAnsi="Arial"/>
          <w:sz w:val="18"/>
          <w:szCs w:val="18"/>
          <w:color w:val="auto"/>
        </w:rPr>
        <w:t>, (“ASU 2017-12”). ASU 2017-12 provides new rules that expand the hedging strategies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for hedge accounting. The new rules also allow additional time to complete hedge effectiveness testing and allow qualitative assessments subsequent to initial quantitative tests if there is a supportable expectation that the hedge will remain highly effective. We adopted the guidance on January 1, 2019. We have applied the new rules to 2019 hedging activities as disclosed in Note 16 to these condensed consolidated financial statements. The new guidance has no effect on our historical financial statements.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Effects of Tax Reform in Other Comprehensive Income. </w:t>
      </w:r>
      <w:r>
        <w:rPr>
          <w:rFonts w:ascii="Arial" w:cs="Arial" w:eastAsia="Arial" w:hAnsi="Arial"/>
          <w:sz w:val="18"/>
          <w:szCs w:val="18"/>
          <w:color w:val="auto"/>
        </w:rPr>
        <w:t>In February 2018, the FASB issued guidance related to the impacts of the U.S. Tax Cuts and Jobs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2018-2, </w:t>
      </w:r>
      <w:r>
        <w:rPr>
          <w:rFonts w:ascii="Arial" w:cs="Arial" w:eastAsia="Arial" w:hAnsi="Arial"/>
          <w:sz w:val="18"/>
          <w:szCs w:val="18"/>
          <w:i w:val="1"/>
          <w:iCs w:val="1"/>
          <w:color w:val="auto"/>
        </w:rPr>
        <w:t>Income Statement – Reporting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(Topic 220): Reclassification of Certain Tax Effects from Accumulated Other Comprehensive Income, </w:t>
      </w:r>
      <w:r>
        <w:rPr>
          <w:rFonts w:ascii="Arial" w:cs="Arial" w:eastAsia="Arial" w:hAnsi="Arial"/>
          <w:sz w:val="18"/>
          <w:szCs w:val="18"/>
          <w:color w:val="auto"/>
        </w:rPr>
        <w:t>that permits reclassification of certain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effects of the Tax Act from AOCI to retained earnings. The guidance also requires certain disclosures about stranded tax effects. The new guidance was effective for us on January 1, 2019. We adopted the new guidance at the beginning of the period of adoption. The new guidance had no effect on our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xml:space="preserve"> Fair Value Measurement (Topic 820): Disclosure Framework - Changes to the Disclosure Requirements for Fair Value Measurement </w:t>
      </w:r>
      <w:r>
        <w:rPr>
          <w:rFonts w:ascii="Arial" w:cs="Arial" w:eastAsia="Arial" w:hAnsi="Arial"/>
          <w:sz w:val="18"/>
          <w:szCs w:val="18"/>
          <w:color w:val="auto"/>
        </w:rPr>
        <w:t>(“ASU 2018-13”)</w:t>
      </w:r>
      <w:r>
        <w:rPr>
          <w:rFonts w:ascii="Arial" w:cs="Arial" w:eastAsia="Arial" w:hAnsi="Arial"/>
          <w:sz w:val="18"/>
          <w:szCs w:val="18"/>
          <w:i w:val="1"/>
          <w:iCs w:val="1"/>
          <w:color w:val="auto"/>
        </w:rPr>
        <w:t xml:space="preserve">, </w:t>
      </w:r>
      <w:r>
        <w:rPr>
          <w:rFonts w:ascii="Arial" w:cs="Arial" w:eastAsia="Arial" w:hAnsi="Arial"/>
          <w:sz w:val="18"/>
          <w:szCs w:val="18"/>
          <w:color w:val="auto"/>
        </w:rPr>
        <w:t>that modifies fair value disclosure requirements. The new guidance could impact us</w:t>
      </w:r>
      <w:r>
        <w:rPr>
          <w:rFonts w:ascii="Arial" w:cs="Arial" w:eastAsia="Arial" w:hAnsi="Arial"/>
          <w:sz w:val="18"/>
          <w:szCs w:val="18"/>
          <w:i w:val="1"/>
          <w:iCs w:val="1"/>
          <w:color w:val="auto"/>
        </w:rPr>
        <w:t xml:space="preserve"> </w:t>
      </w:r>
      <w:r>
        <w:rPr>
          <w:rFonts w:ascii="Arial" w:cs="Arial" w:eastAsia="Arial" w:hAnsi="Arial"/>
          <w:sz w:val="18"/>
          <w:szCs w:val="18"/>
          <w:color w:val="auto"/>
        </w:rPr>
        <w:t>by streamlining disclosures of Level 3 fair value measurements. The modified disclosures are effective for us beginning in the first quarter of 2020, with early adoption allowed. ASU 2018-13 changes disclosures only and does not impact our financial condition, results of operations, or cash flows. We are in the process of evaluating the effects of this guidance on our fair value disclosures.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Internal-Use Software.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2018-15”)</w:t>
      </w:r>
      <w:r>
        <w:rPr>
          <w:rFonts w:ascii="Arial" w:cs="Arial" w:eastAsia="Arial" w:hAnsi="Arial"/>
          <w:sz w:val="18"/>
          <w:szCs w:val="18"/>
          <w:i w:val="1"/>
          <w:iCs w:val="1"/>
          <w:color w:val="auto"/>
        </w:rPr>
        <w:t>,</w:t>
      </w:r>
      <w:r>
        <w:rPr>
          <w:rFonts w:ascii="Arial" w:cs="Arial" w:eastAsia="Arial" w:hAnsi="Arial"/>
          <w:sz w:val="18"/>
          <w:szCs w:val="18"/>
          <w:color w:val="auto"/>
        </w:rPr>
        <w:t xml:space="preserve"> 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 but do not expect the adoption to have a material impact.</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In June 2016, the FASB issued ASU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2016-13”), which modifies the measurement of expected credit losses on certain financial instruments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when such losses are recorded. ASU 2016-13 is effective for us on January 1, 2020, using a modified retrospective approach, with early adoption permitted. We are in the process of evaluating the effects of this guidance on our financial statements, but do not expect the adoption to have a material impact.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accounting purposes, Paragon Medical meets the definition of a business and has been accounted for as a business combination. Paragon Medical is a medical device manufacturer that focuses on the orthopedic, case and tray, implant, and instrument markets. This acquisition continues our strategic focus to expand our Life Sciences portfolio as well as create a balanced business by diversifying our products and finished device offerings. We have finalized the purchase price allocation and recorded measurement period adjustments to the initial allocation as disclosed in our 2018 Annual Report.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Beginning May 7, 2018, our consolidated results of operations include the results of Paragon Medical.</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unaudited pro forma financial results shown in the table below for the three and nine months ended September 30, 2018, combine the consolidated results of NN and Paragon Medical giving effect to the Paragon Medical acquisition as if it had been completed on January 1, 2017.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The provision for income taxes has also been adjusted for all periods, based upon the foregoing adjustments to historical results.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Arial" w:cs="Arial" w:eastAsia="Arial" w:hAnsi="Arial"/>
                <w:sz w:val="14"/>
                <w:szCs w:val="14"/>
                <w:b w:val="1"/>
                <w:bCs w:val="1"/>
                <w:color w:val="auto"/>
                <w:w w:val="97"/>
              </w:rPr>
              <w:t>September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626,414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(32,129)</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Bridgemedica, LLC. </w:t>
      </w:r>
      <w:r>
        <w:rPr>
          <w:rFonts w:ascii="Arial" w:cs="Arial" w:eastAsia="Arial" w:hAnsi="Arial"/>
          <w:sz w:val="16"/>
          <w:szCs w:val="16"/>
          <w:color w:val="auto"/>
        </w:rPr>
        <w:t>On February 22, 2018, we completed the acquisition of 100% of the assets of Bridgemedica, LLC (“Bridgemedica”). For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in our Life Sciences group after the acquisition date. We have finalized the purchase price allocation with no material changes to the initial allocation.</w:t>
      </w:r>
    </w:p>
    <w:p>
      <w:pPr>
        <w:spacing w:after="0" w:line="4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Southern California Technical Arts, Inc. </w:t>
      </w:r>
      <w:r>
        <w:rPr>
          <w:rFonts w:ascii="Arial" w:cs="Arial" w:eastAsia="Arial" w:hAnsi="Arial"/>
          <w:sz w:val="17"/>
          <w:szCs w:val="17"/>
          <w:color w:val="auto"/>
        </w:rPr>
        <w:t>On August 9, 2018, we completed the acquisition of 100% of the capital stock of Southern California Technical Arts,</w:t>
      </w:r>
      <w:r>
        <w:rPr>
          <w:rFonts w:ascii="Arial" w:cs="Arial" w:eastAsia="Arial" w:hAnsi="Arial"/>
          <w:sz w:val="17"/>
          <w:szCs w:val="17"/>
          <w:i w:val="1"/>
          <w:iCs w:val="1"/>
          <w:color w:val="auto"/>
        </w:rPr>
        <w:t xml:space="preserve"> </w:t>
      </w:r>
      <w:r>
        <w:rPr>
          <w:rFonts w:ascii="Arial" w:cs="Arial" w:eastAsia="Arial" w:hAnsi="Arial"/>
          <w:sz w:val="17"/>
          <w:szCs w:val="17"/>
          <w:color w:val="auto"/>
        </w:rPr>
        <w:t>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 after the acquisition date. We have finalized the purchase price allocation with no material changes to the initial allocation.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has concluded that Life Sciences, which is focused on growth in the medical end market, primarily in the orthopaedics and medical/surgical end markets; Mobile Solutions, which is focused on growth in the general industrial and automotive end markets; and Power Solutions, which is focused on growth in the electrical and aerospace and defense end markets, constitute our operating segments. Life Sciences, Mobile Solutions, and Power Solutions are considered operating segments as each engages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operations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2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76"/>
              <w:spacing w:after="0"/>
              <w:rPr>
                <w:sz w:val="20"/>
                <w:szCs w:val="20"/>
                <w:color w:val="auto"/>
              </w:rPr>
            </w:pPr>
            <w:r>
              <w:rPr>
                <w:rFonts w:ascii="Arial" w:cs="Arial" w:eastAsia="Arial" w:hAnsi="Arial"/>
                <w:sz w:val="14"/>
                <w:szCs w:val="14"/>
                <w:b w:val="1"/>
                <w:bCs w:val="1"/>
                <w:color w:val="auto"/>
                <w:w w:val="82"/>
              </w:rPr>
              <w:t>Sciences</w:t>
            </w:r>
          </w:p>
        </w:tc>
        <w:tc>
          <w:tcPr>
            <w:tcW w:w="3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88"/>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94,011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73,071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47,430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213,897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3900" w:type="dxa"/>
            <w:vAlign w:val="bottom"/>
            <w:gridSpan w:val="4"/>
          </w:tcPr>
          <w:p>
            <w:pPr>
              <w:ind w:left="40"/>
              <w:spacing w:after="0"/>
              <w:rPr>
                <w:sz w:val="20"/>
                <w:szCs w:val="20"/>
                <w:color w:val="auto"/>
              </w:rPr>
            </w:pPr>
            <w:r>
              <w:rPr>
                <w:rFonts w:ascii="Arial" w:cs="Arial" w:eastAsia="Arial" w:hAnsi="Arial"/>
                <w:sz w:val="18"/>
                <w:szCs w:val="18"/>
                <w:color w:val="auto"/>
                <w:w w:val="90"/>
              </w:rPr>
              <w:t>Loss before benefit for income taxes and share of net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income from joint venture</w:t>
            </w: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78,363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81,805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46,082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6,717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09"/>
        </w:trPr>
        <w:tc>
          <w:tcPr>
            <w:tcW w:w="3900" w:type="dxa"/>
            <w:vAlign w:val="bottom"/>
            <w:gridSpan w:val="4"/>
          </w:tcPr>
          <w:p>
            <w:pPr>
              <w:ind w:left="40"/>
              <w:spacing w:after="0"/>
              <w:rPr>
                <w:sz w:val="20"/>
                <w:szCs w:val="20"/>
                <w:color w:val="auto"/>
              </w:rPr>
            </w:pPr>
            <w:r>
              <w:rPr>
                <w:rFonts w:ascii="Arial" w:cs="Arial" w:eastAsia="Arial" w:hAnsi="Arial"/>
                <w:sz w:val="18"/>
                <w:szCs w:val="18"/>
                <w:color w:val="auto"/>
                <w:w w:val="90"/>
              </w:rPr>
              <w:t>Loss before benefit for income taxes and share of net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42"/>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income from joint venture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line="20" w:lineRule="exact"/>
              <w:rPr>
                <w:sz w:val="1"/>
                <w:szCs w:val="1"/>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76"/>
              <w:spacing w:after="0"/>
              <w:rPr>
                <w:sz w:val="20"/>
                <w:szCs w:val="20"/>
                <w:color w:val="auto"/>
              </w:rPr>
            </w:pPr>
            <w:r>
              <w:rPr>
                <w:rFonts w:ascii="Arial" w:cs="Arial" w:eastAsia="Arial" w:hAnsi="Arial"/>
                <w:sz w:val="14"/>
                <w:szCs w:val="14"/>
                <w:b w:val="1"/>
                <w:bCs w:val="1"/>
                <w:color w:val="auto"/>
                <w:w w:val="82"/>
              </w:rPr>
              <w:t>Sciences</w:t>
            </w:r>
          </w:p>
        </w:tc>
        <w:tc>
          <w:tcPr>
            <w:tcW w:w="3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88"/>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271,351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230,590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148,480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(1,602)</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648,819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22,553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(30,919)</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9"/>
        </w:trPr>
        <w:tc>
          <w:tcPr>
            <w:tcW w:w="3900" w:type="dxa"/>
            <w:vAlign w:val="bottom"/>
            <w:gridSpan w:val="4"/>
          </w:tcPr>
          <w:p>
            <w:pPr>
              <w:ind w:left="40"/>
              <w:spacing w:after="0"/>
              <w:rPr>
                <w:sz w:val="20"/>
                <w:szCs w:val="20"/>
                <w:color w:val="auto"/>
              </w:rPr>
            </w:pPr>
            <w:r>
              <w:rPr>
                <w:rFonts w:ascii="Arial" w:cs="Arial" w:eastAsia="Arial" w:hAnsi="Arial"/>
                <w:sz w:val="18"/>
                <w:szCs w:val="18"/>
                <w:color w:val="auto"/>
                <w:w w:val="92"/>
              </w:rPr>
              <w:t>Loss before provision for income taxes and share of</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income from joint venture</w:t>
            </w: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168,716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259,678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144,584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(1,798)</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571,180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12,962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09"/>
        </w:trPr>
        <w:tc>
          <w:tcPr>
            <w:tcW w:w="3900" w:type="dxa"/>
            <w:vAlign w:val="bottom"/>
            <w:gridSpan w:val="4"/>
          </w:tcPr>
          <w:p>
            <w:pPr>
              <w:ind w:left="40"/>
              <w:spacing w:after="0"/>
              <w:rPr>
                <w:sz w:val="20"/>
                <w:szCs w:val="20"/>
                <w:color w:val="auto"/>
              </w:rPr>
            </w:pPr>
            <w:r>
              <w:rPr>
                <w:rFonts w:ascii="Arial" w:cs="Arial" w:eastAsia="Arial" w:hAnsi="Arial"/>
                <w:sz w:val="18"/>
                <w:szCs w:val="18"/>
                <w:color w:val="auto"/>
                <w:w w:val="90"/>
              </w:rPr>
              <w:t>Loss before benefit for income taxes and share of net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30"/>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income from joint venture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-98425</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ind w:right="3640" w:firstLine="332"/>
        <w:spacing w:after="0" w:line="567" w:lineRule="auto"/>
        <w:tabs>
          <w:tab w:leader="none" w:pos="64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elimination of intersegment transactions occurring during the ordinary course of business. Total assets by reportable segment as of September 30, 2019, and December 31, 2018, were as follows:</w:t>
      </w: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293"/>
              <w:spacing w:after="0"/>
              <w:rPr>
                <w:sz w:val="20"/>
                <w:szCs w:val="20"/>
                <w:color w:val="auto"/>
              </w:rPr>
            </w:pPr>
            <w:r>
              <w:rPr>
                <w:rFonts w:ascii="Arial" w:cs="Arial" w:eastAsia="Arial" w:hAnsi="Arial"/>
                <w:sz w:val="14"/>
                <w:szCs w:val="14"/>
                <w:b w:val="1"/>
                <w:bCs w:val="1"/>
                <w:color w:val="auto"/>
              </w:rPr>
              <w:t>Total Assets</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22"/>
                <w:szCs w:val="22"/>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817,153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802,770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Mobile Solutions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377,571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356,387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297,947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Corporate and Consolidations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44,505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45,797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1,553,745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1,502,901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46,548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27,107</w:t>
            </w:r>
          </w:p>
        </w:tc>
        <w:tc>
          <w:tcPr>
            <w:tcW w:w="0" w:type="dxa"/>
            <w:vAlign w:val="bottom"/>
          </w:tcPr>
          <w:p>
            <w:pPr>
              <w:spacing w:after="0"/>
              <w:rPr>
                <w:sz w:val="1"/>
                <w:szCs w:val="1"/>
                <w:color w:val="auto"/>
              </w:rPr>
            </w:pP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126,832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122,615</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Note 5. Goodwill</w:t>
            </w: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Arial" w:cs="Arial" w:eastAsia="Arial" w:hAnsi="Arial"/>
                <w:sz w:val="18"/>
                <w:szCs w:val="18"/>
                <w:color w:val="auto"/>
              </w:rPr>
              <w:t>The following table shows changes in the carrying amount of goodwill by reportable segment.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jc w:val="right"/>
              <w:ind w:right="757"/>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Power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right"/>
              <w:ind w:right="617"/>
              <w:spacing w:after="0"/>
              <w:rPr>
                <w:sz w:val="20"/>
                <w:szCs w:val="20"/>
                <w:color w:val="auto"/>
              </w:rPr>
            </w:pPr>
            <w:r>
              <w:rPr>
                <w:rFonts w:ascii="Arial" w:cs="Arial" w:eastAsia="Arial" w:hAnsi="Arial"/>
                <w:sz w:val="14"/>
                <w:szCs w:val="14"/>
                <w:b w:val="1"/>
                <w:bCs w:val="1"/>
                <w:color w:val="auto"/>
              </w:rPr>
              <w:t>Sciences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344,947</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439,452</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Currency impacts/Other</w:t>
            </w:r>
          </w:p>
        </w:tc>
        <w:tc>
          <w:tcPr>
            <w:tcW w:w="38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(1,970)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342,977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94,303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437,280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2018, Mobile Solutions recorded an impairment loss on goodwill. As of September 30, 2019, no goodwill was recorded at Mobile Solutions.</w:t>
      </w:r>
    </w:p>
    <w:p>
      <w:pPr>
        <w:spacing w:after="0" w:line="117"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Based on the closing price of a share of our common stock as of September 30, 2019, our market capitalization was at a level that is less than the net book value of our stockholders’ equity. A prolonged or significant decline in market capitalization could be an indicator of additional goodwill impairment. We concluded that our market capitalization as of September 30, 2019, was not at a level that would require us to perform a goodwill impairment assessment during the period. We will continue to monitor our market capitalization to determine if an indicator of impairment exists in subsequent periods.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2018, as a result of our annual goodwill impairment analysis performed during the fourth quarter of 2018, we recorded an impairment of $109.1 million in our Power Solutions group. Subsequent to the impairment, at December 31, 2018, Power Solutions reported a goodwill balance of $94.5 million. Given the carrying value of the Power Solutions group was equal to its fair value at December 31, 2018, as a result of the 2018 goodwill impairment, if actual performance of the Power Solutions group falls short of expected results, additional material impairment charges may be required. During the third quarter of 2019, we assessed for triggering events that would signify the need to perform an impairment test and concluded there were no triggering events during the period. Our annual impairment analysis will be completed as of October 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636"/>
              <w:spacing w:after="0"/>
              <w:rPr>
                <w:sz w:val="20"/>
                <w:szCs w:val="20"/>
                <w:color w:val="auto"/>
              </w:rPr>
            </w:pPr>
            <w:r>
              <w:rPr>
                <w:rFonts w:ascii="Arial" w:cs="Arial" w:eastAsia="Arial" w:hAnsi="Arial"/>
                <w:sz w:val="14"/>
                <w:szCs w:val="14"/>
                <w:b w:val="1"/>
                <w:bCs w:val="1"/>
                <w:color w:val="auto"/>
              </w:rPr>
              <w:t>Life</w:t>
            </w:r>
          </w:p>
        </w:tc>
        <w:tc>
          <w:tcPr>
            <w:tcW w:w="3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Mobile</w:t>
            </w: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Power</w:t>
            </w:r>
          </w:p>
        </w:tc>
        <w:tc>
          <w:tcPr>
            <w:tcW w:w="380" w:type="dxa"/>
            <w:vAlign w:val="bottom"/>
          </w:tcPr>
          <w:p>
            <w:pPr>
              <w:spacing w:after="0"/>
              <w:rPr>
                <w:sz w:val="14"/>
                <w:szCs w:val="14"/>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16"/>
              <w:spacing w:after="0"/>
              <w:rPr>
                <w:sz w:val="20"/>
                <w:szCs w:val="20"/>
                <w:color w:val="auto"/>
              </w:rPr>
            </w:pPr>
            <w:r>
              <w:rPr>
                <w:rFonts w:ascii="Arial" w:cs="Arial" w:eastAsia="Arial" w:hAnsi="Arial"/>
                <w:sz w:val="14"/>
                <w:szCs w:val="14"/>
                <w:b w:val="1"/>
                <w:bCs w:val="1"/>
                <w:color w:val="auto"/>
              </w:rPr>
              <w:t>Sciences</w:t>
            </w:r>
          </w:p>
        </w:tc>
        <w:tc>
          <w:tcPr>
            <w:tcW w:w="38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244,365</w:t>
            </w:r>
          </w:p>
        </w:tc>
        <w:tc>
          <w:tcPr>
            <w:tcW w:w="3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376,248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(24,860)</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September 30, 2019</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219,513</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33,254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87,746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340,513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4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52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Share of earnings</w:t>
            </w:r>
          </w:p>
        </w:tc>
        <w:tc>
          <w:tcPr>
            <w:tcW w:w="4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4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Balance as of September 30, 2019</w:t>
            </w:r>
          </w:p>
        </w:tc>
        <w:tc>
          <w:tcPr>
            <w:tcW w:w="46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19,877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620" w:type="dxa"/>
            <w:vAlign w:val="bottom"/>
            <w:vMerge w:val="restart"/>
          </w:tcPr>
          <w:p>
            <w:pPr>
              <w:jc w:val="right"/>
              <w:ind w:right="3830"/>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It is reasonably possible that material deviation of future performance from the estimates used in the 2018 valuation could result in additional impairment to our investment in the JV in subsequent periods. During the third quarter of 2019, we assessed for triggering events that would signify the need to perform an impairment test and concluded there were no triggering events during the period.</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sales to the JV of less than $0.1 million and $0.1 million during the three and nine months ended September 30, 2019, respectively, and less than $0.1 million and $0.2 million for the three and nine months ended September 30,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effective tax rate was 17.9% and (5.2)% for the three months and nine months ended September 30, 2019, respectively. Our effective tax rate was 28.4% and 20.8% for the three months and nine months ended September 30, 2018, respectively. Our effective tax rate for the nine months ended September 30, 2019, differs from the U.S. federal statutory tax rate of 21% principally due to a discrete tax charge of $6.0 million related to final tax regulations published by the Department of the Treasury and Internal Revenue Service on February 4, 2019, as well as the minimum tax on global intangible low-tax income (“GILTI”). The effective tax rate for the three months ended September 30, 2019, is impacted by the minimum tax on GILTI.</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2018 effective tax rate differed from the U.S. federal statutory tax rate of 21% due to permanent differences including GILTI and earnings outside the United States, which were taxed at different rates than the U.S. federal statutory rate of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Collectively, our credit facility is comprised of a term loan with a face amount of $545.0 million, maturing on October 19, 2022 (the “Senior Secured Term Loan”); a term loan with a face amount of $300.0 million, maturing on April 3, 2021 (the Incremental Term Loan”); and the Senior Secured Revolver. The credit facility is collateralized by all of our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532,063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Incremental Term Loan</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279,000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9,810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859,593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w:t>
            </w:r>
            <w:r>
              <w:rPr>
                <w:rFonts w:ascii="Arial" w:cs="Arial" w:eastAsia="Arial" w:hAnsi="Arial"/>
                <w:sz w:val="14"/>
                <w:szCs w:val="14"/>
                <w:color w:val="auto"/>
              </w:rPr>
              <w:t>—</w:t>
            </w:r>
            <w:r>
              <w:rPr>
                <w:rFonts w:ascii="Arial" w:cs="Arial" w:eastAsia="Arial" w:hAnsi="Arial"/>
                <w:sz w:val="18"/>
                <w:szCs w:val="18"/>
                <w:color w:val="auto"/>
              </w:rPr>
              <w:t>current maturities of long-term debt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25,601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31,280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828,313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w:t>
            </w:r>
            <w:r>
              <w:rPr>
                <w:rFonts w:ascii="Arial" w:cs="Arial" w:eastAsia="Arial" w:hAnsi="Arial"/>
                <w:sz w:val="14"/>
                <w:szCs w:val="14"/>
                <w:color w:val="auto"/>
              </w:rPr>
              <w:t>—</w:t>
            </w: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16,842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841,748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811,471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capitalized interest costs of $0.4 million and $0.3 million in the three months ended September 30, 2019 and 2018, respectively, and $1.5 million and $0.8 million in the nine months ended September 30, 2019 and 2018, respectively, related to construction in progress.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Outstanding borrowings under the Senior Secured Term Loan bear interest at the greater of 0.75% or one-month London Interbank Offered Rate (“LIBOR”) plus an applicable margin of 3.75%. At September 30, 2019, the Senior Secured Term Loan bore interest at 5.80%.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Outstanding borrowings under the Incremental Term Loan bear interest at one-month LIBOR plus an applicable margin of 3.25%. At September 30, 2019, the Incremental Term Loan bore interest of 5.30%.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Outstanding borrowings under the Senior Secured Revolver bear interest on a variable rate structure with borrowings bearing interest at either one-month LIBOR plus an applicable margin of 3.50% or the prime lending rate plus an applicable margin of 2.50%. At September 30, 2019, the weighted average interest rate on outstanding borrowings under the Senior Secured Revolver was 5.73%. We pay a commitment fee of 0.50% for unused capacity under the Senior Secured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2019, we amended our existing credit facility (the “March 2019 amendment”) to amend the defined terms within the credit facility. In June 2019, we amended our existing credit facility (the “June 2019 amendment”) to reduce the maximum capacity under the Senior Secured Revolver to $110.0 million, reduce the total available capacity to $100.0 million, and modify the consolidated net leverage ratio, as defined in the credit facility agreement, which is utilized for certain financial covenants. We paid $0.8 million and $0.2 million of debt issuance costs related to the March 2019 amendment and June 2019 amendment, respectively, which were recorded as a direct reduction to the carrying amount of the associated long-term debt. Additionally, $2.7 million of unamortized debt issuance costs associated with the March 2019 amendment to the existing credit facility were written off.</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had $71.3 million outstanding under the Senior Secured Revolver at September 30, 2019. Total available capacity under the Senior Secured Revolver was $100.0 million as of September 30, 2019, with $16.7 million available for future borrowings after reductions for outstanding letters of credit and outstanding borrowings as of September 30, 2019. Our credit facility is subject to certain financial covenants based on a consolidated net leverage ratio. The financial covenants are effective when we have outstanding borrowings under our Senior Secured Revolver on the last day of any fiscal quarter, become more restrictive over time, and are dependent upon our operational and financial performance. If our operational or financial performance does not improve in line with our expectations, we may be required to take actions to reduce expenditures and decrease our net indebtedness to maintain compliance in future periods. We were in compliance with all covenants under our credit facility at September 30, 2019.</w:t>
      </w:r>
    </w:p>
    <w:p>
      <w:pPr>
        <w:spacing w:after="0" w:line="70" w:lineRule="exact"/>
        <w:rPr>
          <w:sz w:val="20"/>
          <w:szCs w:val="20"/>
          <w:color w:val="auto"/>
        </w:rPr>
      </w:pPr>
    </w:p>
    <w:p>
      <w:pPr>
        <w:ind w:right="960"/>
        <w:spacing w:after="0" w:line="375" w:lineRule="auto"/>
        <w:rPr>
          <w:sz w:val="20"/>
          <w:szCs w:val="20"/>
          <w:color w:val="auto"/>
        </w:rPr>
      </w:pPr>
      <w:r>
        <w:rPr>
          <w:rFonts w:ascii="Arial" w:cs="Arial" w:eastAsia="Arial" w:hAnsi="Arial"/>
          <w:sz w:val="18"/>
          <w:szCs w:val="18"/>
          <w:color w:val="auto"/>
        </w:rPr>
        <w:t xml:space="preserve">As discussed in Note 1, the outstanding amounts under our Senior Secured Revolver are recognized as a current liability as of October 20, 2019. </w:t>
      </w:r>
      <w:r>
        <w:rPr>
          <w:rFonts w:ascii="Arial" w:cs="Arial" w:eastAsia="Arial" w:hAnsi="Arial"/>
          <w:sz w:val="18"/>
          <w:szCs w:val="18"/>
          <w:i w:val="1"/>
          <w:iCs w:val="1"/>
          <w:color w:val="auto"/>
        </w:rPr>
        <w:t>Derivative Instruments and Hedging Activities</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16 for further discussion of the interest rate swap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adopted ASC 842 on January 1, 2019, and elected the modified retrospective approach in which the new standard is applied to all leases existing at the date of adoption through a cumulative-effect adjustment of less than $0.1 million to retained deficit. Consequently, financial information is not updated, and the disclosures required under the new standard are not provided for periods prior to January 1, 2019. As part of the adoption, we elected the package of practical expedients, the short-term lease exemption, and the practical expedient to not separate lease and non-lease components. Accordingly, we accounted for our existing operating leases as operating leases under the new standard, without reassessing (a) whether the contracts contain a lease under ASC 842, (b) whether classification of the operating leases would be different in accordance with ASC 842, or (c) whether any unamortized initial direct costs would have met the definition of initial direct costs in ASC 842 at lease commencement.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whether an arrangement is a lease at inception. Right-of-use (“ROU”) lease assets represent our right to use an underlying asset for the lease term, and lease liabilities represent our obligation to make lease payments arising from the lease. ROU lease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Short-term leases are leases having a term of twelve months or less. We recognize short-term leases on a straight-line basis and do not record a related lease asset or liability for such leases. Finance lease ROU assets consist of equipment used in the manufacturing process with terms greater than twelve months to seven years. Operating lease ROU assets consist of the following:</w:t>
      </w:r>
    </w:p>
    <w:p>
      <w:pPr>
        <w:spacing w:after="0" w:line="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used in the manufacturing process as well as office equipment with terms greater than twelve months to seven years;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plants and office facilities with terms greater than twelve months to 25 years.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expense for the three and nine months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6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Financial Statement Line Item</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700" w:type="dxa"/>
            <w:vAlign w:val="bottom"/>
          </w:tcPr>
          <w:p>
            <w:pPr>
              <w:jc w:val="right"/>
              <w:ind w:right="2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Pr>
          <w:p>
            <w:pPr>
              <w:spacing w:after="0"/>
              <w:rPr>
                <w:sz w:val="16"/>
                <w:szCs w:val="16"/>
                <w:color w:val="auto"/>
              </w:rPr>
            </w:pPr>
          </w:p>
        </w:tc>
        <w:tc>
          <w:tcPr>
            <w:tcW w:w="1700" w:type="dxa"/>
            <w:vAlign w:val="bottom"/>
          </w:tcPr>
          <w:p>
            <w:pPr>
              <w:jc w:val="right"/>
              <w:ind w:right="275"/>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3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Finance lease cost</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right-of-use assets</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 and selling, general and</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Cost of sales and selling, general and</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tcPr>
          <w:p>
            <w:pPr>
              <w:ind w:left="180"/>
              <w:spacing w:after="0" w:line="257" w:lineRule="exact"/>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5"/>
                <w:szCs w:val="25"/>
                <w:color w:val="auto"/>
                <w:vertAlign w:val="superscript"/>
              </w:rPr>
              <w:t>(1)</w:t>
            </w:r>
          </w:p>
        </w:tc>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administrative expense</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_______________________________</w:t>
            </w: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expenses related to leases with a lease term of one month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lease-related assets and liabilities recorded on the balance sheet as of September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5000" w:type="dxa"/>
            <w:vAlign w:val="bottom"/>
            <w:gridSpan w:val="2"/>
          </w:tcPr>
          <w:p>
            <w:pPr>
              <w:ind w:left="1520"/>
              <w:spacing w:after="0"/>
              <w:rPr>
                <w:sz w:val="20"/>
                <w:szCs w:val="20"/>
                <w:color w:val="auto"/>
              </w:rPr>
            </w:pPr>
            <w:r>
              <w:rPr>
                <w:rFonts w:ascii="Arial" w:cs="Arial" w:eastAsia="Arial" w:hAnsi="Arial"/>
                <w:sz w:val="14"/>
                <w:szCs w:val="14"/>
                <w:b w:val="1"/>
                <w:bCs w:val="1"/>
                <w:color w:val="auto"/>
              </w:rPr>
              <w:t>Financial Statement Line Item</w:t>
            </w:r>
          </w:p>
        </w:tc>
        <w:tc>
          <w:tcPr>
            <w:tcW w:w="240" w:type="dxa"/>
            <w:vAlign w:val="bottom"/>
          </w:tcPr>
          <w:p>
            <w:pPr>
              <w:spacing w:after="0"/>
              <w:rPr>
                <w:sz w:val="16"/>
                <w:szCs w:val="16"/>
                <w:color w:val="auto"/>
              </w:rPr>
            </w:pPr>
          </w:p>
        </w:tc>
        <w:tc>
          <w:tcPr>
            <w:tcW w:w="1700" w:type="dxa"/>
            <w:vAlign w:val="bottom"/>
          </w:tcPr>
          <w:p>
            <w:pPr>
              <w:ind w:left="1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assets and liabilities:</w:t>
            </w: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Assets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assets</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67,885</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Finance lease assets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assets</w:t>
            </w:r>
          </w:p>
        </w:tc>
        <w:tc>
          <w:tcPr>
            <w:tcW w:w="4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82,153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Finance lease liabilities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68,479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liabilities</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87,633</w:t>
            </w: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Arial" w:cs="Arial" w:eastAsia="Arial" w:hAnsi="Arial"/>
                <w:sz w:val="18"/>
                <w:szCs w:val="18"/>
                <w:color w:val="auto"/>
                <w:w w:val="99"/>
              </w:rPr>
              <w:t>The following table contains supplemental information related to leases for the nine months ended September 30, 2019:</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Flows Information</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vMerge w:val="continue"/>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7"/>
        </w:trPr>
        <w:tc>
          <w:tcPr>
            <w:tcW w:w="94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4"/>
                <w:szCs w:val="24"/>
                <w:color w:val="auto"/>
              </w:rPr>
            </w:pPr>
          </w:p>
        </w:tc>
        <w:tc>
          <w:tcPr>
            <w:tcW w:w="4900" w:type="dxa"/>
            <w:vAlign w:val="bottom"/>
          </w:tcPr>
          <w:p>
            <w:pPr>
              <w:ind w:left="1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 weighted average remaining lease term and weighted-average discount rate for finance and operating leases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2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453"/>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4.9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w w:val="97"/>
              </w:rPr>
              <w:t>2.3%</w:t>
            </w:r>
          </w:p>
        </w:tc>
      </w:tr>
      <w:tr>
        <w:trPr>
          <w:trHeight w:val="351"/>
        </w:trPr>
        <w:tc>
          <w:tcPr>
            <w:tcW w:w="7320" w:type="dxa"/>
            <w:vAlign w:val="bottom"/>
          </w:tcPr>
          <w:p>
            <w:pPr>
              <w:spacing w:after="0"/>
              <w:rPr>
                <w:sz w:val="20"/>
                <w:szCs w:val="20"/>
                <w:color w:val="auto"/>
              </w:rPr>
            </w:pPr>
            <w:r>
              <w:rPr>
                <w:rFonts w:ascii="Arial" w:cs="Arial" w:eastAsia="Arial" w:hAnsi="Arial"/>
                <w:sz w:val="18"/>
                <w:szCs w:val="18"/>
                <w:color w:val="auto"/>
                <w:w w:val="91"/>
              </w:rPr>
              <w:t>The maturities of lease liabilities greater than twelve months as of September 30, 2019, is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73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Finance Leases</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3,106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2,880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65,383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896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36,998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742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12,107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For the period from October 1, 2019, to December 31, 2019.</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of September 30, 2019, we have an additional operating lease commitment that would require us to pay a total of approximately $27.5 million base rent payments over the lease term of 15 years. We are expected to commence base rent payments during the third quarter of 2020.</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future minimum lease payments under operating leases with initial or non-cancelable lease terms in excess of one year prior to adoption of ASC 842 as reported in the 2018 Annual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9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11,515</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10,293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8,752</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53,945</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108,399</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2018, we recognized rent expense of $4.5 million and $9.0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following tables present restructuring and integration charges incurred for the three months ended September 30, 2018, and the nine months ended September 30, 2019 and 2018. There were no restructuring and integration charges incurred for the three months ended September 30,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September 30, 2018</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Power</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2"/>
              </w:rPr>
              <w:t>Sciences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Power</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2"/>
              </w:rPr>
              <w:t>Sciences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 2018</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Power</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2"/>
              </w:rPr>
              <w:t>Sciences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and integration reserve activity for the nine months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Reserve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14"/>
                <w:szCs w:val="14"/>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260" w:type="dxa"/>
            <w:vAlign w:val="bottom"/>
          </w:tcPr>
          <w:p>
            <w:pPr>
              <w:spacing w:after="0"/>
              <w:rPr>
                <w:sz w:val="12"/>
                <w:szCs w:val="12"/>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Reductions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4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amount accrued for restructuring and integration costs represents what we expect to pay over the next 1.5 years. We expect to pay $0.4 million within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September 30, 2019, for this matter.</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14,375,000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Sales, value add, and other taxes we collect concurrent with revenue-producing activities are excluded from revenue. Incidental items that are immaterial in the context of the contract are recognized as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sales to external customers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Three Months Ended September 30, 2019</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4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79,429</w:t>
            </w:r>
          </w:p>
        </w:tc>
        <w:tc>
          <w:tcPr>
            <w:tcW w:w="4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157,711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1,590</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6,504</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2,985</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3,435</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94,011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73,071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213,897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September 30, 2018</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4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63,869</w:t>
            </w:r>
          </w:p>
        </w:tc>
        <w:tc>
          <w:tcPr>
            <w:tcW w:w="4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147,780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2,405</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7,321</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Poland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2,107</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2,571</w:t>
            </w:r>
          </w:p>
        </w:tc>
        <w:tc>
          <w:tcPr>
            <w:tcW w:w="4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78,363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67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Nine Months Ended September 30, 2019</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2"/>
                <w:szCs w:val="12"/>
                <w:color w:val="auto"/>
              </w:rPr>
            </w:pPr>
          </w:p>
        </w:tc>
        <w:tc>
          <w:tcPr>
            <w:tcW w:w="13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4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222,001</w:t>
            </w:r>
          </w:p>
        </w:tc>
        <w:tc>
          <w:tcPr>
            <w:tcW w:w="4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469,960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5,155</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38,041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23,836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312</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9,759</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10,288</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45,132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271,351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230,590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148,480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648,819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Nine Months Ended September 30, 2018</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2"/>
                <w:szCs w:val="12"/>
                <w:color w:val="auto"/>
              </w:rPr>
            </w:pPr>
          </w:p>
        </w:tc>
        <w:tc>
          <w:tcPr>
            <w:tcW w:w="13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4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142,863</w:t>
            </w:r>
          </w:p>
        </w:tc>
        <w:tc>
          <w:tcPr>
            <w:tcW w:w="4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405,392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3,843</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42,256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429</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30,270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27,722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11,138</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3,827</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6,586</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168,716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571,180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Deferred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gridSpan w:val="9"/>
          </w:tcPr>
          <w:p>
            <w:pPr>
              <w:jc w:val="center"/>
              <w:ind w:right="1200"/>
              <w:spacing w:after="0"/>
              <w:rPr>
                <w:sz w:val="20"/>
                <w:szCs w:val="20"/>
                <w:color w:val="auto"/>
              </w:rPr>
            </w:pPr>
            <w:r>
              <w:rPr>
                <w:rFonts w:ascii="Arial" w:cs="Arial" w:eastAsia="Arial" w:hAnsi="Arial"/>
                <w:sz w:val="18"/>
                <w:szCs w:val="18"/>
                <w:color w:val="auto"/>
                <w:w w:val="92"/>
              </w:rPr>
              <w:t>The following table provides information about contract liabilities from contracts with customers.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593"/>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2019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Balance at September 30, 2019</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Revenue recognized during the three and nine months ended September 30, 2019, from amounts included in deferred revenue at the beginning of the period for performance obligations satisfied or partially satisfied during the period, was $1.4 million and $3.0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September 30, 2019, unless our contracts meet one of the practical expedients. Our contracts met the practical expedient for a performance obligation that is part of a contract that has an original expected duration of one year or less.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left="60" w:right="40"/>
        <w:spacing w:after="0" w:line="259" w:lineRule="auto"/>
        <w:rPr>
          <w:sz w:val="20"/>
          <w:szCs w:val="20"/>
          <w:color w:val="auto"/>
        </w:rPr>
      </w:pPr>
      <w:r>
        <w:rPr>
          <w:rFonts w:ascii="Arial" w:cs="Arial" w:eastAsia="Arial" w:hAnsi="Arial"/>
          <w:sz w:val="18"/>
          <w:szCs w:val="18"/>
          <w:color w:val="auto"/>
        </w:rPr>
        <w:t>During the three months ended September 30, 2019, we recognized sales from a single customer of $23.7 million, or 11.1% of consolidated net sales. During the nine months ended September 30, 2019, we recognized sales from a single customer of $68.7 million, or 10.6% of consolidated net sales. Revenues from this customer are in our Life Sciences and Power Solutions groups. No customers represented more than 10% of our net sales during the three and nine months ended September 30,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4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1,244</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estimate of share-based award vesting</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7"/>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nine months ended September 30, 2019, we granted options to purchase 210,400 shares to certain key employees. The weighted average grant date fair value of the options granted during the nine months ended September 30, 2019, was $2.77 per share. The fair value of our options cannot be determined by market value because they are not traded in an open market. Accordingly, we utilized the Black Scholes financial pricing model to estimate the fair value.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2019</w:t>
            </w: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 years</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40" w:type="dxa"/>
            <w:vAlign w:val="bottom"/>
          </w:tcPr>
          <w:p>
            <w:pPr>
              <w:jc w:val="right"/>
              <w:spacing w:after="0"/>
              <w:rPr>
                <w:sz w:val="20"/>
                <w:szCs w:val="20"/>
                <w:color w:val="auto"/>
              </w:rPr>
            </w:pPr>
            <w:r>
              <w:rPr>
                <w:rFonts w:ascii="Arial" w:cs="Arial" w:eastAsia="Arial" w:hAnsi="Arial"/>
                <w:sz w:val="18"/>
                <w:szCs w:val="18"/>
                <w:color w:val="auto"/>
              </w:rPr>
              <w:t>49.53%</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9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9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of the management structure over the past several years.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a mathematical formula utilizing daily closing price data.</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nine months ended September 30, 2019.</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5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13.34</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color w:val="auto"/>
              </w:rPr>
              <w:t>Exercisable at September 30,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2"/>
            <w:vMerge w:val="continue"/>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54" w:lineRule="exact"/>
        <w:rPr>
          <w:sz w:val="20"/>
          <w:szCs w:val="20"/>
          <w:color w:val="auto"/>
        </w:rPr>
      </w:pPr>
    </w:p>
    <w:p>
      <w:pPr>
        <w:ind w:left="660" w:right="2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September 30, 2019, was greater than the exercise price of any individual option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During the nine months ended September 30, 2019, we granted 309,234 restricted stock awards to non-executive directors, officers and certain other key employees. The shares of restricted stock granted during the nine months ended September 30, 2019,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nine months ended September 30, 2019, was $7.85 per share. Total grant-date fair value of restricted stock that vested in the nine months ended September 30, 2019, was $2.6 million.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September 30, 2019, and changes during the nine months then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2019</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2019</w:t>
            </w:r>
          </w:p>
        </w:tc>
        <w:tc>
          <w:tcPr>
            <w:tcW w:w="1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232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2019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2016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dividends will be paid on outstanding PSUs during the performance period; however, dividend equivalents will be paid based on the number of shares of common stock that are ultimately earned at the end of the performance periods.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in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TSR Awards:</w:t>
            </w:r>
          </w:p>
        </w:tc>
        <w:tc>
          <w:tcPr>
            <w:tcW w:w="2000" w:type="dxa"/>
            <w:vAlign w:val="bottom"/>
          </w:tcPr>
          <w:p>
            <w:pPr>
              <w:jc w:val="center"/>
              <w:ind w:left="364"/>
              <w:spacing w:after="0"/>
              <w:rPr>
                <w:sz w:val="20"/>
                <w:szCs w:val="20"/>
                <w:color w:val="auto"/>
              </w:rPr>
            </w:pPr>
            <w:r>
              <w:rPr>
                <w:rFonts w:ascii="Arial" w:cs="Arial" w:eastAsia="Arial" w:hAnsi="Arial"/>
                <w:sz w:val="14"/>
                <w:szCs w:val="14"/>
                <w:b w:val="1"/>
                <w:bCs w:val="1"/>
                <w:color w:val="auto"/>
                <w:w w:val="94"/>
              </w:rPr>
              <w:t>Threshold Performance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58"/>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58" w:lineRule="exact"/>
              <w:rPr>
                <w:sz w:val="20"/>
                <w:szCs w:val="20"/>
                <w:color w:val="auto"/>
              </w:rPr>
            </w:pPr>
            <w:r>
              <w:rPr>
                <w:rFonts w:ascii="Arial" w:cs="Arial" w:eastAsia="Arial" w:hAnsi="Arial"/>
                <w:sz w:val="14"/>
                <w:szCs w:val="14"/>
                <w:b w:val="1"/>
                <w:bCs w:val="1"/>
                <w:color w:val="auto"/>
                <w:w w:val="95"/>
              </w:rPr>
              <w:t>(50%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2019 grants</w:t>
            </w:r>
          </w:p>
        </w:tc>
        <w:tc>
          <w:tcPr>
            <w:tcW w:w="2000" w:type="dxa"/>
            <w:vAlign w:val="bottom"/>
            <w:tcBorders>
              <w:bottom w:val="single" w:sz="8" w:color="CCEEFF"/>
            </w:tcBorders>
            <w:shd w:val="clear" w:color="auto" w:fill="CCEEFF"/>
          </w:tcPr>
          <w:p>
            <w:pPr>
              <w:jc w:val="center"/>
              <w:ind w:left="364"/>
              <w:spacing w:after="0"/>
              <w:rPr>
                <w:sz w:val="20"/>
                <w:szCs w:val="20"/>
                <w:color w:val="auto"/>
              </w:rPr>
            </w:pPr>
            <w:r>
              <w:rPr>
                <w:rFonts w:ascii="Arial" w:cs="Arial" w:eastAsia="Arial" w:hAnsi="Arial"/>
                <w:sz w:val="18"/>
                <w:szCs w:val="18"/>
                <w:color w:val="auto"/>
                <w:w w:val="89"/>
              </w:rPr>
              <w:t>35th Percentile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50th Percentile</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436"/>
        </w:trPr>
        <w:tc>
          <w:tcPr>
            <w:tcW w:w="3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ROIC Awards:</w:t>
            </w:r>
          </w:p>
        </w:tc>
        <w:tc>
          <w:tcPr>
            <w:tcW w:w="2000" w:type="dxa"/>
            <w:vAlign w:val="bottom"/>
          </w:tcPr>
          <w:p>
            <w:pPr>
              <w:jc w:val="center"/>
              <w:ind w:left="364"/>
              <w:spacing w:after="0"/>
              <w:rPr>
                <w:sz w:val="20"/>
                <w:szCs w:val="20"/>
                <w:color w:val="auto"/>
              </w:rPr>
            </w:pPr>
            <w:r>
              <w:rPr>
                <w:rFonts w:ascii="Arial" w:cs="Arial" w:eastAsia="Arial" w:hAnsi="Arial"/>
                <w:sz w:val="14"/>
                <w:szCs w:val="14"/>
                <w:b w:val="1"/>
                <w:bCs w:val="1"/>
                <w:color w:val="auto"/>
                <w:w w:val="94"/>
              </w:rPr>
              <w:t>Threshold Performance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58"/>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58" w:lineRule="exact"/>
              <w:rPr>
                <w:sz w:val="20"/>
                <w:szCs w:val="20"/>
                <w:color w:val="auto"/>
              </w:rPr>
            </w:pPr>
            <w:r>
              <w:rPr>
                <w:rFonts w:ascii="Arial" w:cs="Arial" w:eastAsia="Arial" w:hAnsi="Arial"/>
                <w:sz w:val="14"/>
                <w:szCs w:val="14"/>
                <w:b w:val="1"/>
                <w:bCs w:val="1"/>
                <w:color w:val="auto"/>
                <w:w w:val="95"/>
              </w:rPr>
              <w:t>(35%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8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2019 grants </w:t>
            </w:r>
            <w:r>
              <w:rPr>
                <w:rFonts w:ascii="Arial" w:cs="Arial" w:eastAsia="Arial" w:hAnsi="Arial"/>
                <w:sz w:val="25"/>
                <w:szCs w:val="25"/>
                <w:color w:val="auto"/>
                <w:vertAlign w:val="superscript"/>
              </w:rPr>
              <w:t>(1)</w:t>
            </w:r>
          </w:p>
        </w:tc>
        <w:tc>
          <w:tcPr>
            <w:tcW w:w="20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w:t>
            </w:r>
          </w:p>
        </w:tc>
        <w:tc>
          <w:tcPr>
            <w:tcW w:w="12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ROIC Awards granted in 2019, the denominator of the calculation is different than in prior years, and therefore the target percentages are not comparable to historical target percentages.</w:t>
      </w:r>
    </w:p>
    <w:p>
      <w:pPr>
        <w:spacing w:after="0" w:line="6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TSR Awards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15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132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(per share)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5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43"/>
        </w:trPr>
        <w:tc>
          <w:tcPr>
            <w:tcW w:w="3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86"/>
              </w:rPr>
              <w:t>136</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September 30, 2019, and changes during the nine months then ended.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Nonvested TSR Awards</w:t>
            </w:r>
          </w:p>
        </w:tc>
        <w:tc>
          <w:tcPr>
            <w:tcW w:w="10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Weighted</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1720" w:type="dxa"/>
            <w:vAlign w:val="bottom"/>
            <w:vMerge w:val="restart"/>
          </w:tcPr>
          <w:p>
            <w:pPr>
              <w:jc w:val="right"/>
              <w:ind w:right="57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2019</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September 30, 2019</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740" w:type="dxa"/>
            <w:vAlign w:val="bottom"/>
          </w:tcPr>
          <w:p>
            <w:pPr>
              <w:jc w:val="right"/>
              <w:ind w:right="9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Income (Loss) Per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(5,597)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(30,894)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(44,796)</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w w:val="90"/>
              </w:rPr>
              <w:t>42,038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28,688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42,013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27,784</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net loss: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Basic net loss per share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net loss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calculation of diluted net loss per share for the three and nine months ended September 30, 2019, excludes 0.8 million and 0.6 million, respectively, of potentially dilutive stock options, which had the effect of being anti-dilutive. The calculation of diluted net loss per share for the three and nine months ended September 30, 2018, excludes 0.8 million and 0.8 million, respectively, of potentially dilutive stock options, which had the effect of being anti-dilutive. Given the net loss for the three and nine months ended September 30, 2019 and 2018, all options are considered anti-dilutive and were excluded from the calculation of diluted net loss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2018 Annual Report.</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September 30, 2019, the carrying values of these financial instruments approximated fair value. The fair value of floating-rate debt approximates the carrying amount as interest rates are based on short-term maturities.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manage our exposure to fluctuations in interest rates using a mix of fixed and variable rate debt. On February 8, 2019, we entered into a $700.0 million fixed-rate interest rate swap agreement that changed the LIBOR-based portion of the interest rate on a portion of our variable rate debt to a fixed rate of 2.4575% (the “interest rate swap”). The term of the interest rate swap is from the effective date of February 12, 2019, through the termination date of October 19, 2022 (the “interest rate swap term”). The interest rate swap effectively mitigates our exposures to the risks and variability of changes in LIBOR.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the interest rate swap will decrease over the interest rate swap term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Notional Amount</w:t>
            </w:r>
          </w:p>
        </w:tc>
      </w:tr>
      <w:tr>
        <w:trPr>
          <w:trHeight w:val="250"/>
        </w:trPr>
        <w:tc>
          <w:tcPr>
            <w:tcW w:w="7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 December 30,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700,000</w:t>
            </w:r>
          </w:p>
        </w:tc>
      </w:tr>
      <w:tr>
        <w:trPr>
          <w:trHeight w:val="243"/>
        </w:trPr>
        <w:tc>
          <w:tcPr>
            <w:tcW w:w="740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160" w:type="dxa"/>
            <w:vAlign w:val="bottom"/>
          </w:tcPr>
          <w:p>
            <w:pPr>
              <w:jc w:val="right"/>
              <w:spacing w:after="0"/>
              <w:rPr>
                <w:sz w:val="20"/>
                <w:szCs w:val="20"/>
                <w:color w:val="auto"/>
              </w:rPr>
            </w:pPr>
            <w:r>
              <w:rPr>
                <w:rFonts w:ascii="Arial" w:cs="Arial" w:eastAsia="Arial" w:hAnsi="Arial"/>
                <w:sz w:val="18"/>
                <w:szCs w:val="18"/>
                <w:color w:val="auto"/>
                <w:w w:val="90"/>
              </w:rPr>
              <w:t>- December 30,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2021</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466,667</w:t>
            </w:r>
          </w:p>
        </w:tc>
      </w:tr>
      <w:tr>
        <w:trPr>
          <w:trHeight w:val="27"/>
        </w:trPr>
        <w:tc>
          <w:tcPr>
            <w:tcW w:w="89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December 31, 2021 - October 19,</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2022</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233,333</w:t>
            </w:r>
          </w:p>
        </w:tc>
      </w:tr>
      <w:tr>
        <w:trPr>
          <w:trHeight w:val="27"/>
        </w:trPr>
        <w:tc>
          <w:tcPr>
            <w:tcW w:w="7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Term Loan, the changes in cash flows of the interest rate swap are expected to exactly offset changes in cash flows of the variable rate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swap is designated as a cash flow hedge.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2019, we reported a $12.0 million loss, net of tax, in accumulated other comprehensive income related to the interest rate swap.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shows the liabilities measured at fair value on a recurring basis for the interest rate swap as of September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jc w:val="center"/>
              <w:ind w:left="261"/>
              <w:spacing w:after="0"/>
              <w:rPr>
                <w:sz w:val="20"/>
                <w:szCs w:val="20"/>
                <w:color w:val="auto"/>
              </w:rPr>
            </w:pPr>
            <w:r>
              <w:rPr>
                <w:rFonts w:ascii="Arial" w:cs="Arial" w:eastAsia="Arial" w:hAnsi="Arial"/>
                <w:sz w:val="14"/>
                <w:szCs w:val="14"/>
                <w:b w:val="1"/>
                <w:bCs w:val="1"/>
                <w:color w:val="auto"/>
                <w:w w:val="92"/>
              </w:rPr>
              <w:t>Fair Value Measurements as of September 30, 2019</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liability -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tcPr>
          <w:p>
            <w:pPr>
              <w:spacing w:after="0"/>
              <w:rPr>
                <w:sz w:val="21"/>
                <w:szCs w:val="21"/>
                <w:color w:val="auto"/>
              </w:rPr>
            </w:pPr>
          </w:p>
        </w:tc>
        <w:tc>
          <w:tcPr>
            <w:tcW w:w="17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15,233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no interest rate swap agreements or other derivative financial instruments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was $11.3 million and $10.4 million as of September 30, 2019 and December 31, 2018, respectively. These fair values represent Level 2 under the three-tier hierarchy described above. The book value of our outstanding fixed-rate debt included in the “International lines of credit and other loans” line item within Note 9 to these Notes to Condensed Consolidated Financial Statements was $9.9 million and $9.8 million as of September 30, 2019 and December 31,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Prior Periods' Financial Statement Revisions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further described in Note 1, the Company is revising previously issued financial statements to correct for immaterial prior period tax misstatements. The following table presents the effect of the correction of the misstatements and the resulting revision on the Condensed Consolidated Statements of Operations and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Nine Months Ended September 30, 2018</w:t>
            </w:r>
          </w:p>
        </w:tc>
        <w:tc>
          <w:tcPr>
            <w:tcW w:w="142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(44,796)</w:t>
            </w:r>
          </w:p>
        </w:tc>
      </w:tr>
      <w:tr>
        <w:trPr>
          <w:trHeight w:val="27"/>
        </w:trPr>
        <w:tc>
          <w:tcPr>
            <w:tcW w:w="4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Basic net income (loss) per share</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459"/>
        </w:trPr>
        <w:tc>
          <w:tcPr>
            <w:tcW w:w="4100" w:type="dxa"/>
            <w:vAlign w:val="bottom"/>
          </w:tcPr>
          <w:p>
            <w:pPr>
              <w:spacing w:after="0"/>
              <w:rPr>
                <w:sz w:val="24"/>
                <w:szCs w:val="2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the Consolidated Balance Sheet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December 31, 2018</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140" w:type="dxa"/>
            <w:vAlign w:val="bottom"/>
          </w:tcPr>
          <w:p>
            <w:pPr>
              <w:spacing w:after="0"/>
              <w:rPr>
                <w:sz w:val="22"/>
                <w:szCs w:val="22"/>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340" w:type="dxa"/>
            <w:vAlign w:val="bottom"/>
          </w:tcPr>
          <w:p>
            <w:pPr>
              <w:spacing w:after="0"/>
              <w:rPr>
                <w:sz w:val="22"/>
                <w:szCs w:val="22"/>
                <w:color w:val="auto"/>
              </w:rPr>
            </w:pP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296,871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298,202</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1,502,901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93,482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91,838</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1,081,631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Retained (deficit) earnings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(59,071)</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421,270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1,501,570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1,502,901</w:t>
            </w:r>
          </w:p>
        </w:tc>
      </w:tr>
    </w:tbl>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the misstatements had no impact on net cash provided by (used in) operating, investing or financing cash flows in the corresponding unaudited Condensed Consolidated Statements of Cash Flows for the nine months ended September 30, 2018, they did impact amounts within operating activities which has been corrected for in the accompanying unaudited Condensed Consolidated Statements of Cash Flows. The accompanying footnotes have also been corrected to reflect the impact of the revisions.</w:t>
      </w:r>
    </w:p>
    <w:p>
      <w:pPr>
        <w:spacing w:after="0" w:line="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will effect the revisions of its previously issued 2018 and 2017 annual financial statements, and relevant unaudited interim quarterly financial information, in connection with the prospective issuance of its Annual Report on Form 10-K for the year ended December 31, 2019.</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the terms “NN,” the “Company,” “we,” “our,” or “us” refer to NN, Inc.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“Item 1A. Risk Factors” in the 2018 Annual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following paragraphs describe factors that have influenced results of operations for the nine months ended September 30, 2019, that management believes are important to provide an understanding of the business and results of operations, or that may influence operations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enterprise and management structure is designed to accelerate growth and balance our portfolio by aligning our strategic assets and businesses. Our businesses are organized into the Life Sciences, Mobile Solutions, and Power Solutions groups and are based principally on the end markets they serve. Life Sciences is focused on growth in the medical end market, primarily in the orthopaedics and medical/surgical end markets. Mobile Solutions is focused on growth in the general industrial and automotive end markets. Power Solutions is focused on growth in the electrical and aerospace and defense end markets.</w:t>
      </w:r>
    </w:p>
    <w:p>
      <w:pPr>
        <w:spacing w:after="0" w:line="1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third quarter of 2019, we announced the departures of our former president and chief executive officer and former chief financial officer and appointed a new interim chief executive officer and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described in Note 1 and Note 17 to the condensed consolidated financial statements, the Company has revised previously issued financial statements to correct for immaterial tax misstatements. Accordingly, this Management’s Discussion and Analysis of Financial Condition and Results of Operations reflects the effects of the revisions.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February 2018, we acquired 100% of the assets of Bridgemedica. Bridgemedica is a medical device company that provides concept to supply solutions through design, development engineering, and manufacturing. Operating results of Bridgemedica are reported in our Life Sciences group.</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2018, we acquired 100% of the stock of Paragon Medical. Paragon Medical is a medical device manufacturer that focuses on the orthopedic, case and tray, implant, and instrument markets. Operating results of Paragon Medical are reported in our Life Sciences group.</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August 2018, we acquired 100% of the capital stock of Technical Arts.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compared to the Three Months Ended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w w:val="98"/>
              </w:rPr>
              <w:t>Three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8,214</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60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628</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8,970</w:t>
            </w:r>
          </w:p>
        </w:tc>
      </w:tr>
      <w:tr>
        <w:trPr>
          <w:trHeight w:val="243"/>
        </w:trPr>
        <w:tc>
          <w:tcPr>
            <w:tcW w:w="5220" w:type="dxa"/>
            <w:vAlign w:val="bottom"/>
          </w:tcPr>
          <w:p>
            <w:pPr>
              <w:ind w:left="60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(1,384)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Cost of sales (exclusive of depreciation and amortization shown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156,408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4,408</w:t>
            </w: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22,480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1,563</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expense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21,259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1,362</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Restructuring and integration expense, net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18,608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(3,875)</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write-off of debt issuance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09"/>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(provision) benefit for income taxes and share of net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w:t>
            </w:r>
          </w:p>
        </w:tc>
        <w:tc>
          <w:tcPr>
            <w:tcW w:w="6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(4,326)</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8,187</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$8.2 million, or 4%, during the three months ended September 30, 2019, compared to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primarily due to an increase in organic growth of $9.0 million, as a result of an increase in core volume in our Life Sciences group as well as $0.6 million of net sales attributable to the Technical Arts acquisition. The increase in net sales was partially offset by lower demand within the automotive end market in our Mobile Solutions group and unfavorable foreign exchange effects of $1.4 million, primarily in Europe and China.</w:t>
      </w:r>
    </w:p>
    <w:p>
      <w:pPr>
        <w:spacing w:after="0" w:line="6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by $4.4 million, or 3%, during the three months ended September 30, 2019,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primarily due to an increase due to organic growth of $4.9 million and $0.5 million in cost of sales attributable to the Technical Arts acquisition. The increase in cost of sales was partially offset by favorable foreign exchange effects of $1.0 million.</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by $1.6 million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compared to the three months ended September 30, 2018, primarily due to personnel additions and higher salary and benefits expense as well as costs associated with the chief executive officer and chief financial officer transitions. These increases were partially offset by lower costs for travel and professional services as a result of our strategic initiatives, including integration of recent acquisitions.</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decreased by $0.6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compared to the three months ended September 30, 2018, as there was no business acquisition activity during the three months ended September 30, 2019. The three months ended September 30, 2018, included professional service costs incurred in connection with the Technical Arts acquisition.</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by $1.4 million during the three months ended September 30,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consistent with additions to intangible assets and property, plant and equipment. The increase in depreciation and amortization includes the effects of related fair value adjustments to certain property, plant and equipment and the addition of intangible assets, principally for customer relationships and trade names.</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$3.9 million during the three months ended September 30, 2019,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primarily due to the $200.0 million secured second lien term loan facility (“Second Lien Facility”), which was entered into in May 2018 and repaid in full in September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13,352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17,451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14,733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18,608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Loss on extinguishment of debt and write-off of unamortized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decreased by $6.6 million during the three months ended September 30, 2019, compared to the three months ended September 30, 2018, due to a prepayment penalty and costs written off associated with the Second Lien Facility.</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Provision/Benefit for Income Taxes. </w:t>
      </w:r>
      <w:r>
        <w:rPr>
          <w:rFonts w:ascii="Arial" w:cs="Arial" w:eastAsia="Arial" w:hAnsi="Arial"/>
          <w:sz w:val="18"/>
          <w:szCs w:val="18"/>
          <w:color w:val="auto"/>
        </w:rPr>
        <w:t>Our effective tax rate was 17.9% for the three months ended September 30, 2019, compared to 28.4%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Note 8 in the Notes to Condensed Consolidated Financial Statements describes the components of income taxes for each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8"/>
              </w:rPr>
              <w:t>Three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78,363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15,648</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16,125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(477)</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614"/>
              <w:spacing w:after="0"/>
              <w:rPr>
                <w:sz w:val="20"/>
                <w:szCs w:val="20"/>
                <w:color w:val="auto"/>
              </w:rPr>
            </w:pPr>
            <w:r>
              <w:rPr>
                <w:rFonts w:ascii="Arial" w:cs="Arial" w:eastAsia="Arial" w:hAnsi="Arial"/>
                <w:sz w:val="18"/>
                <w:szCs w:val="18"/>
                <w:color w:val="auto"/>
              </w:rPr>
              <w:t>2,685</w:t>
            </w:r>
          </w:p>
        </w:tc>
        <w:tc>
          <w:tcPr>
            <w:tcW w:w="880" w:type="dxa"/>
            <w:vAlign w:val="bottom"/>
          </w:tcPr>
          <w:p>
            <w:pPr>
              <w:spacing w:after="0"/>
              <w:rPr>
                <w:sz w:val="21"/>
                <w:szCs w:val="21"/>
                <w:color w:val="auto"/>
              </w:rPr>
            </w:pPr>
          </w:p>
        </w:tc>
      </w:tr>
    </w:tbl>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sales increased by $15.6 million during the three months ended September 30, 2019, compared to the three months ended September 30, 2018, due to an increase in organic growth of $16.1 million as a result of an increase in core volume primarily within the orthopaedic and medical/surgical end markets partially offset by unfavorable foreign exchange effects.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Income from operations increased by $2.7 million compared to prior year primarily due to the above-referenced increase in sales volume. The increase in income from operations was partially offset by higher selling, general and administrative costs, primarily due to an increase in personnel additions and higher incentive compensation expense, and higher depreciation expense, which is consistent with additions to 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w w:val="98"/>
              </w:rPr>
              <w:t>Three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81,805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rPr>
              <w:t>(8,734)</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39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(7,974)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74"/>
              <w:spacing w:after="0"/>
              <w:rPr>
                <w:sz w:val="20"/>
                <w:szCs w:val="20"/>
                <w:color w:val="auto"/>
              </w:rPr>
            </w:pPr>
            <w:r>
              <w:rPr>
                <w:rFonts w:ascii="Arial" w:cs="Arial" w:eastAsia="Arial" w:hAnsi="Arial"/>
                <w:sz w:val="18"/>
                <w:szCs w:val="18"/>
                <w:color w:val="auto"/>
              </w:rPr>
              <w:t>(976)</w:t>
            </w:r>
          </w:p>
        </w:tc>
        <w:tc>
          <w:tcPr>
            <w:tcW w:w="860" w:type="dxa"/>
            <w:vAlign w:val="bottom"/>
          </w:tcPr>
          <w:p>
            <w:pPr>
              <w:spacing w:after="0"/>
              <w:rPr>
                <w:sz w:val="21"/>
                <w:szCs w:val="21"/>
                <w:color w:val="auto"/>
              </w:rPr>
            </w:pPr>
          </w:p>
        </w:tc>
      </w:tr>
    </w:tbl>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sales decreased by $8.7 million during the three months ended September 30, 2019, compared to the three months ended September 30, 2018, primarily due to lower demand within the North American automotive market, unfavorable foreign exchange effects, and the impact of reduced demand for components associated with programs nearing the end of life partially offset by higher demand within the South American automotive market.</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Income from operations decreased by $1.0 million compared to prior year due to lost variable margin on the above-referenced sales volume decline and costs associated with the launch of new fuel systems business within our European operations. These unfavorable impacts were partially offset by fixed cost reduction actions taken in response to the decline in sales volume.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6"/>
              </w:rPr>
              <w:t>Three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46,082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1,348</w:t>
            </w: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474"/>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i w:val="1"/>
                <w:iCs w:val="1"/>
                <w:color w:val="auto"/>
              </w:rPr>
              <w:t>628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867</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(147)</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645</w:t>
            </w:r>
          </w:p>
        </w:tc>
        <w:tc>
          <w:tcPr>
            <w:tcW w:w="76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sales increased by $1.3 million during the three months ended September 30, 2019, compared to the three months ended September 30, 2018, primarily due to higher demand in the electrical products end market as well as net sales of $0.6 million attributable to the Technical Arts acquisition. The increase in net sales was partially offset by unfavorable foreign exchange effects.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operations increased by $0.6 million compared to prior year primarily due to higher sales volume to customers in the electrical products end market partially offset by higher selling, general and administrative expenses associated with the implementation of an enterprise resource planning (“ERP”) system and employee-related costs associated with a facility 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compared to the Nine Months Ended September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w w:val="98"/>
              </w:rPr>
              <w:t>Nine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571,180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77,639</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60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75,334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9,070</w:t>
            </w:r>
          </w:p>
        </w:tc>
      </w:tr>
      <w:tr>
        <w:trPr>
          <w:trHeight w:val="243"/>
        </w:trPr>
        <w:tc>
          <w:tcPr>
            <w:tcW w:w="5220" w:type="dxa"/>
            <w:vAlign w:val="bottom"/>
          </w:tcPr>
          <w:p>
            <w:pPr>
              <w:ind w:left="60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(6,765)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Cost of sales (exclusive of depreciation and amortization shown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485,598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431,492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54,106</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7,613</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expense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51,798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17,172</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Restructuring and integration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(2,149)</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(4,100)</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write-off of debt issuance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09"/>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(provision) benefit for income taxes and share of net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29,049</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(13,748)</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13,902</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$77.6 million, or 13.6%, during the nine months ended September 30, 2019,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primarily due to $75.3 million of net sales attributable to the 2018 business acquisitions as well as an increase in organic growth of $9.1 million, as a result of an increase in core volume in the Life Sciences group. The increase in net sales was partially offset by lower demand within the automotive end market in Mobile Solutions group as well as unfavorable foreign exchange effects of $6.8 million in Europe, South America, and China.</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$54.1 million, or 12.5%, during the nine months ended September 30, 2019,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primarily due to $51.5 million in cost of sales attributable to the 2018 business acquisitions as well as an increase due to organic growth of $8.0 million, which relative to net sales was impacted by the</w:t>
      </w:r>
    </w:p>
    <w:p>
      <w:pPr>
        <w:sectPr>
          <w:pgSz w:w="11900" w:h="16838" w:orient="portrait"/>
          <w:cols w:equalWidth="0" w:num="1">
            <w:col w:w="11320"/>
          </w:cols>
          <w:pgMar w:left="240" w:top="125" w:right="339" w:bottom="1440" w:gutter="0" w:footer="0" w:header="0"/>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20"/>
          </w:cols>
          <w:pgMar w:left="24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relative contribution margin impact of higher sales in the Life Sciences group and lower sales in the Mobile Solutions group. The increase in cost of sales was partially offset by favorable foreign exchange effects of $5.4 million.</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$7.6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the nine months ended September 30, 2018, primarily due to the 2018 business acquisitions which collectively contributed $7.4 million to selling, general and administrative expense during the nine months ended September 30, 2019, as well as an increase personnel additions and higher salary and benefits expense. The increase was partially offset by lower costs for professional services as a result of our strategic initiatives, including integration of recent acquisitions.</w:t>
      </w:r>
    </w:p>
    <w:p>
      <w:pPr>
        <w:spacing w:after="0" w:line="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decreased by $5.8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compared to the nine months ended September 30, 2018, as there was no business acquisition activity during the nine months ended September 30, 2019. The nine months ended September 30, 2018, included professional service costs incurred in connection with the 2018 business acquisitions.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by $17.2 million during the nine months ended September 30, 2019,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2018, consistent with additions to intangible assets and property, plant and equipment, including $11.8 million from the 2018 business acquisitions. The increase in depreciation and amortization includes the effects of related fair value adjustments to certain property, plant and equipment and the addition of intangible assets, principally for customer relationships and trade names.</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Restructuring and Integration Expense. </w:t>
      </w:r>
      <w:r>
        <w:rPr>
          <w:rFonts w:ascii="Arial" w:cs="Arial" w:eastAsia="Arial" w:hAnsi="Arial"/>
          <w:sz w:val="17"/>
          <w:szCs w:val="17"/>
          <w:color w:val="auto"/>
        </w:rPr>
        <w:t>Restructuring and integration expense decreased by $2.1 million during the nine months ended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2018, primarily due to employee severance costs incurred in connection with implementing our new enterprise and management structure as well as the Paragon Medical acquisition in 2018. Note 11 in the Notes to Condensed Consolidated Financial Statements provides more information regarding the effects of restructuring and integration on our operating results.</w:t>
      </w:r>
    </w:p>
    <w:p>
      <w:pPr>
        <w:spacing w:after="0" w:line="6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$4.1 million during the nine months ended September 30, 2019,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primarily due to the $200.0 million Second Lien Facility, which was entered into in May 2018 and repaid in full in September 2018, partially offset by a higher borrowing rate on our variable-rate debt and increased borrowings under the Senior Secured Revolver.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39,537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43,289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3,631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42,492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46,592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Loss on Extinguishment of Debt and Write-off of Unamortized Debt Issuance Costs. </w:t>
      </w:r>
      <w:r>
        <w:rPr>
          <w:rFonts w:ascii="Arial" w:cs="Arial" w:eastAsia="Arial" w:hAnsi="Arial"/>
          <w:sz w:val="17"/>
          <w:szCs w:val="17"/>
          <w:color w:val="auto"/>
        </w:rPr>
        <w:t>Loss on extinguishment of debt and write-off of unamortized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decreased by $16.9 million during the nine months ended September 30, 2019, compared to the nine months ended September 30, 2018, due to a prepayment penalty and costs written off associated with the Second Lien Facility and the amendment to the existing credit facility in May 2018. These amounts were offset by costs written off associated with the March 2019 amendment to the credit facility.</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by $1.0 million during the nine months ended September 30, 2019,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primarily due to unfavorable foreign exchange effects associated with intercompany borrowings during the nine months ended September 30, 2018.</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Provision/Benefit for Income Taxes. </w:t>
      </w:r>
      <w:r>
        <w:rPr>
          <w:rFonts w:ascii="Arial" w:cs="Arial" w:eastAsia="Arial" w:hAnsi="Arial"/>
          <w:sz w:val="18"/>
          <w:szCs w:val="18"/>
          <w:color w:val="auto"/>
        </w:rPr>
        <w:t>Our effective tax rate was (5.2)% for the nine months ended September 30, 2019, compared to 20.8%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Note 8 in the Notes to Condensed Consolidated Financial Statements describes the components of income taxes for each period presented.</w:t>
      </w:r>
    </w:p>
    <w:p>
      <w:pPr>
        <w:spacing w:after="0" w:line="7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Share of Net Income from Joint Venture. </w:t>
      </w:r>
      <w:r>
        <w:rPr>
          <w:rFonts w:ascii="Arial" w:cs="Arial" w:eastAsia="Arial" w:hAnsi="Arial"/>
          <w:sz w:val="16"/>
          <w:szCs w:val="16"/>
          <w:color w:val="auto"/>
        </w:rPr>
        <w:t>Our share of net income from the JV, as discussed in Note 7 in the Notes to Condensed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decreased by $1.4 million primarily due to price and volume decreases resulting from reduced demand in the Chinese automotive market.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w w:val="98"/>
              </w:rPr>
              <w:t>Nine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168,716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102,635</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71,375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32,013</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(753)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9,591</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sales increased by $102.6 million during the nine months ended September 30, 2019, compared to the nine months ended September 30, 2018, primarily due to $71.4 million of net sales attributable to the Paragon Medical and Bridgemedica acquisitions as well as a $32.0 million increase in organic growth as a result of an increase in core volume primarily within the orthopaedic and medical/surgical end markets. These increases were partially offset by unfavorable foreign exchange effects of $0.8 million.</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Income from operations increased by $9.6 million compared to prior year primarily due to the Paragon Medical and Bridgemedica acquisitions as well as lower costs as a result of our strategic initiatives, including integration of recent acquisitions partially offset by an increase in costs related to organic growth in the Life Sciences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8"/>
              </w:rPr>
              <w:t>Nine Months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92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259,678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(29,088)</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Organic growth</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334"/>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(23,515)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(5,573)</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21,822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14"/>
              <w:spacing w:after="0"/>
              <w:rPr>
                <w:sz w:val="20"/>
                <w:szCs w:val="20"/>
                <w:color w:val="auto"/>
              </w:rPr>
            </w:pPr>
            <w:r>
              <w:rPr>
                <w:rFonts w:ascii="Arial" w:cs="Arial" w:eastAsia="Arial" w:hAnsi="Arial"/>
                <w:sz w:val="18"/>
                <w:szCs w:val="18"/>
                <w:color w:val="auto"/>
              </w:rPr>
              <w:t>(9,942)</w:t>
            </w:r>
          </w:p>
        </w:tc>
        <w:tc>
          <w:tcPr>
            <w:tcW w:w="920" w:type="dxa"/>
            <w:vAlign w:val="bottom"/>
          </w:tcPr>
          <w:p>
            <w:pPr>
              <w:spacing w:after="0"/>
              <w:rPr>
                <w:sz w:val="21"/>
                <w:szCs w:val="21"/>
                <w:color w:val="auto"/>
              </w:rPr>
            </w:pPr>
          </w:p>
        </w:tc>
      </w:tr>
    </w:tbl>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sales decreased by $29.1 million during the nine months ended September 30, 2019, compared to the nine months ended September 30, 2018, primarily due to lower demand within the North American and European automotive markets, unfavorable foreign exchange effects, and the impact of reduced demand for components associated with programs nearing the end of life partially offset by higher demand within the South American automotive market.</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Income from operations decreased by $9.9 million compared to prior year due to lost variable margin on the above-referenced sales volume decline and costs associated with the launch of new fuel systems business within our European operations. These unfavorable impacts were partially offset by fixed cost reduction actions taken in response to the decline in sales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7"/>
              </w:rPr>
              <w:t>Nine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144,584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3,896</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3,959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376</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(439)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13,939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(1,082)</w:t>
            </w:r>
          </w:p>
        </w:tc>
        <w:tc>
          <w:tcPr>
            <w:tcW w:w="80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sales increased by $3.9 million during the nine months ended September 30, 2019, compared to the nine months ended September 30, 2018, primarily due to $4.0 million of net sales attributable to the Technical Arts acquisition as well as higher demand in the electrical products end market. The increase in net sales was partially offset by unfavorable foreign exchange effects.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operations decreased by $1.1 million compared to prior year primarily due to higher selling, general and administrative expenses associated with the implementation of an ERP system and employee-related costs associated with a facility closure. These decreases were partially offset by higher sales volume to customers in the electrical products end market.</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280"/>
        <w:spacing w:after="0" w:line="378" w:lineRule="auto"/>
        <w:rPr>
          <w:sz w:val="20"/>
          <w:szCs w:val="20"/>
          <w:color w:val="auto"/>
        </w:rPr>
      </w:pPr>
      <w:r>
        <w:rPr>
          <w:rFonts w:ascii="Arial" w:cs="Arial" w:eastAsia="Arial" w:hAnsi="Arial"/>
          <w:sz w:val="18"/>
          <w:szCs w:val="18"/>
          <w:b w:val="1"/>
          <w:bCs w:val="1"/>
          <w:color w:val="auto"/>
        </w:rPr>
        <w:t xml:space="preserve">Changes in Financial Condition from December 31, 2018, to September 30, 2019 </w:t>
      </w:r>
      <w:r>
        <w:rPr>
          <w:rFonts w:ascii="Arial" w:cs="Arial" w:eastAsia="Arial" w:hAnsi="Arial"/>
          <w:sz w:val="18"/>
          <w:szCs w:val="18"/>
          <w:i w:val="1"/>
          <w:iCs w:val="1"/>
          <w:color w:val="auto"/>
        </w:rPr>
        <w:t>Overview</w:t>
      </w:r>
    </w:p>
    <w:p>
      <w:pPr>
        <w:ind w:right="20"/>
        <w:spacing w:after="0" w:line="279" w:lineRule="auto"/>
        <w:rPr>
          <w:sz w:val="20"/>
          <w:szCs w:val="20"/>
          <w:color w:val="auto"/>
        </w:rPr>
      </w:pPr>
      <w:r>
        <w:rPr>
          <w:rFonts w:ascii="Arial" w:cs="Arial" w:eastAsia="Arial" w:hAnsi="Arial"/>
          <w:sz w:val="17"/>
          <w:szCs w:val="17"/>
          <w:color w:val="auto"/>
        </w:rPr>
        <w:t>From December 31, 2018, to September 30, 2019, total assets increased by $50.8 million primarily due to the initial recognition of operating lease assets as of January 1, 2019, pursuant to ASC 842. Overall, accounts receivable increased consistently with sales growth. Inventories increased as our plants satisfy customer demands and prepare for future sales growth. Days inventory outstanding decreased by approximately one day as our businesses met expected customer demand on a timely basis and managed procurement based on market price projections.</w:t>
      </w:r>
    </w:p>
    <w:p>
      <w:pPr>
        <w:spacing w:after="0" w:line="6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December 31, 2018, to September 30, 2019, total liabilities increased by $112.3 million, primarily due to the initial recognition of operating lease liabilities as of January 1, 2019, pursuant to ASC 842, an increased balance in our Senior Secured Revolver used to fund operations, and recognition of the fair value of the interest rate swap.</w:t>
      </w:r>
    </w:p>
    <w:p>
      <w:pPr>
        <w:spacing w:after="0" w:line="73"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Working capital, which consists principally of cash, accounts receivable, inventories, and other current assets offset by accounts payable, accrued payroll costs, income taxes payable, current maturities of long-term debt, current portion of lease liabilities, and other current liabilities, was $160.3 million as of September 30, 2019, compared to $153.2 million as of December 31, 2018. The increase in working capital was due primarily to the increase in accounts receivable and inventories consistent with our sales growth offset by the initial recognition of operating lease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Cash provided by operations was $33.6 million for the nine months ended September 30, 2019, compared with cash used by operations of $13.2 million for the nine months ended September 30, 2018. The difference was primarily due to a increased profitability and changes in net working capital.</w:t>
      </w:r>
    </w:p>
    <w:p>
      <w:pPr>
        <w:spacing w:after="0" w:line="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used by investing activities was $31.0 million for the nine months ended September 30, 2019, compared with cash used by investing activities of $445.4 million for the nine months ended September 30, 2018. The decrease was primarily due to cash paid for the 2018 business acquisitions partially offset by cash received from the liquidation of the short-term investment during 2019.</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provided by financing activities was $6.9 million for the nine months ended September 30, 2019, compared with cash provided by financing activities of $252.8 million for the nine months ended September 30, 2018. The difference was primarily due to net proceeds from the sale of common shares and higher net borrowings under our credit facility during the nine months ended September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Analysis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2018, as a result of our annual goodwill impairment analysis performed during the fourth quarter of 2018, we recorded an impairment of $109.1 million in our Power Solutions group. Subsequent to the impairment, at December 31, 2018, Power Solutions reported a goodwill balance of $94.5 million. Given the carrying value of the Power Solutions group was equal to its fair value at December 31, 2018 as a result of the 2018 goodwill impairment, if actual performance of the Power Solutions group falls short of expected results, additional material impairment charges may be required. During the third quarter of 2019, we assessed for triggering events that would signify the need to perform an impairment test and concluded there were no triggering events during the period. We will continue to monitor and assess Power Solutions during 2019.</w:t>
      </w:r>
    </w:p>
    <w:p>
      <w:pPr>
        <w:spacing w:after="0" w:line="70"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Based on the closing price of a share of our common stock as of September 30, 2019, our market capitalization was at a level that is less than the net book value of our stockholders’ equity. A prolonged or significant decline in market capitalization could be an indicator of additional goodwill impairment. We concluded that our market capitalization as of September 30, 2019, was not at a level that would require us to perform a goodwill impairment assessment during the period. We will continue to monitor our market capitalization to determine if an indicator of impairment exists in subsequent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30, 2019, we had $24.4 million of cash and $16.7 million of unused borrowing capacity under our Senior Secured Revolver. The Company leverages the Senior Secured Revolver, along with cash generated from operations, to fund operations and working capital and had $71.5 million of outstanding borrowings as of November 6, 2019. Based on our current and projected use of the facility, as well as cash flows to be generated from operations and investing activities, we do not anticipate that we will be able to repay the outstanding borrowings when they become due in October 2020 without refinancing the line of credit or obtaining new financing. The Company has and continues to make efforts to obtain new financing; however, there is no assurance that we will obtain sufficient financing on commercially reasonable terms, if at all, before the outstanding amounts would be required to be repaid. This condition raises substantial doubt about the Company’s ability to continue as a going concern within one year after the date of issuance of these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21, 2019, we announced expense reduction and cash savings initiatives to help the Company continue to pay down its debt and support greater growth by reinvesting in its businesses. The expense reduction and cash saving initiatives will include streamlining facilities and reducing overall selling, general and administrative costs; elimination of quarterly dividend payments; and a reduction in capital expenditures from 2019 spending levels as the Company returns to a more normalized level of capital spending after several years of higher investment. We expect these expense reduction and cash saving initiatives to be fully realized by the second quarter of 2020.</w:t>
      </w:r>
    </w:p>
    <w:p>
      <w:pPr>
        <w:spacing w:after="0" w:line="8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September 30, 2019, no currency derivatives were in place. In addition, a strengthening of the U.S. dollar against foreign currencies could impair our ability to compete with international competitors for foreign as well as domestic sales.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June 2016, voters in the United Kingdom approved an advisory referendum to withdraw from the European Union, commonly referred to as “Brexit.” The uncertainty surrounding the terms of the United Kingdom’s withdrawal and the timing (deadline to leave was extended to January 31, 2020),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 We will continue to monitor and evaluate the potential effect Brexit has on our business,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Aggregate principal amounts outstanding under our Senior Secured Term Loan, Incremental Term Loan, and Senior Secured Revolver as of September 30, 2019, were $869.1 million, without regard to unamortized debt issuance costs. As of September 30, 2019, we had unused borrowing capacity of $16.7 million under the Senior Secured Revolver, subject to certain limitations. This amount of borrowing capacity is net of $12.0 million of outstanding letters of credit at September 30, 2019, which are considered as usage of the Senior Secured Revolver.</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Collectively, our Senior Secured Term Loan, Incremental Term Loan, and Senior Secured Revolver comprise our credit facility. Total available capacity under the Senior Secured Revolver was $100.0 million as of September 30, 2019. The Senior Secured Revolver matures on October 19, 2020.</w:t>
      </w:r>
    </w:p>
    <w:p>
      <w:pPr>
        <w:spacing w:after="0" w:line="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plus an applicable margin of 3.75%. Based on the outstanding balance and interest rate in effect at September 30, 2019, annual interest payments would be $30.6 million.</w:t>
      </w:r>
    </w:p>
    <w:p>
      <w:pPr>
        <w:spacing w:after="0" w:line="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Incremental Term Loan requires quarterly principal payments of $3.0 million through April 3, 2021, with the remaining principal amount due on the maturity date. The Incremental Term Loan bears interest at the variable one-month LIBOR plus an applicable margin of 3.25%. Based on the outstanding balance and interest rate in effect at September 30, 2019, annual interest payments would be $14.3 million.</w:t>
      </w:r>
    </w:p>
    <w:p>
      <w:pPr>
        <w:spacing w:after="0" w:line="7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Senior Secured Revolver bears interest on a variable rate structure with borrowings bearing interest at either one-month LIBOR plus an applicable margin of 3.50% or the prime lending rate plus an applicable margin of 2.50%. Based on the outstanding balance and weighted average interest rate at September 30, 2019, annual interest payments would be $4.1 million. We pay a commitment fee of 0.50% for unused capacity under the Senior Secured Revolver.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had $71.3 million outstanding under the Senior Secured Revolver at September 30, 2019. Total capacity under the Senior Secured Revolver was $100.0 million as of September 30, 2019 with $16.7 million available for future borrowings after reductions for outstanding letters of credit and outstanding borrowings as of September 30, 2019. Our credit facility is subject to certain financial covenants based on a consolidated net leverage ratio. The financial covenants are effective when we have outstanding borrowings under our Senior Secured Revolver on the last day of any fiscal quarter, become more restrictive over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time, and are dependent upon our operational and financial performance. If our operational or financial performance does not improve in line with our expectations, we may be required to take actions to reduce expenditures and decrease our net indebtedness to maintain compliance in future periods. We were in compliance with all covenants under our credit facility at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2018 Annual Report, including those policies as discussed in Note 1 to the Notes to Consolidated Financial Statements included in the 2018 Annual Report. There have been no changes to these policies during the nine months ended September 30, 2019, except as discussed in Note 1 to the Notes to Condensed Consolidated Financial Statements included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September 30, 2019, we had $527.8 million and $270.0 million of principal outstanding under the Senior Secured Term Loan and Incremental Term Loan, respectively, without regard to capitalized debt issuance costs. At September 30, 2019, a one-percent increase in the interest rate charged on outstanding variable rate borrowings under the Senior Secured Term Loan and Incremental Term Loan would increase interest expense for an annual period by approximately $5.3 million and $2.7 million, respectively.</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September 30, 2019, we had $71.3 million of principal outstanding under the Senior Secured Revolver, without regard to capitalized debt issuance costs. At September 30, 2019, a one-percent increase in the interest rate charged on outstanding variable rate borrowings under the Senior Secured Revolver would increase interest expense for an annual period by approximately $0.7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 and Hedging Activities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2019.</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Interim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 in internal control over financial reporting described below, our Interim Chief Executive Officer and Chief Financial Officer concluded that our disclosure controls and procedures were not effective as of September 30, 2019,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Interim Chief Executive Officer and Chief Financial Officer, as appropriate, to allow for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 in Internal Control Over Financial Reporting</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also resulted in a revision to previously issued financial statements for the periods December 31, 2017 and December 31, 2016. Additionally, this material weakness could result in a misstatement of substantially all account balances or disclosures that would result in a material misstatement to the annual or interim consolidated financial statements that would not be prevented or detected.</w:t>
      </w:r>
    </w:p>
    <w:p>
      <w:pPr>
        <w:spacing w:after="0" w:line="7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Notwithstanding the material weakness, our Interim Chief Executive Officer and Chief Financial Officer have concluded that our condensed consolidated financial statements in this Quarterly Report present fairly, and in all material respects, our financial position, results of operations, and cash flows for the periods presented in conformity with U.S.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 for the Unremediated Material Weakness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hired qualified professionals for critical roles within our finance department. We are also enhancing and installing new processes and systems to strengthen our internal control over financial reporting. After we integrate these professionals into our control environment and operate any new controls for a sufficient time period, we expect that the remediation of this material weakness will be completed.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have materially affected, or are reasonably likely to materially affect, our internal control over financial reporting during the fiscal quarter ended September 30,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September 30, 2019, for this matter.</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Offering Matter</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14,375,000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there have been no material changes to the risk factors disclosed in the 2018 Annual Report under Item 1A. “Risk Factors.”</w:t>
      </w:r>
    </w:p>
    <w:p>
      <w:pPr>
        <w:spacing w:after="0" w:line="1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Doubts regarding our ability to continue as a going concern could have an adverse impact on our relationships with customers, vendors, suppliers, employees and others, which in turn could materially adversely affect our business, results of operations, and financial condition.</w:t>
      </w:r>
    </w:p>
    <w:p>
      <w:pPr>
        <w:spacing w:after="0" w:line="1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previously described in this Quarterly Report, on October 20, 2019, the outstanding balance under our Senior Secured Revolver became a current liability, and we do not anticipate that we will be able to repay it, in full, without obtaining additional financing, which cannot be assured. This condition raises substantial doubt about the Company’s ability to continue as a going concern within one year after the date of issuance of these financial statements. Doubts regarding our ability to continue as a going concern could result in the loss of confidence by customers, vendors, suppliers, employees and others, which in turn could materially adversely affect our business, results of operations, and financial condition. Concerns about our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financial condition could adversely impact the payment terms we can obtain from some of our vendors and suppliers. We depend on our ability to retain our key employees at all levels of our business and on our ability to attract new qualified personnel. If we are unable to retain our key employees and we do not succeed in attracting new qualified personnel as a result of the uncertainty regarding our ability to continue as a going concern, our business and results of operations could suffer. Doubts regarding our ability to continue as a going concern may adversely impact our customers’ perceptions of our business and our continued viability, which in turn could further negatively impact our revenues. Further declines in our revenues as a result of these perceptions or otherwise would have a material adverse impact on our cash flows, results of operations, and financial condition.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Total Number of</w:t>
            </w:r>
          </w:p>
        </w:tc>
        <w:tc>
          <w:tcPr>
            <w:tcW w:w="2140" w:type="dxa"/>
            <w:vAlign w:val="bottom"/>
          </w:tcPr>
          <w:p>
            <w:pPr>
              <w:jc w:val="center"/>
              <w:spacing w:after="0"/>
              <w:rPr>
                <w:sz w:val="20"/>
                <w:szCs w:val="20"/>
                <w:color w:val="auto"/>
              </w:rPr>
            </w:pPr>
            <w:r>
              <w:rPr>
                <w:rFonts w:ascii="Arial" w:cs="Arial" w:eastAsia="Arial" w:hAnsi="Arial"/>
                <w:sz w:val="14"/>
                <w:szCs w:val="14"/>
                <w:color w:val="auto"/>
                <w:w w:val="96"/>
              </w:rPr>
              <w:t>Maximum Number (or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Shares Purchased</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 Dollar Value)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as Part of Publicly</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3"/>
              </w:rPr>
              <w:t>of Shares That May Yet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Total Number of</w:t>
            </w:r>
          </w:p>
        </w:tc>
        <w:tc>
          <w:tcPr>
            <w:tcW w:w="18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Average Price Paid</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Announced Plans</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Be Purchased Under the</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 xml:space="preserve">Shares Purchased </w:t>
            </w:r>
            <w:r>
              <w:rPr>
                <w:rFonts w:ascii="Arial" w:cs="Arial" w:eastAsia="Arial" w:hAnsi="Arial"/>
                <w:sz w:val="8"/>
                <w:szCs w:val="8"/>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xml:space="preserve">or Programs </w:t>
            </w:r>
            <w:r>
              <w:rPr>
                <w:rFonts w:ascii="Arial" w:cs="Arial" w:eastAsia="Arial" w:hAnsi="Arial"/>
                <w:sz w:val="8"/>
                <w:szCs w:val="8"/>
                <w:color w:val="auto"/>
                <w:w w:val="94"/>
              </w:rPr>
              <w:t>(1)</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xml:space="preserve">Plan or Programs </w:t>
            </w:r>
            <w:r>
              <w:rPr>
                <w:rFonts w:ascii="Arial" w:cs="Arial" w:eastAsia="Arial" w:hAnsi="Arial"/>
                <w:sz w:val="8"/>
                <w:szCs w:val="8"/>
                <w:color w:val="auto"/>
                <w:w w:val="92"/>
              </w:rPr>
              <w:t>(1)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July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980" w:type="dxa"/>
            <w:vAlign w:val="bottom"/>
            <w:gridSpan w:val="2"/>
          </w:tcPr>
          <w:p>
            <w:pPr>
              <w:jc w:val="right"/>
              <w:ind w:right="140"/>
              <w:spacing w:after="0"/>
              <w:rPr>
                <w:sz w:val="20"/>
                <w:szCs w:val="20"/>
                <w:color w:val="auto"/>
              </w:rPr>
            </w:pPr>
            <w:r>
              <w:rPr>
                <w:rFonts w:ascii="Arial" w:cs="Arial" w:eastAsia="Arial" w:hAnsi="Arial"/>
                <w:sz w:val="18"/>
                <w:szCs w:val="18"/>
                <w:color w:val="auto"/>
              </w:rPr>
              <w:t>August 2019</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140" w:type="dxa"/>
            <w:vAlign w:val="bottom"/>
          </w:tcPr>
          <w:p>
            <w:pPr>
              <w:ind w:left="1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September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4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gridSpan w:val="2"/>
            <w:vMerge w:val="restart"/>
          </w:tcPr>
          <w:p>
            <w:pPr>
              <w:jc w:val="right"/>
              <w:ind w:right="1614"/>
              <w:spacing w:after="0"/>
              <w:rPr>
                <w:sz w:val="20"/>
                <w:szCs w:val="20"/>
                <w:color w:val="auto"/>
              </w:rPr>
            </w:pPr>
            <w:r>
              <w:rPr>
                <w:rFonts w:ascii="Arial" w:cs="Arial" w:eastAsia="Arial" w:hAnsi="Arial"/>
                <w:sz w:val="14"/>
                <w:szCs w:val="14"/>
                <w:color w:val="auto"/>
                <w:w w:val="91"/>
              </w:rPr>
              <w:t>_______________________________</w:t>
            </w: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60" w:right="1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2016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5400" w:type="dxa"/>
            <w:vAlign w:val="bottom"/>
            <w:vMerge w:val="restart"/>
          </w:tcPr>
          <w:p>
            <w:pPr>
              <w:ind w:left="470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No.</w:t>
            </w: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w:t>
      </w: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7" w:lineRule="auto"/>
        <w:rPr>
          <w:rFonts w:ascii="Arial" w:cs="Arial" w:eastAsia="Arial" w:hAnsi="Arial"/>
          <w:sz w:val="18"/>
          <w:szCs w:val="18"/>
          <w:color w:val="0000FF"/>
        </w:rPr>
      </w:pPr>
      <w:hyperlink r:id="rId39">
        <w:r>
          <w:rPr>
            <w:rFonts w:ascii="Arial" w:cs="Arial" w:eastAsia="Arial" w:hAnsi="Arial"/>
            <w:sz w:val="18"/>
            <w:szCs w:val="18"/>
            <w:u w:val="single" w:color="auto"/>
            <w:color w:val="0000FF"/>
          </w:rPr>
          <w:t>Separation Agreement and General Release, dated as of September 15, 2019, by and between NN, Inc. and Richard D. Holder</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 to NN, Inc.’s Current Report on Form 8-K filed on September 16, 2019)</w:t>
      </w:r>
    </w:p>
    <w:p>
      <w:pPr>
        <w:spacing w:after="0" w:line="265" w:lineRule="exact"/>
        <w:rPr>
          <w:sz w:val="20"/>
          <w:szCs w:val="20"/>
          <w:color w:val="auto"/>
        </w:rPr>
      </w:pPr>
    </w:p>
    <w:p>
      <w:pPr>
        <w:ind w:right="640"/>
        <w:spacing w:after="0" w:line="342" w:lineRule="auto"/>
        <w:rPr>
          <w:rFonts w:ascii="Arial" w:cs="Arial" w:eastAsia="Arial" w:hAnsi="Arial"/>
          <w:sz w:val="16"/>
          <w:szCs w:val="16"/>
          <w:color w:val="0000FF"/>
        </w:rPr>
      </w:pPr>
      <w:hyperlink r:id="rId40">
        <w:r>
          <w:rPr>
            <w:rFonts w:ascii="Arial" w:cs="Arial" w:eastAsia="Arial" w:hAnsi="Arial"/>
            <w:sz w:val="16"/>
            <w:szCs w:val="16"/>
            <w:u w:val="single" w:color="auto"/>
            <w:color w:val="0000FF"/>
          </w:rPr>
          <w:t>Amendment No. 1 to Executive Employment Agreement, dated as of September 20, 2019, by and between NN, Inc. and Warren A.</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Veltman</w:t>
        </w:r>
        <w:r>
          <w:rPr>
            <w:rFonts w:ascii="Arial" w:cs="Arial" w:eastAsia="Arial" w:hAnsi="Arial"/>
            <w:sz w:val="16"/>
            <w:szCs w:val="16"/>
            <w:color w:val="0000FF"/>
          </w:rPr>
          <w:t xml:space="preserve"> </w:t>
        </w:r>
        <w:r>
          <w:rPr>
            <w:rFonts w:ascii="Arial" w:cs="Arial" w:eastAsia="Arial" w:hAnsi="Arial"/>
            <w:sz w:val="16"/>
            <w:szCs w:val="16"/>
            <w:color w:val="000000"/>
          </w:rPr>
          <w:t>(incorporated by reference to Exhibit 10.1 to NN, Inc.’s Current Report on Form 8-K filed on September 24, 2019)</w:t>
        </w:r>
      </w:hyperlink>
    </w:p>
    <w:p>
      <w:pPr>
        <w:spacing w:after="0" w:line="191" w:lineRule="exact"/>
        <w:rPr>
          <w:sz w:val="20"/>
          <w:szCs w:val="20"/>
          <w:color w:val="auto"/>
        </w:rPr>
      </w:pPr>
    </w:p>
    <w:p>
      <w:pPr>
        <w:ind w:right="640"/>
        <w:spacing w:after="0" w:line="308" w:lineRule="auto"/>
        <w:rPr>
          <w:rFonts w:ascii="Arial" w:cs="Arial" w:eastAsia="Arial" w:hAnsi="Arial"/>
          <w:sz w:val="17"/>
          <w:szCs w:val="17"/>
          <w:u w:val="single" w:color="auto"/>
          <w:color w:val="0000FF"/>
        </w:rPr>
      </w:pPr>
      <w:hyperlink r:id="rId41">
        <w:r>
          <w:rPr>
            <w:rFonts w:ascii="Arial" w:cs="Arial" w:eastAsia="Arial" w:hAnsi="Arial"/>
            <w:sz w:val="17"/>
            <w:szCs w:val="17"/>
            <w:u w:val="single" w:color="auto"/>
            <w:color w:val="0000FF"/>
          </w:rPr>
          <w:t>Letter of Understanding and Relocation Agreement, effective as of August 23, 2019, by and between NN, Inc. and Thomas DeByle</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(incorporated by reference to Exhibit 10.1 to NN, Inc.’s Current Report on Form 8-K filed on August 27, 2019)</w:t>
      </w:r>
    </w:p>
    <w:p>
      <w:pPr>
        <w:spacing w:after="0" w:line="197" w:lineRule="exact"/>
        <w:rPr>
          <w:sz w:val="20"/>
          <w:szCs w:val="20"/>
          <w:color w:val="auto"/>
        </w:rPr>
      </w:pPr>
    </w:p>
    <w:p>
      <w:pPr>
        <w:sectPr>
          <w:pgSz w:w="11900" w:h="16838" w:orient="portrait"/>
          <w:cols w:equalWidth="0" w:num="2">
            <w:col w:w="580" w:space="720"/>
            <w:col w:w="10100"/>
          </w:cols>
          <w:pgMar w:left="240" w:top="108" w:right="2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gridSpan w:val="7"/>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 xml:space="preserve">Form of Separation Agreement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by reference to Exhibit 10.2 to NN, Inc.’s Current Report on Form 8-K filed on August 27,</w:t>
            </w:r>
          </w:p>
        </w:tc>
      </w:tr>
      <w:tr>
        <w:trPr>
          <w:trHeight w:val="237"/>
        </w:trPr>
        <w:tc>
          <w:tcPr>
            <w:tcW w:w="126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2019)</w:t>
            </w:r>
          </w:p>
        </w:tc>
        <w:tc>
          <w:tcPr>
            <w:tcW w:w="1540" w:type="dxa"/>
            <w:vAlign w:val="bottom"/>
            <w:tcBorders>
              <w:top w:val="single" w:sz="8" w:color="0000FF"/>
            </w:tcBorders>
          </w:tcPr>
          <w:p>
            <w:pPr>
              <w:spacing w:after="0"/>
              <w:rPr>
                <w:sz w:val="20"/>
                <w:szCs w:val="20"/>
                <w:color w:val="auto"/>
              </w:rPr>
            </w:pPr>
          </w:p>
        </w:tc>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gridSpan w:val="7"/>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of Principal Executive Officer Pursuant to Rules 13a-14(a) and 15d-14(a) under the Securities Exchange Act of 1934, as</w:t>
              </w:r>
            </w:hyperlink>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40">
              <w:r>
                <w:rPr>
                  <w:rFonts w:ascii="Arial" w:cs="Arial" w:eastAsia="Arial" w:hAnsi="Arial"/>
                  <w:sz w:val="18"/>
                  <w:szCs w:val="18"/>
                  <w:color w:val="0000FF"/>
                  <w:w w:val="84"/>
                </w:rPr>
                <w:t>amended.</w:t>
              </w:r>
            </w:hyperlink>
          </w:p>
        </w:tc>
        <w:tc>
          <w:tcPr>
            <w:tcW w:w="8920" w:type="dxa"/>
            <w:vAlign w:val="bottom"/>
            <w:tcBorders>
              <w:top w:val="single" w:sz="8" w:color="0000FF"/>
            </w:tcBorders>
            <w:gridSpan w:val="5"/>
          </w:tcPr>
          <w:p>
            <w:pPr>
              <w:spacing w:after="0"/>
              <w:rPr>
                <w:sz w:val="17"/>
                <w:szCs w:val="17"/>
                <w:color w:val="auto"/>
              </w:rPr>
            </w:pPr>
          </w:p>
        </w:tc>
        <w:tc>
          <w:tcPr>
            <w:tcW w:w="220" w:type="dxa"/>
            <w:vAlign w:val="bottom"/>
          </w:tcPr>
          <w:p>
            <w:pPr>
              <w:spacing w:after="0"/>
              <w:rPr>
                <w:sz w:val="17"/>
                <w:szCs w:val="17"/>
                <w:color w:val="auto"/>
              </w:rPr>
            </w:pPr>
          </w:p>
        </w:tc>
      </w:tr>
      <w:tr>
        <w:trPr>
          <w:trHeight w:val="48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2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41">
              <w:r>
                <w:rPr>
                  <w:rFonts w:ascii="Arial" w:cs="Arial" w:eastAsia="Arial" w:hAnsi="Arial"/>
                  <w:sz w:val="18"/>
                  <w:szCs w:val="18"/>
                  <w:color w:val="0000FF"/>
                  <w:w w:val="84"/>
                </w:rPr>
                <w:t>amended.</w:t>
              </w:r>
            </w:hyperlink>
          </w:p>
        </w:tc>
        <w:tc>
          <w:tcPr>
            <w:tcW w:w="9140" w:type="dxa"/>
            <w:vAlign w:val="bottom"/>
            <w:gridSpan w:val="6"/>
          </w:tcPr>
          <w:p>
            <w:pPr>
              <w:spacing w:after="0"/>
              <w:rPr>
                <w:sz w:val="17"/>
                <w:szCs w:val="17"/>
                <w:color w:val="auto"/>
              </w:rPr>
            </w:pPr>
          </w:p>
        </w:tc>
      </w:tr>
      <w:tr>
        <w:trPr>
          <w:trHeight w:val="48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Executive Officer pursuant to Section 906 of the Sarbanes-Oxley Act of 2002.</w:t>
              </w:r>
            </w:hyperlink>
          </w:p>
        </w:tc>
      </w:tr>
      <w:tr>
        <w:trPr>
          <w:trHeight w:val="480"/>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7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360" w:type="dxa"/>
            <w:vAlign w:val="bottom"/>
            <w:gridSpan w:val="3"/>
          </w:tcPr>
          <w:p>
            <w:pPr>
              <w:spacing w:after="0"/>
              <w:rPr>
                <w:sz w:val="24"/>
                <w:szCs w:val="24"/>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500"/>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Service</w:t>
            </w:r>
          </w:p>
        </w:tc>
      </w:tr>
      <w:tr>
        <w:trPr>
          <w:trHeight w:val="500"/>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Taxonomy Calculation Linkbase</w:t>
            </w:r>
          </w:p>
        </w:tc>
      </w:tr>
      <w:tr>
        <w:trPr>
          <w:trHeight w:val="500"/>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Label Linkbase</w:t>
            </w:r>
          </w:p>
        </w:tc>
      </w:tr>
      <w:tr>
        <w:trPr>
          <w:trHeight w:val="50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r>
      <w:tr>
        <w:trPr>
          <w:trHeight w:val="500"/>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08"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Date: November 8, 2019 /s/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Date: November 8, 2019 /s/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w:t>
      </w:r>
    </w:p>
    <w:p>
      <w:pPr>
        <w:spacing w:after="0" w:line="3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Date: November 8, 2019 /s/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C. Felcher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President—Chief Accounting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25"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60"/>
        <w:spacing w:after="0"/>
        <w:tabs>
          <w:tab w:leader="none" w:pos="630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3249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560"/>
        <w:spacing w:after="0"/>
        <w:tabs>
          <w:tab w:leader="none" w:pos="630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32499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tabs>
          <w:tab w:leader="none" w:pos="630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3249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tabs>
          <w:tab w:leader="none" w:pos="630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39" Type="http://schemas.openxmlformats.org/officeDocument/2006/relationships/hyperlink" Target="http://www.sec.gov/Archives/edgar/data/918541/000119312519245436/d805388dex101.htm" TargetMode="External"/><Relationship Id="rId40" Type="http://schemas.openxmlformats.org/officeDocument/2006/relationships/hyperlink" Target="http://www.sec.gov/Archives/edgar/data/918541/000119312519252768/d628110dex101.htm" TargetMode="External"/><Relationship Id="rId41" Type="http://schemas.openxmlformats.org/officeDocument/2006/relationships/hyperlink" Target="http://www.sec.gov/Archives/edgar/data/918541/000119312519230172/d797574dex101.htm" TargetMode="External"/><Relationship Id="rId42" Type="http://schemas.openxmlformats.org/officeDocument/2006/relationships/hyperlink" Target="http://www.sec.gov/Archives/edgar/data/918541/000119312519230172/d79757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2019-12-28T02:03:46Z</dcterms:created>
  <dcterms:modified xsi:type="dcterms:W3CDTF">2019-12-28T02:03:46Z</dcterms:modified>
</cp:coreProperties>
</file>