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b w:val="1"/>
          <w:bCs w:val="1"/>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b w:val="1"/>
          <w:bCs w:val="1"/>
          <w:color w:val="auto"/>
        </w:rPr>
        <w:t>Washington, D.C. 20549</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NOTIFICATION OF LATE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FILE NUMBER: 0-23486</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629337106</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(Check One) |_|Form 10-K |_| Form 20-F |_| Form 11-K |X| Form 10-Q |_| Form N-SAR |_| Form N-CSR</w:t>
      </w:r>
    </w:p>
    <w:p>
      <w:pPr>
        <w:spacing w:after="0" w:line="203"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For Period Ended:</w:t>
      </w:r>
      <w:r>
        <w:rPr>
          <w:sz w:val="20"/>
          <w:szCs w:val="20"/>
          <w:color w:val="auto"/>
        </w:rPr>
        <w:tab/>
      </w:r>
      <w:r>
        <w:rPr>
          <w:rFonts w:ascii="Courier New" w:cs="Courier New" w:eastAsia="Courier New" w:hAnsi="Courier New"/>
          <w:sz w:val="16"/>
          <w:szCs w:val="16"/>
          <w:color w:val="auto"/>
        </w:rPr>
        <w:t>September 30, 2003</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Transition</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Form</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10-K</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Transition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Form</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20-F</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Transition</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11-K</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Transition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10-Q</w:t>
            </w:r>
          </w:p>
        </w:tc>
      </w:tr>
    </w:tbl>
    <w:p>
      <w:pPr>
        <w:spacing w:after="0" w:line="4" w:lineRule="exact"/>
        <w:rPr>
          <w:sz w:val="24"/>
          <w:szCs w:val="24"/>
          <w:color w:val="auto"/>
        </w:rPr>
      </w:pPr>
    </w:p>
    <w:p>
      <w:pPr>
        <w:ind w:right="651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on Form N-SAR For the Transition Period Ended:</w:t>
      </w:r>
    </w:p>
    <w:p>
      <w:pPr>
        <w:spacing w:after="0" w:line="1"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b w:val="1"/>
          <w:bCs w:val="1"/>
          <w:color w:val="auto"/>
        </w:rPr>
        <w:t>Nothing in this form shall be construed to imply that the Commission has verified any information contained herein.</w:t>
      </w:r>
    </w:p>
    <w:p>
      <w:pPr>
        <w:spacing w:after="0" w:line="208"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PART I--REGISTRANT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NN,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w:t>
      </w:r>
    </w:p>
    <w:p>
      <w:pPr>
        <w:spacing w:after="0"/>
        <w:rPr>
          <w:sz w:val="20"/>
          <w:szCs w:val="20"/>
          <w:color w:val="auto"/>
        </w:rPr>
      </w:pPr>
      <w:r>
        <w:rPr>
          <w:rFonts w:ascii="Courier New" w:cs="Courier New" w:eastAsia="Courier New" w:hAnsi="Courier New"/>
          <w:sz w:val="18"/>
          <w:szCs w:val="18"/>
          <w:color w:val="auto"/>
        </w:rPr>
        <w:t>Full Name of Registrant</w:t>
      </w:r>
    </w:p>
    <w:p>
      <w:pPr>
        <w:spacing w:after="0" w:line="200"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Ball &amp; Roller, Inc.</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color w:val="auto"/>
        </w:rPr>
        <w:t>_________________________________________</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color w:val="auto"/>
        </w:rPr>
        <w:t>Former Name if Applicable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2000 Waters Edge Drive, Building C, Suite 12</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w:t>
      </w:r>
    </w:p>
    <w:p>
      <w:pPr>
        <w:spacing w:after="0"/>
        <w:rPr>
          <w:sz w:val="20"/>
          <w:szCs w:val="20"/>
          <w:color w:val="auto"/>
        </w:rPr>
      </w:pPr>
      <w:r>
        <w:rPr>
          <w:rFonts w:ascii="Courier New" w:cs="Courier New" w:eastAsia="Courier New" w:hAnsi="Courier New"/>
          <w:sz w:val="18"/>
          <w:szCs w:val="18"/>
          <w:color w:val="auto"/>
        </w:rPr>
        <w:t>Address of Principal Executive Office (Street and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Johnson City, Tennessee 37604</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w:t>
      </w:r>
    </w:p>
    <w:p>
      <w:pPr>
        <w:spacing w:after="0"/>
        <w:rPr>
          <w:sz w:val="20"/>
          <w:szCs w:val="20"/>
          <w:color w:val="auto"/>
        </w:rPr>
      </w:pPr>
      <w:r>
        <w:rPr>
          <w:rFonts w:ascii="Courier New" w:cs="Courier New" w:eastAsia="Courier New" w:hAnsi="Courier New"/>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PART II--RULES 12b-25(b) AND (c)</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9"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|X| (a) The reasons described in reasonable detail in Part III of this form could not be eliminated without unreasonable effort or expense;</w:t>
      </w:r>
    </w:p>
    <w:p>
      <w:pPr>
        <w:spacing w:after="0" w:line="20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|_| (b) 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10"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|_| (c) The accountant's statement or other exhibit required by Rule 12b-25(c) has been attached if applicable.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b w:val="1"/>
          <w:bCs w:val="1"/>
          <w:color w:val="auto"/>
        </w:rPr>
        <w:t>PART III--NARRATIVE</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State below in reasonable detail why Forms 10-K, 20-F, 11-K, 10-Q, N-SAR, N-CSR, or the transition report or portion thereof, could not be filed within the prescribed time period.</w:t>
      </w:r>
    </w:p>
    <w:p>
      <w:pPr>
        <w:spacing w:after="0" w:line="209" w:lineRule="exact"/>
        <w:rPr>
          <w:sz w:val="24"/>
          <w:szCs w:val="24"/>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The Quarterly Report on Form 10-Q of NN, Inc. (the "Company") for the period ended September 30, 2003 could not be filed on a timely basis without unreasonable effort or expense in light of the circumstances described below.</w:t>
      </w:r>
    </w:p>
    <w:p>
      <w:pPr>
        <w:sectPr>
          <w:pgSz w:w="11900" w:h="16857" w:orient="portrait"/>
          <w:cols w:equalWidth="0" w:num="1">
            <w:col w:w="10219"/>
          </w:cols>
          <w:pgMar w:left="240" w:top="447" w:right="1440" w:bottom="0" w:gutter="0" w:footer="0" w:header="0"/>
        </w:sectPr>
      </w:pPr>
    </w:p>
    <w:bookmarkStart w:id="1" w:name="page2"/>
    <w:bookmarkEnd w:id="1"/>
    <w:p>
      <w:pPr>
        <w:ind w:right="1679" w:firstLine="948"/>
        <w:spacing w:after="0" w:line="238" w:lineRule="auto"/>
        <w:rPr>
          <w:sz w:val="20"/>
          <w:szCs w:val="20"/>
          <w:color w:val="auto"/>
        </w:rPr>
      </w:pPr>
      <w:r>
        <w:rPr>
          <w:rFonts w:ascii="Courier New" w:cs="Courier New" w:eastAsia="Courier New" w:hAnsi="Courier New"/>
          <w:sz w:val="18"/>
          <w:szCs w:val="18"/>
          <w:color w:val="auto"/>
        </w:rPr>
        <w:t>In December 2002 the Company bought the minority interest of a shareholder in the Company's majority-owned subsidiary NN Euroball ApS and in June 2003 the Company bought the remaining minority interest in the same subsidiary from the other minority shareholder. Upon the advice of KPMG LLP ("KPMG"), the Company's then auditors, these transactions were reported in the Company's financial statements in its Form 10-K for the 2002 fiscal year and its Form 10-Q for the 2003 second fiscal quarter, respectively, as "Gain on purchase of minority interest." In August of 2003, the Company transitioned its audit services from KPMG to PricewaterhouseCoopers LLP ("PwC"). Following this transition, PwC has advised the Company that PwC may not agree with the position advised by KPMG regarding the accounting treatment of these two non-operating, non-recurring transactions. PwC has informed the Company that it has not completed its review of the Company's Form 10-Q for the 2003 third fiscal quarter because it needs additional information from KPMG in order to determine whether it can agree with KPMG's approach. The two accounting firms are presently working to resolve this issue. Until they do so, the Company is not able to file its third quarter 2003 Form 10-Q.</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PART IV--OTHER INFORMATION</w:t>
      </w:r>
    </w:p>
    <w:p>
      <w:pPr>
        <w:spacing w:after="0" w:line="4" w:lineRule="exact"/>
        <w:rPr>
          <w:sz w:val="20"/>
          <w:szCs w:val="20"/>
          <w:color w:val="auto"/>
        </w:rPr>
      </w:pPr>
    </w:p>
    <w:p>
      <w:pPr>
        <w:ind w:right="303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William C. Kelly, Jr.</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w:t>
      </w: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b w:val="1"/>
          <w:bCs w:val="1"/>
          <w:color w:val="auto"/>
        </w:rPr>
      </w:pPr>
      <w:r>
        <w:rPr>
          <w:rFonts w:ascii="Courier New" w:cs="Courier New" w:eastAsia="Courier New" w:hAnsi="Courier New"/>
          <w:sz w:val="18"/>
          <w:szCs w:val="18"/>
          <w:b w:val="1"/>
          <w:bCs w:val="1"/>
          <w:color w:val="auto"/>
        </w:rPr>
        <w:t>743-9151</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color w:val="auto"/>
        </w:rPr>
        <w:t>_________________________________________</w:t>
      </w:r>
    </w:p>
    <w:p>
      <w:pPr>
        <w:spacing w:after="0" w:line="238" w:lineRule="auto"/>
        <w:rPr>
          <w:rFonts w:ascii="Courier New" w:cs="Courier New" w:eastAsia="Courier New" w:hAnsi="Courier New"/>
          <w:sz w:val="18"/>
          <w:szCs w:val="18"/>
          <w:b w:val="1"/>
          <w:bCs w:val="1"/>
          <w:color w:val="auto"/>
        </w:rPr>
      </w:pPr>
      <w:r>
        <w:rPr>
          <w:rFonts w:ascii="Courier New" w:cs="Courier New" w:eastAsia="Courier New" w:hAnsi="Courier New"/>
          <w:sz w:val="18"/>
          <w:szCs w:val="18"/>
          <w:color w:val="auto"/>
        </w:rPr>
        <w:t>(Area Code) (Telephone Number)</w:t>
      </w:r>
    </w:p>
    <w:p>
      <w:pPr>
        <w:spacing w:after="0" w:line="4" w:lineRule="exact"/>
        <w:rPr>
          <w:rFonts w:ascii="Courier New" w:cs="Courier New" w:eastAsia="Courier New" w:hAnsi="Courier New"/>
          <w:sz w:val="18"/>
          <w:szCs w:val="18"/>
          <w:b w:val="1"/>
          <w:bCs w:val="1"/>
          <w:color w:val="auto"/>
        </w:rPr>
      </w:pPr>
    </w:p>
    <w:p>
      <w:pPr>
        <w:ind w:right="19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|X| Yes |_| No</w:t>
      </w:r>
    </w:p>
    <w:p>
      <w:pPr>
        <w:spacing w:after="0" w:line="209" w:lineRule="exact"/>
        <w:rPr>
          <w:sz w:val="20"/>
          <w:szCs w:val="20"/>
          <w:color w:val="auto"/>
        </w:rPr>
      </w:pPr>
    </w:p>
    <w:p>
      <w:pPr>
        <w:ind w:right="1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 anticipated that any significant change in results of operations from the corresponding period for the last fiscal year will be reflected by the earnings statements to be included in the subject report or portion thereof? |_| Yes |X| No</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ind w:left="2120"/>
        <w:spacing w:after="0" w:line="238" w:lineRule="auto"/>
        <w:rPr>
          <w:sz w:val="20"/>
          <w:szCs w:val="20"/>
          <w:color w:val="auto"/>
        </w:rPr>
      </w:pPr>
      <w:r>
        <w:rPr>
          <w:rFonts w:ascii="Courier New" w:cs="Courier New" w:eastAsia="Courier New" w:hAnsi="Courier New"/>
          <w:sz w:val="18"/>
          <w:szCs w:val="18"/>
          <w:color w:val="auto"/>
        </w:rPr>
        <w:t>_________________________________________</w:t>
      </w:r>
    </w:p>
    <w:p>
      <w:pPr>
        <w:ind w:left="1900"/>
        <w:spacing w:after="0"/>
        <w:rPr>
          <w:sz w:val="20"/>
          <w:szCs w:val="20"/>
          <w:color w:val="auto"/>
        </w:rPr>
      </w:pPr>
      <w:r>
        <w:rPr>
          <w:rFonts w:ascii="Courier New" w:cs="Courier New" w:eastAsia="Courier New" w:hAnsi="Courier New"/>
          <w:sz w:val="18"/>
          <w:szCs w:val="18"/>
          <w:color w:val="auto"/>
        </w:rPr>
        <w:t>(Name of Registrant as Specified in Charter)</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hereunto duly authorized.</w:t>
      </w:r>
    </w:p>
    <w:p>
      <w:pPr>
        <w:sectPr>
          <w:pgSz w:w="11900" w:h="16838" w:orient="portrait"/>
          <w:cols w:equalWidth="0" w:num="1">
            <w:col w:w="10219"/>
          </w:cols>
          <w:pgMar w:left="240" w:top="344"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17,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 William C. Kelly, Jr.</w:t>
      </w:r>
    </w:p>
    <w:p>
      <w:pPr>
        <w:ind w:left="320"/>
        <w:spacing w:after="0" w:line="238" w:lineRule="auto"/>
        <w:tabs>
          <w:tab w:leader="none" w:pos="12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Treasurer, Secretary and</w:t>
      </w:r>
    </w:p>
    <w:p>
      <w:pPr>
        <w:ind w:left="1460"/>
        <w:spacing w:after="0"/>
        <w:rPr>
          <w:sz w:val="20"/>
          <w:szCs w:val="20"/>
          <w:color w:val="auto"/>
        </w:rPr>
      </w:pPr>
      <w:r>
        <w:rPr>
          <w:rFonts w:ascii="Courier New" w:cs="Courier New" w:eastAsia="Courier New" w:hAnsi="Courier New"/>
          <w:sz w:val="18"/>
          <w:szCs w:val="18"/>
          <w:color w:val="auto"/>
        </w:rPr>
        <w:t>Chief Administrative Officer</w:t>
      </w:r>
    </w:p>
    <w:sectPr>
      <w:pgSz w:w="11900" w:h="16838" w:orient="portrait"/>
      <w:cols w:equalWidth="0" w:num="2">
        <w:col w:w="2980" w:space="720"/>
        <w:col w:w="65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40"/>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23"/>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2019-12-14T03:09:55Z</dcterms:created>
  <dcterms:modified xsi:type="dcterms:W3CDTF">2019-12-14T03:09:55Z</dcterms:modified>
</cp:coreProperties>
</file>