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66"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Corre Partners Management, LLC</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960" w:type="dxa"/>
            <w:vAlign w:val="bottom"/>
          </w:tcPr>
          <w:p>
            <w:pPr>
              <w:ind w:left="16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12 EAST 49TH STREET 40TH FLOOR</w:t>
            </w:r>
          </w:p>
        </w:tc>
      </w:tr>
      <w:tr>
        <w:trPr>
          <w:trHeight w:val="212"/>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NEW YORK</w:t>
            </w:r>
          </w:p>
        </w:tc>
        <w:tc>
          <w:tcPr>
            <w:tcW w:w="960" w:type="dxa"/>
            <w:vAlign w:val="bottom"/>
          </w:tcPr>
          <w:p>
            <w:pPr>
              <w:ind w:left="160"/>
              <w:spacing w:after="0"/>
              <w:rPr>
                <w:sz w:val="20"/>
                <w:szCs w:val="20"/>
                <w:color w:val="auto"/>
              </w:rPr>
            </w:pPr>
            <w:r>
              <w:rPr>
                <w:rFonts w:ascii="Arial" w:cs="Arial" w:eastAsia="Arial" w:hAnsi="Arial"/>
                <w:sz w:val="18"/>
                <w:szCs w:val="18"/>
                <w:color w:val="0000FF"/>
              </w:rPr>
              <w:t>NY</w:t>
            </w:r>
          </w:p>
        </w:tc>
        <w:tc>
          <w:tcPr>
            <w:tcW w:w="160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NNBR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3840" w:type="dxa"/>
            <w:vAlign w:val="bottom"/>
            <w:gridSpan w:val="4"/>
          </w:tcPr>
          <w:p>
            <w:pPr>
              <w:ind w:left="80"/>
              <w:spacing w:after="0"/>
              <w:rPr>
                <w:sz w:val="20"/>
                <w:szCs w:val="20"/>
                <w:color w:val="auto"/>
              </w:rPr>
            </w:pPr>
            <w:r>
              <w:rPr>
                <w:rFonts w:ascii="Arial" w:cs="Arial" w:eastAsia="Arial" w:hAnsi="Arial"/>
                <w:sz w:val="18"/>
                <w:szCs w:val="18"/>
                <w:color w:val="0000FF"/>
              </w:rPr>
              <w:t>05/17/2023</w:t>
            </w: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0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66"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gridSpan w:val="3"/>
          </w:tcPr>
          <w:p>
            <w:pPr>
              <w:ind w:left="22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20" w:type="dxa"/>
            <w:vAlign w:val="bottom"/>
            <w:gridSpan w:val="6"/>
          </w:tcPr>
          <w:p>
            <w:pPr>
              <w:ind w:left="220"/>
              <w:spacing w:after="0" w:line="136"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2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5"/>
          </w:tcPr>
          <w:p>
            <w:pPr>
              <w:ind w:left="20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ind w:right="13"/>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5"/>
          </w:tcPr>
          <w:p>
            <w:pPr>
              <w:ind w:left="60"/>
              <w:spacing w:after="0"/>
              <w:rPr>
                <w:sz w:val="20"/>
                <w:szCs w:val="20"/>
                <w:color w:val="auto"/>
              </w:rPr>
            </w:pPr>
            <w:r>
              <w:rPr>
                <w:rFonts w:ascii="Arial" w:cs="Arial" w:eastAsia="Arial" w:hAnsi="Arial"/>
                <w:sz w:val="18"/>
                <w:szCs w:val="18"/>
                <w:color w:val="0000FF"/>
                <w:w w:val="90"/>
              </w:rPr>
              <w:t>Common Stock, par value $0.01 per</w:t>
            </w:r>
          </w:p>
        </w:tc>
        <w:tc>
          <w:tcPr>
            <w:tcW w:w="1140" w:type="dxa"/>
            <w:vAlign w:val="bottom"/>
            <w:gridSpan w:val="3"/>
            <w:vMerge w:val="restart"/>
          </w:tcPr>
          <w:p>
            <w:pPr>
              <w:ind w:left="300"/>
              <w:spacing w:after="0"/>
              <w:rPr>
                <w:sz w:val="20"/>
                <w:szCs w:val="20"/>
                <w:color w:val="auto"/>
              </w:rPr>
            </w:pPr>
            <w:r>
              <w:rPr>
                <w:rFonts w:ascii="Arial" w:cs="Arial" w:eastAsia="Arial" w:hAnsi="Arial"/>
                <w:sz w:val="18"/>
                <w:szCs w:val="18"/>
                <w:color w:val="0000FF"/>
                <w:w w:val="90"/>
              </w:rPr>
              <w:t>05/17/2023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840" w:type="dxa"/>
            <w:vAlign w:val="bottom"/>
            <w:vMerge w:val="restart"/>
          </w:tcPr>
          <w:p>
            <w:pPr>
              <w:jc w:val="right"/>
              <w:ind w:right="128"/>
              <w:spacing w:after="0"/>
              <w:rPr>
                <w:sz w:val="20"/>
                <w:szCs w:val="20"/>
                <w:color w:val="auto"/>
              </w:rPr>
            </w:pPr>
            <w:r>
              <w:rPr>
                <w:rFonts w:ascii="Arial" w:cs="Arial" w:eastAsia="Arial" w:hAnsi="Arial"/>
                <w:sz w:val="18"/>
                <w:szCs w:val="18"/>
                <w:color w:val="0000FF"/>
              </w:rPr>
              <w:t>35,000</w:t>
            </w:r>
          </w:p>
        </w:tc>
        <w:tc>
          <w:tcPr>
            <w:tcW w:w="440" w:type="dxa"/>
            <w:vAlign w:val="bottom"/>
            <w:vMerge w:val="restart"/>
          </w:tcPr>
          <w:p>
            <w:pPr>
              <w:jc w:val="center"/>
              <w:ind w:right="13"/>
              <w:spacing w:after="0"/>
              <w:rPr>
                <w:sz w:val="20"/>
                <w:szCs w:val="20"/>
                <w:color w:val="auto"/>
              </w:rPr>
            </w:pPr>
            <w:r>
              <w:rPr>
                <w:rFonts w:ascii="Arial" w:cs="Arial" w:eastAsia="Arial" w:hAnsi="Arial"/>
                <w:sz w:val="18"/>
                <w:szCs w:val="18"/>
                <w:color w:val="0000FF"/>
                <w:w w:val="99"/>
              </w:rPr>
              <w:t>A</w:t>
            </w:r>
          </w:p>
        </w:tc>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1.2499</w:t>
            </w:r>
            <w:r>
              <w:rPr>
                <w:rFonts w:ascii="Arial" w:cs="Arial" w:eastAsia="Arial" w:hAnsi="Arial"/>
                <w:sz w:val="22"/>
                <w:szCs w:val="22"/>
                <w:color w:val="008000"/>
                <w:w w:val="86"/>
                <w:vertAlign w:val="superscript"/>
              </w:rPr>
              <w:t>(1)</w:t>
            </w: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5,659,427</w:t>
            </w:r>
          </w:p>
        </w:tc>
        <w:tc>
          <w:tcPr>
            <w:tcW w:w="340" w:type="dxa"/>
            <w:vAlign w:val="bottom"/>
          </w:tcPr>
          <w:p>
            <w:pPr>
              <w:spacing w:after="0"/>
              <w:rPr>
                <w:sz w:val="22"/>
                <w:szCs w:val="22"/>
                <w:color w:val="auto"/>
              </w:rPr>
            </w:pPr>
          </w:p>
        </w:tc>
        <w:tc>
          <w:tcPr>
            <w:tcW w:w="50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5"/>
          </w:tcPr>
          <w:p>
            <w:pPr>
              <w:ind w:left="60"/>
              <w:spacing w:after="0"/>
              <w:rPr>
                <w:sz w:val="20"/>
                <w:szCs w:val="20"/>
                <w:color w:val="auto"/>
              </w:rPr>
            </w:pPr>
            <w:r>
              <w:rPr>
                <w:rFonts w:ascii="Arial" w:cs="Arial" w:eastAsia="Arial" w:hAnsi="Arial"/>
                <w:sz w:val="18"/>
                <w:szCs w:val="18"/>
                <w:color w:val="0000FF"/>
                <w:w w:val="90"/>
              </w:rPr>
              <w:t>Common Stock, par value $0.01 per</w:t>
            </w:r>
          </w:p>
        </w:tc>
        <w:tc>
          <w:tcPr>
            <w:tcW w:w="1140" w:type="dxa"/>
            <w:vAlign w:val="bottom"/>
            <w:gridSpan w:val="3"/>
            <w:vMerge w:val="restart"/>
          </w:tcPr>
          <w:p>
            <w:pPr>
              <w:ind w:left="300"/>
              <w:spacing w:after="0"/>
              <w:rPr>
                <w:sz w:val="20"/>
                <w:szCs w:val="20"/>
                <w:color w:val="auto"/>
              </w:rPr>
            </w:pPr>
            <w:r>
              <w:rPr>
                <w:rFonts w:ascii="Arial" w:cs="Arial" w:eastAsia="Arial" w:hAnsi="Arial"/>
                <w:sz w:val="18"/>
                <w:szCs w:val="18"/>
                <w:color w:val="0000FF"/>
                <w:w w:val="90"/>
              </w:rPr>
              <w:t>05/18/2023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840" w:type="dxa"/>
            <w:vAlign w:val="bottom"/>
            <w:vMerge w:val="restart"/>
          </w:tcPr>
          <w:p>
            <w:pPr>
              <w:jc w:val="right"/>
              <w:ind w:right="128"/>
              <w:spacing w:after="0"/>
              <w:rPr>
                <w:sz w:val="20"/>
                <w:szCs w:val="20"/>
                <w:color w:val="auto"/>
              </w:rPr>
            </w:pPr>
            <w:r>
              <w:rPr>
                <w:rFonts w:ascii="Arial" w:cs="Arial" w:eastAsia="Arial" w:hAnsi="Arial"/>
                <w:sz w:val="18"/>
                <w:szCs w:val="18"/>
                <w:color w:val="0000FF"/>
              </w:rPr>
              <w:t>30,000</w:t>
            </w:r>
          </w:p>
        </w:tc>
        <w:tc>
          <w:tcPr>
            <w:tcW w:w="440" w:type="dxa"/>
            <w:vAlign w:val="bottom"/>
            <w:vMerge w:val="restart"/>
          </w:tcPr>
          <w:p>
            <w:pPr>
              <w:jc w:val="center"/>
              <w:ind w:right="13"/>
              <w:spacing w:after="0"/>
              <w:rPr>
                <w:sz w:val="20"/>
                <w:szCs w:val="20"/>
                <w:color w:val="auto"/>
              </w:rPr>
            </w:pPr>
            <w:r>
              <w:rPr>
                <w:rFonts w:ascii="Arial" w:cs="Arial" w:eastAsia="Arial" w:hAnsi="Arial"/>
                <w:sz w:val="18"/>
                <w:szCs w:val="18"/>
                <w:color w:val="0000FF"/>
                <w:w w:val="99"/>
              </w:rPr>
              <w:t>A</w:t>
            </w:r>
          </w:p>
        </w:tc>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1.2392</w:t>
            </w:r>
            <w:r>
              <w:rPr>
                <w:rFonts w:ascii="Arial" w:cs="Arial" w:eastAsia="Arial" w:hAnsi="Arial"/>
                <w:sz w:val="22"/>
                <w:szCs w:val="22"/>
                <w:color w:val="008000"/>
                <w:w w:val="86"/>
                <w:vertAlign w:val="superscript"/>
              </w:rPr>
              <w:t>(3)</w:t>
            </w: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5,689,427</w:t>
            </w:r>
          </w:p>
        </w:tc>
        <w:tc>
          <w:tcPr>
            <w:tcW w:w="340" w:type="dxa"/>
            <w:vAlign w:val="bottom"/>
          </w:tcPr>
          <w:p>
            <w:pPr>
              <w:spacing w:after="0"/>
              <w:rPr>
                <w:sz w:val="22"/>
                <w:szCs w:val="22"/>
                <w:color w:val="auto"/>
              </w:rPr>
            </w:pPr>
          </w:p>
        </w:tc>
        <w:tc>
          <w:tcPr>
            <w:tcW w:w="50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5"/>
          </w:tcPr>
          <w:p>
            <w:pPr>
              <w:ind w:left="60"/>
              <w:spacing w:after="0"/>
              <w:rPr>
                <w:sz w:val="20"/>
                <w:szCs w:val="20"/>
                <w:color w:val="auto"/>
              </w:rPr>
            </w:pPr>
            <w:r>
              <w:rPr>
                <w:rFonts w:ascii="Arial" w:cs="Arial" w:eastAsia="Arial" w:hAnsi="Arial"/>
                <w:sz w:val="18"/>
                <w:szCs w:val="18"/>
                <w:color w:val="0000FF"/>
                <w:w w:val="90"/>
              </w:rPr>
              <w:t>Common Stock, par value $0.01 per</w:t>
            </w:r>
          </w:p>
        </w:tc>
        <w:tc>
          <w:tcPr>
            <w:tcW w:w="1140" w:type="dxa"/>
            <w:vAlign w:val="bottom"/>
            <w:gridSpan w:val="3"/>
            <w:vMerge w:val="restart"/>
          </w:tcPr>
          <w:p>
            <w:pPr>
              <w:ind w:left="300"/>
              <w:spacing w:after="0"/>
              <w:rPr>
                <w:sz w:val="20"/>
                <w:szCs w:val="20"/>
                <w:color w:val="auto"/>
              </w:rPr>
            </w:pPr>
            <w:r>
              <w:rPr>
                <w:rFonts w:ascii="Arial" w:cs="Arial" w:eastAsia="Arial" w:hAnsi="Arial"/>
                <w:sz w:val="18"/>
                <w:szCs w:val="18"/>
                <w:color w:val="0000FF"/>
                <w:w w:val="90"/>
              </w:rPr>
              <w:t>05/19/2023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840" w:type="dxa"/>
            <w:vAlign w:val="bottom"/>
            <w:vMerge w:val="restart"/>
          </w:tcPr>
          <w:p>
            <w:pPr>
              <w:jc w:val="right"/>
              <w:ind w:right="128"/>
              <w:spacing w:after="0"/>
              <w:rPr>
                <w:sz w:val="20"/>
                <w:szCs w:val="20"/>
                <w:color w:val="auto"/>
              </w:rPr>
            </w:pPr>
            <w:r>
              <w:rPr>
                <w:rFonts w:ascii="Arial" w:cs="Arial" w:eastAsia="Arial" w:hAnsi="Arial"/>
                <w:sz w:val="18"/>
                <w:szCs w:val="18"/>
                <w:color w:val="0000FF"/>
              </w:rPr>
              <w:t>25,000</w:t>
            </w:r>
          </w:p>
        </w:tc>
        <w:tc>
          <w:tcPr>
            <w:tcW w:w="440" w:type="dxa"/>
            <w:vAlign w:val="bottom"/>
            <w:vMerge w:val="restart"/>
          </w:tcPr>
          <w:p>
            <w:pPr>
              <w:jc w:val="center"/>
              <w:ind w:right="13"/>
              <w:spacing w:after="0"/>
              <w:rPr>
                <w:sz w:val="20"/>
                <w:szCs w:val="20"/>
                <w:color w:val="auto"/>
              </w:rPr>
            </w:pPr>
            <w:r>
              <w:rPr>
                <w:rFonts w:ascii="Arial" w:cs="Arial" w:eastAsia="Arial" w:hAnsi="Arial"/>
                <w:sz w:val="18"/>
                <w:szCs w:val="18"/>
                <w:color w:val="0000FF"/>
                <w:w w:val="99"/>
              </w:rPr>
              <w:t>A</w:t>
            </w:r>
          </w:p>
        </w:tc>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1.246</w:t>
            </w:r>
            <w:r>
              <w:rPr>
                <w:rFonts w:ascii="Arial" w:cs="Arial" w:eastAsia="Arial" w:hAnsi="Arial"/>
                <w:sz w:val="22"/>
                <w:szCs w:val="22"/>
                <w:color w:val="008000"/>
                <w:w w:val="84"/>
                <w:vertAlign w:val="superscript"/>
              </w:rPr>
              <w:t>(4)</w:t>
            </w: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5,714,427</w:t>
            </w:r>
          </w:p>
        </w:tc>
        <w:tc>
          <w:tcPr>
            <w:tcW w:w="340" w:type="dxa"/>
            <w:vAlign w:val="bottom"/>
          </w:tcPr>
          <w:p>
            <w:pPr>
              <w:spacing w:after="0"/>
              <w:rPr>
                <w:sz w:val="22"/>
                <w:szCs w:val="22"/>
                <w:color w:val="auto"/>
              </w:rPr>
            </w:pPr>
          </w:p>
        </w:tc>
        <w:tc>
          <w:tcPr>
            <w:tcW w:w="50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5"/>
          </w:tcPr>
          <w:p>
            <w:pPr>
              <w:ind w:left="60"/>
              <w:spacing w:after="0"/>
              <w:rPr>
                <w:sz w:val="20"/>
                <w:szCs w:val="20"/>
                <w:color w:val="auto"/>
              </w:rPr>
            </w:pPr>
            <w:r>
              <w:rPr>
                <w:rFonts w:ascii="Arial" w:cs="Arial" w:eastAsia="Arial" w:hAnsi="Arial"/>
                <w:sz w:val="18"/>
                <w:szCs w:val="18"/>
                <w:color w:val="0000FF"/>
                <w:w w:val="90"/>
              </w:rPr>
              <w:t>Common Stock, par value $0.01 per</w:t>
            </w: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905,735</w:t>
            </w:r>
          </w:p>
        </w:tc>
        <w:tc>
          <w:tcPr>
            <w:tcW w:w="340" w:type="dxa"/>
            <w:vAlign w:val="bottom"/>
          </w:tcPr>
          <w:p>
            <w:pPr>
              <w:spacing w:after="0"/>
              <w:rPr>
                <w:sz w:val="22"/>
                <w:szCs w:val="22"/>
                <w:color w:val="auto"/>
              </w:rPr>
            </w:pPr>
          </w:p>
        </w:tc>
        <w:tc>
          <w:tcPr>
            <w:tcW w:w="50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4120" w:type="dxa"/>
            <w:vAlign w:val="bottom"/>
            <w:tcBorders>
              <w:bottom w:val="single" w:sz="8" w:color="2C2C2C"/>
            </w:tcBorders>
            <w:gridSpan w:val="8"/>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7"/>
          </w:tcPr>
          <w:p>
            <w:pPr>
              <w:jc w:val="center"/>
              <w:ind w:left="29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96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2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1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Transaction</w:t>
            </w:r>
          </w:p>
        </w:tc>
        <w:tc>
          <w:tcPr>
            <w:tcW w:w="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240"/>
              <w:spacing w:after="0" w:line="136"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240"/>
              <w:spacing w:after="0" w:line="136"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6"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08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108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108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40"/>
              <w:spacing w:after="0" w:line="136"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Code   V</w:t>
            </w: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3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Corre Partners Management, LLC</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40" w:type="dxa"/>
            <w:vAlign w:val="bottom"/>
            <w:gridSpan w:val="3"/>
          </w:tcPr>
          <w:p>
            <w:pPr>
              <w:ind w:left="220"/>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Arial" w:cs="Arial" w:eastAsia="Arial" w:hAnsi="Arial"/>
                <w:sz w:val="18"/>
                <w:szCs w:val="18"/>
                <w:color w:val="0000FF"/>
              </w:rPr>
              <w:t>12 EAST 49TH STREET 40TH FLOOR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10017</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40" w:type="dxa"/>
            <w:vAlign w:val="bottom"/>
            <w:gridSpan w:val="3"/>
          </w:tcPr>
          <w:p>
            <w:pPr>
              <w:ind w:left="220"/>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4" w:lineRule="exact"/>
              <w:rPr>
                <w:rFonts w:ascii="Arial" w:cs="Arial" w:eastAsia="Arial" w:hAnsi="Arial"/>
                <w:sz w:val="22"/>
                <w:szCs w:val="22"/>
                <w:color w:val="0000EE"/>
                <w:w w:val="91"/>
              </w:rPr>
            </w:pPr>
            <w:hyperlink r:id="rId14">
              <w:r>
                <w:rPr>
                  <w:rFonts w:ascii="Arial" w:cs="Arial" w:eastAsia="Arial" w:hAnsi="Arial"/>
                  <w:sz w:val="22"/>
                  <w:szCs w:val="22"/>
                  <w:color w:val="0000EE"/>
                  <w:w w:val="91"/>
                </w:rPr>
                <w:t>Corre Partners Advisors LLC</w:t>
              </w:r>
            </w:hyperlink>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40" w:type="dxa"/>
            <w:vAlign w:val="bottom"/>
            <w:gridSpan w:val="3"/>
          </w:tcPr>
          <w:p>
            <w:pPr>
              <w:ind w:left="220"/>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-4252595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12 EAST 49TH STREET 40TH FLOOR</w:t>
      </w:r>
    </w:p>
    <w:p>
      <w:pPr>
        <w:sectPr>
          <w:pgSz w:w="11900" w:h="16866" w:orient="portrait"/>
          <w:cols w:equalWidth="0" w:num="1">
            <w:col w:w="11080"/>
          </w:cols>
          <w:pgMar w:left="460" w:top="226" w:right="359" w:bottom="0" w:gutter="0" w:footer="0" w:header="0"/>
          <w:type w:val="continuous"/>
        </w:sectPr>
      </w:pPr>
    </w:p>
    <w:p>
      <w:pPr>
        <w:spacing w:after="0" w:line="345"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66" w:orient="portrait"/>
          <w:cols w:equalWidth="0" w:num="1">
            <w:col w:w="11080"/>
          </w:cols>
          <w:pgMar w:left="460" w:top="226" w:right="359" w:bottom="0"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223"/>
        </w:trPr>
        <w:tc>
          <w:tcPr>
            <w:tcW w:w="118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20"/>
              <w:spacing w:after="0"/>
              <w:rPr>
                <w:sz w:val="20"/>
                <w:szCs w:val="20"/>
                <w:color w:val="auto"/>
              </w:rPr>
            </w:pPr>
            <w:r>
              <w:rPr>
                <w:rFonts w:ascii="Arial" w:cs="Arial" w:eastAsia="Arial" w:hAnsi="Arial"/>
                <w:sz w:val="18"/>
                <w:szCs w:val="18"/>
                <w:color w:val="0000FF"/>
              </w:rPr>
              <w:t>NY</w:t>
            </w:r>
          </w:p>
        </w:tc>
        <w:tc>
          <w:tcPr>
            <w:tcW w:w="1840" w:type="dxa"/>
            <w:vAlign w:val="bottom"/>
          </w:tcPr>
          <w:p>
            <w:pPr>
              <w:ind w:left="480"/>
              <w:spacing w:after="0"/>
              <w:rPr>
                <w:sz w:val="20"/>
                <w:szCs w:val="20"/>
                <w:color w:val="auto"/>
              </w:rPr>
            </w:pPr>
            <w:r>
              <w:rPr>
                <w:rFonts w:ascii="Arial" w:cs="Arial" w:eastAsia="Arial" w:hAnsi="Arial"/>
                <w:sz w:val="18"/>
                <w:szCs w:val="18"/>
                <w:color w:val="0000FF"/>
              </w:rPr>
              <w:t>10017</w:t>
            </w:r>
          </w:p>
        </w:tc>
      </w:tr>
      <w:tr>
        <w:trPr>
          <w:trHeight w:val="158"/>
        </w:trPr>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10"/>
        </w:trPr>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20"/>
              <w:spacing w:after="0"/>
              <w:rPr>
                <w:sz w:val="20"/>
                <w:szCs w:val="20"/>
                <w:color w:val="auto"/>
              </w:rPr>
            </w:pPr>
            <w:r>
              <w:rPr>
                <w:rFonts w:ascii="Arial" w:cs="Arial" w:eastAsia="Arial" w:hAnsi="Arial"/>
                <w:sz w:val="14"/>
                <w:szCs w:val="14"/>
                <w:color w:val="auto"/>
              </w:rPr>
              <w:t>(State)</w:t>
            </w:r>
          </w:p>
        </w:tc>
        <w:tc>
          <w:tcPr>
            <w:tcW w:w="1840" w:type="dxa"/>
            <w:vAlign w:val="bottom"/>
          </w:tcPr>
          <w:p>
            <w:pPr>
              <w:ind w:left="4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2798445" cy="5858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8445" cy="585851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19"/>
          <w:szCs w:val="19"/>
          <w:u w:val="single" w:color="auto"/>
          <w:color w:val="0000EE"/>
        </w:rPr>
      </w:pPr>
      <w:hyperlink r:id="rId17">
        <w:r>
          <w:rPr>
            <w:rFonts w:ascii="Arial" w:cs="Arial" w:eastAsia="Arial" w:hAnsi="Arial"/>
            <w:sz w:val="19"/>
            <w:szCs w:val="19"/>
            <w:u w:val="single" w:color="auto"/>
            <w:color w:val="0000EE"/>
          </w:rPr>
          <w:t>Corre Opportunities Qualified Master Fund, LP</w:t>
        </w:r>
      </w:hyperlink>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0000FF"/>
              </w:rPr>
              <w:t>12 EAST 49TH STREET 40TH FLOOR</w:t>
            </w:r>
          </w:p>
        </w:tc>
      </w:tr>
      <w:tr>
        <w:trPr>
          <w:trHeight w:val="212"/>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NEW YORK</w:t>
            </w:r>
          </w:p>
        </w:tc>
        <w:tc>
          <w:tcPr>
            <w:tcW w:w="1500" w:type="dxa"/>
            <w:vAlign w:val="bottom"/>
            <w:gridSpan w:val="2"/>
          </w:tcPr>
          <w:p>
            <w:pPr>
              <w:ind w:left="220"/>
              <w:spacing w:after="0"/>
              <w:rPr>
                <w:sz w:val="20"/>
                <w:szCs w:val="20"/>
                <w:color w:val="auto"/>
              </w:rPr>
            </w:pPr>
            <w:r>
              <w:rPr>
                <w:rFonts w:ascii="Arial" w:cs="Arial" w:eastAsia="Arial" w:hAnsi="Arial"/>
                <w:sz w:val="18"/>
                <w:szCs w:val="18"/>
                <w:color w:val="0000FF"/>
              </w:rPr>
              <w:t>NY</w:t>
            </w:r>
          </w:p>
        </w:tc>
        <w:tc>
          <w:tcPr>
            <w:tcW w:w="1480" w:type="dxa"/>
            <w:vAlign w:val="bottom"/>
          </w:tcPr>
          <w:p>
            <w:pPr>
              <w:ind w:left="120"/>
              <w:spacing w:after="0"/>
              <w:rPr>
                <w:sz w:val="20"/>
                <w:szCs w:val="20"/>
                <w:color w:val="auto"/>
              </w:rPr>
            </w:pPr>
            <w:r>
              <w:rPr>
                <w:rFonts w:ascii="Arial" w:cs="Arial" w:eastAsia="Arial" w:hAnsi="Arial"/>
                <w:sz w:val="18"/>
                <w:szCs w:val="18"/>
                <w:color w:val="0000FF"/>
              </w:rPr>
              <w:t>10017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76"/>
        </w:trPr>
        <w:tc>
          <w:tcPr>
            <w:tcW w:w="278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4"/>
        </w:trPr>
        <w:tc>
          <w:tcPr>
            <w:tcW w:w="100" w:type="dxa"/>
            <w:vAlign w:val="bottom"/>
          </w:tcPr>
          <w:p>
            <w:pPr>
              <w:spacing w:after="0"/>
              <w:rPr>
                <w:sz w:val="19"/>
                <w:szCs w:val="19"/>
                <w:color w:val="auto"/>
              </w:rPr>
            </w:pPr>
          </w:p>
        </w:tc>
        <w:tc>
          <w:tcPr>
            <w:tcW w:w="2680" w:type="dxa"/>
            <w:vAlign w:val="bottom"/>
            <w:gridSpan w:val="3"/>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Barrett John Frederick</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CORRE PARTNERS MANAGEMENT, LLC</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12 EAST 49TH STREET, 40TH FLOOR</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NEW YORK</w:t>
            </w:r>
          </w:p>
        </w:tc>
        <w:tc>
          <w:tcPr>
            <w:tcW w:w="1500" w:type="dxa"/>
            <w:vAlign w:val="bottom"/>
            <w:gridSpan w:val="2"/>
          </w:tcPr>
          <w:p>
            <w:pPr>
              <w:ind w:left="220"/>
              <w:spacing w:after="0"/>
              <w:rPr>
                <w:sz w:val="20"/>
                <w:szCs w:val="20"/>
                <w:color w:val="auto"/>
              </w:rPr>
            </w:pPr>
            <w:r>
              <w:rPr>
                <w:rFonts w:ascii="Arial" w:cs="Arial" w:eastAsia="Arial" w:hAnsi="Arial"/>
                <w:sz w:val="18"/>
                <w:szCs w:val="18"/>
                <w:color w:val="0000FF"/>
              </w:rPr>
              <w:t>NY</w:t>
            </w:r>
          </w:p>
        </w:tc>
        <w:tc>
          <w:tcPr>
            <w:tcW w:w="1480" w:type="dxa"/>
            <w:vAlign w:val="bottom"/>
          </w:tcPr>
          <w:p>
            <w:pPr>
              <w:ind w:left="120"/>
              <w:spacing w:after="0"/>
              <w:rPr>
                <w:sz w:val="20"/>
                <w:szCs w:val="20"/>
                <w:color w:val="auto"/>
              </w:rPr>
            </w:pPr>
            <w:r>
              <w:rPr>
                <w:rFonts w:ascii="Arial" w:cs="Arial" w:eastAsia="Arial" w:hAnsi="Arial"/>
                <w:sz w:val="18"/>
                <w:szCs w:val="18"/>
                <w:color w:val="0000FF"/>
              </w:rPr>
              <w:t>10017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8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80" w:type="dxa"/>
            <w:vAlign w:val="bottom"/>
            <w:gridSpan w:val="3"/>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Soderlund Eric Hjalmar</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CORRE PARTNERS MANAGEMENT, LLC</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12 EAST 49TH STREET 40TH FLOOR</w:t>
      </w:r>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20"/>
              <w:spacing w:after="0"/>
              <w:rPr>
                <w:sz w:val="20"/>
                <w:szCs w:val="20"/>
                <w:color w:val="auto"/>
              </w:rPr>
            </w:pPr>
            <w:r>
              <w:rPr>
                <w:rFonts w:ascii="Arial" w:cs="Arial" w:eastAsia="Arial" w:hAnsi="Arial"/>
                <w:sz w:val="18"/>
                <w:szCs w:val="18"/>
                <w:color w:val="0000FF"/>
              </w:rPr>
              <w:t>NY</w:t>
            </w:r>
          </w:p>
        </w:tc>
        <w:tc>
          <w:tcPr>
            <w:tcW w:w="1840" w:type="dxa"/>
            <w:vAlign w:val="bottom"/>
          </w:tcPr>
          <w:p>
            <w:pPr>
              <w:ind w:left="48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20"/>
              <w:spacing w:after="0"/>
              <w:rPr>
                <w:sz w:val="20"/>
                <w:szCs w:val="20"/>
                <w:color w:val="auto"/>
              </w:rPr>
            </w:pPr>
            <w:r>
              <w:rPr>
                <w:rFonts w:ascii="Arial" w:cs="Arial" w:eastAsia="Arial" w:hAnsi="Arial"/>
                <w:sz w:val="14"/>
                <w:szCs w:val="14"/>
                <w:color w:val="auto"/>
              </w:rPr>
              <w:t>(State)</w:t>
            </w:r>
          </w:p>
        </w:tc>
        <w:tc>
          <w:tcPr>
            <w:tcW w:w="1840" w:type="dxa"/>
            <w:vAlign w:val="bottom"/>
          </w:tcPr>
          <w:p>
            <w:pPr>
              <w:ind w:left="480"/>
              <w:spacing w:after="0"/>
              <w:rPr>
                <w:sz w:val="20"/>
                <w:szCs w:val="20"/>
                <w:color w:val="auto"/>
              </w:rPr>
            </w:pPr>
            <w:r>
              <w:rPr>
                <w:rFonts w:ascii="Arial" w:cs="Arial" w:eastAsia="Arial" w:hAnsi="Arial"/>
                <w:sz w:val="14"/>
                <w:szCs w:val="14"/>
                <w:color w:val="auto"/>
              </w:rPr>
              <w:t>(Zip)</w:t>
            </w:r>
          </w:p>
        </w:tc>
      </w:tr>
    </w:tbl>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20" w:firstLine="9"/>
        <w:spacing w:after="0" w:line="233" w:lineRule="auto"/>
        <w:tabs>
          <w:tab w:leader="none" w:pos="15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within the range of $1.24 to $1.25.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31" w:lineRule="exact"/>
        <w:rPr>
          <w:rFonts w:ascii="Arial" w:cs="Arial" w:eastAsia="Arial" w:hAnsi="Arial"/>
          <w:sz w:val="14"/>
          <w:szCs w:val="14"/>
          <w:color w:val="008000"/>
        </w:rPr>
      </w:pPr>
    </w:p>
    <w:p>
      <w:pPr>
        <w:ind w:left="20" w:right="60" w:firstLine="9"/>
        <w:spacing w:after="0" w:line="273"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12" w:lineRule="exact"/>
        <w:rPr>
          <w:rFonts w:ascii="Arial" w:cs="Arial" w:eastAsia="Arial" w:hAnsi="Arial"/>
          <w:sz w:val="12"/>
          <w:szCs w:val="12"/>
          <w:color w:val="008000"/>
        </w:rPr>
      </w:pPr>
    </w:p>
    <w:p>
      <w:pPr>
        <w:ind w:left="20" w:firstLine="9"/>
        <w:spacing w:after="0" w:line="233" w:lineRule="auto"/>
        <w:tabs>
          <w:tab w:leader="none" w:pos="15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within the range of $1.23 to $1.25.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31" w:lineRule="exact"/>
        <w:rPr>
          <w:rFonts w:ascii="Arial" w:cs="Arial" w:eastAsia="Arial" w:hAnsi="Arial"/>
          <w:sz w:val="14"/>
          <w:szCs w:val="14"/>
          <w:color w:val="008000"/>
        </w:rPr>
      </w:pPr>
    </w:p>
    <w:p>
      <w:pPr>
        <w:ind w:left="20" w:firstLine="9"/>
        <w:spacing w:after="0" w:line="233" w:lineRule="auto"/>
        <w:tabs>
          <w:tab w:leader="none" w:pos="15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within the range of $1.23 to $1.25.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31" w:lineRule="exact"/>
        <w:rPr>
          <w:rFonts w:ascii="Arial" w:cs="Arial" w:eastAsia="Arial" w:hAnsi="Arial"/>
          <w:sz w:val="14"/>
          <w:szCs w:val="14"/>
          <w:color w:val="008000"/>
        </w:rPr>
      </w:pPr>
    </w:p>
    <w:p>
      <w:pPr>
        <w:ind w:left="20" w:right="120" w:firstLine="9"/>
        <w:spacing w:after="0" w:line="27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securities are directly owned by Corre Horizon Fund, LP (the "Partnership"). The reported securities may be deemed beneficially owned by Corre, the investment manager of the Partnership, Corre GP, the general partner of the Partnership,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ectPr>
          <w:pgSz w:w="11900" w:h="16838" w:orient="portrait"/>
          <w:cols w:equalWidth="0" w:num="1">
            <w:col w:w="10780"/>
          </w:cols>
          <w:pgMar w:left="480" w:top="172" w:right="639" w:bottom="0" w:gutter="0" w:footer="0" w:header="0"/>
        </w:sectPr>
      </w:pPr>
    </w:p>
    <w:p>
      <w:pPr>
        <w:spacing w:after="0" w:line="3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Corre Partners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0</wp:posOffset>
            </wp:positionV>
            <wp:extent cx="1285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19"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LLC, /s/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100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0045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8585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858520"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Corre Partners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11004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10045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LLC, /s/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1004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0045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8585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858520"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Corre Opportunities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0</wp:posOffset>
            </wp:positionV>
            <wp:extent cx="13449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44930" cy="8890"/>
                    </a:xfrm>
                    <a:prstGeom prst="rect">
                      <a:avLst/>
                    </a:prstGeom>
                    <a:noFill/>
                  </pic:spPr>
                </pic:pic>
              </a:graphicData>
            </a:graphic>
          </wp:anchor>
        </w:drawing>
      </w:r>
    </w:p>
    <w:p>
      <w:pPr>
        <w:spacing w:after="0" w:line="1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Master Fund, LP, By: Corre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401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4015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Partners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185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1856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general partner,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0426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04267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Soderlund,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671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6710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3778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 John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6819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681990" cy="8890"/>
                    </a:xfrm>
                    <a:prstGeom prst="rect">
                      <a:avLst/>
                    </a:prstGeom>
                    <a:noFill/>
                  </pic:spPr>
                </pic:pic>
              </a:graphicData>
            </a:graphic>
          </wp:anchor>
        </w:drawing>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058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41"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05/19/2023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05/19/2023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05/19/2023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0000FF"/>
        </w:rPr>
        <w:t>05/19/2023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05/19/2023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ectPr>
          <w:pgSz w:w="11900" w:h="16838" w:orient="portrait"/>
          <w:cols w:equalWidth="0" w:num="2">
            <w:col w:w="8680" w:space="80"/>
            <w:col w:w="2020"/>
          </w:cols>
          <w:pgMar w:left="480" w:top="172" w:right="639" w:bottom="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38"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12" Type="http://schemas.openxmlformats.org/officeDocument/2006/relationships/hyperlink" Target="http://www.sec.gov/cgi-bin/browse-edgar?action=getcompany&amp;CIK=0001537323" TargetMode="External"/><Relationship Id="rId13" Type="http://schemas.openxmlformats.org/officeDocument/2006/relationships/hyperlink" Target="http://www.sec.gov/cgi-bin/browse-edgar?action=getcompany&amp;CIK=0000918541" TargetMode="External"/><Relationship Id="rId14" Type="http://schemas.openxmlformats.org/officeDocument/2006/relationships/hyperlink" Target="http://www.sec.gov/cgi-bin/browse-edgar?action=getcompany&amp;CIK=0001884680" TargetMode="External"/><Relationship Id="rId17" Type="http://schemas.openxmlformats.org/officeDocument/2006/relationships/hyperlink" Target="http://www.sec.gov/cgi-bin/browse-edgar?action=getcompany&amp;CIK=0001601971" TargetMode="External"/><Relationship Id="rId18" Type="http://schemas.openxmlformats.org/officeDocument/2006/relationships/hyperlink" Target="http://www.sec.gov/cgi-bin/browse-edgar?action=getcompany&amp;CIK=0001858308" TargetMode="External"/><Relationship Id="rId19" Type="http://schemas.openxmlformats.org/officeDocument/2006/relationships/hyperlink" Target="http://www.sec.gov/cgi-bin/browse-edgar?action=getcompany&amp;CIK=00018855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2023-05-19T16:20:39Z</dcterms:created>
  <dcterms:modified xsi:type="dcterms:W3CDTF">2023-05-19T16:20:39Z</dcterms:modified>
</cp:coreProperties>
</file>