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1152525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SD</w:t>
      </w:r>
    </w:p>
    <w:p>
      <w:pPr>
        <w:spacing w:after="0" w:line="13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173990</wp:posOffset>
            </wp:positionV>
            <wp:extent cx="591820"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182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2360" w:type="dxa"/>
            <w:vAlign w:val="bottom"/>
          </w:tcPr>
          <w:p>
            <w:pPr>
              <w:jc w:val="center"/>
              <w:ind w:right="641"/>
              <w:spacing w:after="0"/>
              <w:rPr>
                <w:sz w:val="20"/>
                <w:szCs w:val="20"/>
                <w:color w:val="auto"/>
              </w:rPr>
            </w:pPr>
            <w:r>
              <w:rPr>
                <w:rFonts w:ascii="Arial" w:cs="Arial" w:eastAsia="Arial" w:hAnsi="Arial"/>
                <w:sz w:val="18"/>
                <w:szCs w:val="18"/>
                <w:b w:val="1"/>
                <w:bCs w:val="1"/>
                <w:color w:val="auto"/>
                <w:w w:val="91"/>
              </w:rPr>
              <w:t>Delaware</w:t>
            </w:r>
          </w:p>
        </w:tc>
        <w:tc>
          <w:tcPr>
            <w:tcW w:w="4780" w:type="dxa"/>
            <w:vAlign w:val="bottom"/>
          </w:tcPr>
          <w:p>
            <w:pPr>
              <w:ind w:left="1900"/>
              <w:spacing w:after="0"/>
              <w:rPr>
                <w:sz w:val="20"/>
                <w:szCs w:val="20"/>
                <w:color w:val="auto"/>
              </w:rPr>
            </w:pPr>
            <w:r>
              <w:rPr>
                <w:rFonts w:ascii="Arial" w:cs="Arial" w:eastAsia="Arial" w:hAnsi="Arial"/>
                <w:sz w:val="18"/>
                <w:szCs w:val="18"/>
                <w:b w:val="1"/>
                <w:bCs w:val="1"/>
                <w:color w:val="auto"/>
              </w:rPr>
              <w:t>000-23486</w:t>
            </w:r>
          </w:p>
        </w:tc>
        <w:tc>
          <w:tcPr>
            <w:tcW w:w="19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80"/>
        </w:trPr>
        <w:tc>
          <w:tcPr>
            <w:tcW w:w="2360" w:type="dxa"/>
            <w:vAlign w:val="bottom"/>
          </w:tcPr>
          <w:p>
            <w:pPr>
              <w:jc w:val="center"/>
              <w:ind w:right="641"/>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80"/>
              <w:spacing w:after="0"/>
              <w:rPr>
                <w:sz w:val="20"/>
                <w:szCs w:val="20"/>
                <w:color w:val="auto"/>
              </w:rPr>
            </w:pPr>
            <w:r>
              <w:rPr>
                <w:rFonts w:ascii="Arial" w:cs="Arial" w:eastAsia="Arial" w:hAnsi="Arial"/>
                <w:sz w:val="14"/>
                <w:szCs w:val="14"/>
                <w:b w:val="1"/>
                <w:bCs w:val="1"/>
                <w:color w:val="auto"/>
              </w:rPr>
              <w:t>(Commission</w:t>
            </w:r>
          </w:p>
        </w:tc>
        <w:tc>
          <w:tcPr>
            <w:tcW w:w="1940" w:type="dxa"/>
            <w:vAlign w:val="bottom"/>
          </w:tcPr>
          <w:p>
            <w:pPr>
              <w:jc w:val="center"/>
              <w:ind w:left="7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360" w:type="dxa"/>
            <w:vAlign w:val="bottom"/>
          </w:tcPr>
          <w:p>
            <w:pPr>
              <w:jc w:val="center"/>
              <w:ind w:right="641"/>
              <w:spacing w:after="0"/>
              <w:rPr>
                <w:sz w:val="20"/>
                <w:szCs w:val="20"/>
                <w:color w:val="auto"/>
              </w:rPr>
            </w:pPr>
            <w:r>
              <w:rPr>
                <w:rFonts w:ascii="Arial" w:cs="Arial" w:eastAsia="Arial" w:hAnsi="Arial"/>
                <w:sz w:val="14"/>
                <w:szCs w:val="14"/>
                <w:b w:val="1"/>
                <w:bCs w:val="1"/>
                <w:color w:val="auto"/>
                <w:w w:val="92"/>
              </w:rPr>
              <w:t>of incorporation)</w:t>
            </w:r>
          </w:p>
        </w:tc>
        <w:tc>
          <w:tcPr>
            <w:tcW w:w="4780" w:type="dxa"/>
            <w:vAlign w:val="bottom"/>
          </w:tcPr>
          <w:p>
            <w:pPr>
              <w:ind w:left="1880"/>
              <w:spacing w:after="0"/>
              <w:rPr>
                <w:sz w:val="20"/>
                <w:szCs w:val="20"/>
                <w:color w:val="auto"/>
              </w:rPr>
            </w:pPr>
            <w:r>
              <w:rPr>
                <w:rFonts w:ascii="Arial" w:cs="Arial" w:eastAsia="Arial" w:hAnsi="Arial"/>
                <w:sz w:val="14"/>
                <w:szCs w:val="14"/>
                <w:b w:val="1"/>
                <w:bCs w:val="1"/>
                <w:color w:val="auto"/>
              </w:rPr>
              <w:t>File Number)</w:t>
            </w:r>
          </w:p>
        </w:tc>
        <w:tc>
          <w:tcPr>
            <w:tcW w:w="1940" w:type="dxa"/>
            <w:vAlign w:val="bottom"/>
          </w:tcPr>
          <w:p>
            <w:pPr>
              <w:jc w:val="center"/>
              <w:ind w:left="741"/>
              <w:spacing w:after="0"/>
              <w:rPr>
                <w:sz w:val="20"/>
                <w:szCs w:val="20"/>
                <w:color w:val="auto"/>
              </w:rPr>
            </w:pPr>
            <w:r>
              <w:rPr>
                <w:rFonts w:ascii="Arial" w:cs="Arial" w:eastAsia="Arial" w:hAnsi="Arial"/>
                <w:sz w:val="14"/>
                <w:szCs w:val="14"/>
                <w:b w:val="1"/>
                <w:bCs w:val="1"/>
                <w:color w:val="auto"/>
                <w:w w:val="94"/>
              </w:rPr>
              <w:t>Identification No.)</w:t>
            </w:r>
          </w:p>
        </w:tc>
      </w:tr>
      <w:tr>
        <w:trPr>
          <w:trHeight w:val="539"/>
        </w:trPr>
        <w:tc>
          <w:tcPr>
            <w:tcW w:w="7140" w:type="dxa"/>
            <w:vAlign w:val="bottom"/>
            <w:gridSpan w:val="2"/>
          </w:tcPr>
          <w:p>
            <w:pPr>
              <w:jc w:val="center"/>
              <w:ind w:right="1541"/>
              <w:spacing w:after="0"/>
              <w:rPr>
                <w:sz w:val="20"/>
                <w:szCs w:val="20"/>
                <w:color w:val="auto"/>
              </w:rPr>
            </w:pPr>
            <w:r>
              <w:rPr>
                <w:rFonts w:ascii="Arial" w:cs="Arial" w:eastAsia="Arial" w:hAnsi="Arial"/>
                <w:sz w:val="18"/>
                <w:szCs w:val="18"/>
                <w:b w:val="1"/>
                <w:bCs w:val="1"/>
                <w:color w:val="auto"/>
                <w:w w:val="93"/>
              </w:rPr>
              <w:t>6210 Ardrey Kell Road, Charlotte, NC</w:t>
            </w:r>
          </w:p>
        </w:tc>
        <w:tc>
          <w:tcPr>
            <w:tcW w:w="19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218"/>
        </w:trPr>
        <w:tc>
          <w:tcPr>
            <w:tcW w:w="7140" w:type="dxa"/>
            <w:vAlign w:val="bottom"/>
            <w:gridSpan w:val="2"/>
          </w:tcPr>
          <w:p>
            <w:pPr>
              <w:jc w:val="center"/>
              <w:ind w:right="15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40" w:type="dxa"/>
            <w:vAlign w:val="bottom"/>
          </w:tcPr>
          <w:p>
            <w:pPr>
              <w:jc w:val="center"/>
              <w:ind w:left="741"/>
              <w:spacing w:after="0"/>
              <w:rPr>
                <w:sz w:val="20"/>
                <w:szCs w:val="20"/>
                <w:color w:val="auto"/>
              </w:rPr>
            </w:pPr>
            <w:r>
              <w:rPr>
                <w:rFonts w:ascii="Arial" w:cs="Arial" w:eastAsia="Arial" w:hAnsi="Arial"/>
                <w:sz w:val="14"/>
                <w:szCs w:val="14"/>
                <w:b w:val="1"/>
                <w:bCs w:val="1"/>
                <w:color w:val="auto"/>
                <w:w w:val="98"/>
              </w:rPr>
              <w:t>(Zip Code)</w:t>
            </w:r>
          </w:p>
        </w:tc>
      </w:tr>
      <w:tr>
        <w:trPr>
          <w:trHeight w:val="421"/>
        </w:trPr>
        <w:tc>
          <w:tcPr>
            <w:tcW w:w="2360" w:type="dxa"/>
            <w:vAlign w:val="bottom"/>
          </w:tcPr>
          <w:p>
            <w:pPr>
              <w:spacing w:after="0"/>
              <w:rPr>
                <w:sz w:val="24"/>
                <w:szCs w:val="24"/>
                <w:color w:val="auto"/>
              </w:rPr>
            </w:pPr>
          </w:p>
        </w:tc>
        <w:tc>
          <w:tcPr>
            <w:tcW w:w="4780" w:type="dxa"/>
            <w:vAlign w:val="bottom"/>
          </w:tcPr>
          <w:p>
            <w:pPr>
              <w:jc w:val="right"/>
              <w:ind w:right="1801"/>
              <w:spacing w:after="0"/>
              <w:rPr>
                <w:sz w:val="20"/>
                <w:szCs w:val="20"/>
                <w:color w:val="auto"/>
              </w:rPr>
            </w:pPr>
            <w:r>
              <w:rPr>
                <w:rFonts w:ascii="Arial" w:cs="Arial" w:eastAsia="Arial" w:hAnsi="Arial"/>
                <w:sz w:val="18"/>
                <w:szCs w:val="18"/>
                <w:b w:val="1"/>
                <w:bCs w:val="1"/>
                <w:color w:val="auto"/>
              </w:rPr>
              <w:t>(980) 264-4300</w:t>
            </w:r>
          </w:p>
        </w:tc>
        <w:tc>
          <w:tcPr>
            <w:tcW w:w="1940" w:type="dxa"/>
            <w:vAlign w:val="bottom"/>
          </w:tcPr>
          <w:p>
            <w:pPr>
              <w:spacing w:after="0"/>
              <w:rPr>
                <w:sz w:val="24"/>
                <w:szCs w:val="24"/>
                <w:color w:val="auto"/>
              </w:rPr>
            </w:pPr>
          </w:p>
        </w:tc>
      </w:tr>
      <w:tr>
        <w:trPr>
          <w:trHeight w:val="186"/>
        </w:trPr>
        <w:tc>
          <w:tcPr>
            <w:tcW w:w="2360" w:type="dxa"/>
            <w:vAlign w:val="bottom"/>
          </w:tcPr>
          <w:p>
            <w:pPr>
              <w:spacing w:after="0"/>
              <w:rPr>
                <w:sz w:val="16"/>
                <w:szCs w:val="16"/>
                <w:color w:val="auto"/>
              </w:rPr>
            </w:pPr>
          </w:p>
        </w:tc>
        <w:tc>
          <w:tcPr>
            <w:tcW w:w="478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316"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ectPr>
          <w:pgSz w:w="11900" w:h="16838" w:orient="portrait"/>
          <w:cols w:equalWidth="0" w:num="1">
            <w:col w:w="11360"/>
          </w:cols>
          <w:pgMar w:left="240" w:top="1440" w:right="299" w:bottom="1440" w:gutter="0" w:footer="0" w:header="0"/>
        </w:sectPr>
      </w:pPr>
    </w:p>
    <w:bookmarkStart w:id="1" w:name="page2"/>
    <w:bookmarkEnd w:id="1"/>
    <w:p>
      <w:pPr>
        <w:ind w:left="1120"/>
        <w:spacing w:after="0"/>
        <w:rPr>
          <w:sz w:val="20"/>
          <w:szCs w:val="20"/>
          <w:color w:val="auto"/>
        </w:rPr>
      </w:pPr>
      <w:r>
        <w:rPr>
          <w:rFonts w:ascii="Arial" w:cs="Arial" w:eastAsia="Arial" w:hAnsi="Arial"/>
          <w:sz w:val="18"/>
          <w:szCs w:val="18"/>
          <w:b w:val="1"/>
          <w:bCs w:val="1"/>
          <w:color w:val="auto"/>
        </w:rPr>
        <w:t>Item 1.01 CONFLICT MINERALS DISCLOSURE</w:t>
      </w:r>
    </w:p>
    <w:p>
      <w:pPr>
        <w:spacing w:after="0" w:line="202"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For the period of January 1, 2018 through December 31, 2018, NN, Inc. (the “Company”) evaluated the materials used in the products it manufactured and contracted to manufacture to determine whether such products contained a “conflict mineral” necessary to the product’s functionality or production, as defined by and within the meaning of Section 13(p) of the Securities Exchange Act of 1934 and Rule 13p-1 and Form SD promulgated thereunder. The Company conducted this evaluation by implementing existing processes and procedures, which are a part of the Company’s overall compliance program.</w:t>
      </w:r>
    </w:p>
    <w:p>
      <w:pPr>
        <w:spacing w:after="0" w:line="10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As a part of these processes and procedures, the Company first conducted a reasonable, good faith review of the products it manufactured or contracted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Democratic Republic of the Congo (“DRC”) or any country adjoining the DRC (collectively, a “Covered Country”), or came from recycled or scrap sources.</w:t>
      </w:r>
    </w:p>
    <w:p>
      <w:pPr>
        <w:spacing w:after="0" w:line="12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Based on this review, the Company determined that gold, tin, and tungsten are the only conflict minerals necessary to the functionality or production of the products manufactured by it or contracted to be manufactured on its behalf. The Company has determined, based on written or oral representations received from its suppliers, (i) that it has no reason to believe that gold, tin, tungsten, or any other conflict minerals that might appear in its products originated in any Covered Country, or (ii) that any such conflict minerals originated from recycled or scrap materials.</w:t>
      </w:r>
    </w:p>
    <w:p>
      <w:pPr>
        <w:spacing w:after="0" w:line="11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accordance with Instruction 3 to Item 1.01 of Form SD, the Company’s evaluation of the materials used in the products it manufactures and contracts to manufacture did not include an evaluation of the materials used in the products manufactured or contracted to manufacture by: DRT Medical, LLC, which was acquired by the Company on October 2, 2017; Bridgemedica, LLC, which was acquired by the Company on February 22, 2018; Paragon Medical, Inc., which was acquired by the Company on May 7, 2018, and Technical Arts, Inc., which was acquired by the Company on August 9, 2018.</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this Form SD is publicly available at the Investor Relations section of the Company’s website at www.nninc.com.</w:t>
      </w:r>
    </w:p>
    <w:p>
      <w:pPr>
        <w:sectPr>
          <w:pgSz w:w="11900" w:h="16838" w:orient="portrait"/>
          <w:cols w:equalWidth="0" w:num="1">
            <w:col w:w="11380"/>
          </w:cols>
          <w:pgMar w:left="240" w:top="742"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ind w:left="140"/>
              <w:spacing w:after="0"/>
              <w:rPr>
                <w:sz w:val="20"/>
                <w:szCs w:val="20"/>
                <w:color w:val="auto"/>
              </w:rPr>
            </w:pPr>
            <w:r>
              <w:rPr>
                <w:rFonts w:ascii="Arial" w:cs="Arial" w:eastAsia="Arial" w:hAnsi="Arial"/>
                <w:sz w:val="18"/>
                <w:szCs w:val="18"/>
                <w:color w:val="auto"/>
              </w:rPr>
              <w:t>May 31, 2019</w:t>
            </w:r>
          </w:p>
        </w:tc>
        <w:tc>
          <w:tcPr>
            <w:tcW w:w="3280" w:type="dxa"/>
            <w:vAlign w:val="bottom"/>
          </w:tcPr>
          <w:p>
            <w:pPr>
              <w:ind w:left="2180"/>
              <w:spacing w:after="0"/>
              <w:rPr>
                <w:sz w:val="20"/>
                <w:szCs w:val="20"/>
                <w:color w:val="auto"/>
              </w:rPr>
            </w:pPr>
            <w:r>
              <w:rPr>
                <w:rFonts w:ascii="Arial" w:cs="Arial" w:eastAsia="Arial" w:hAnsi="Arial"/>
                <w:sz w:val="18"/>
                <w:szCs w:val="18"/>
                <w:b w:val="1"/>
                <w:bCs w:val="1"/>
                <w:color w:val="auto"/>
              </w:rPr>
              <w:t>NN, INC.</w:t>
            </w:r>
          </w:p>
        </w:tc>
        <w:tc>
          <w:tcPr>
            <w:tcW w:w="4220" w:type="dxa"/>
            <w:vAlign w:val="bottom"/>
          </w:tcPr>
          <w:p>
            <w:pPr>
              <w:spacing w:after="0"/>
              <w:rPr>
                <w:sz w:val="20"/>
                <w:szCs w:val="20"/>
                <w:color w:val="auto"/>
              </w:rPr>
            </w:pPr>
          </w:p>
        </w:tc>
      </w:tr>
      <w:tr>
        <w:trPr>
          <w:trHeight w:val="594"/>
        </w:trPr>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80" w:type="dxa"/>
            <w:vAlign w:val="bottom"/>
          </w:tcPr>
          <w:p>
            <w:pPr>
              <w:ind w:left="2180"/>
              <w:spacing w:after="0"/>
              <w:rPr>
                <w:sz w:val="20"/>
                <w:szCs w:val="20"/>
                <w:color w:val="auto"/>
              </w:rPr>
            </w:pPr>
            <w:r>
              <w:rPr>
                <w:rFonts w:ascii="Arial" w:cs="Arial" w:eastAsia="Arial" w:hAnsi="Arial"/>
                <w:sz w:val="18"/>
                <w:szCs w:val="18"/>
                <w:color w:val="auto"/>
              </w:rPr>
              <w:t>By:</w:t>
            </w:r>
          </w:p>
        </w:tc>
        <w:tc>
          <w:tcPr>
            <w:tcW w:w="4220" w:type="dxa"/>
            <w:vAlign w:val="bottom"/>
          </w:tcPr>
          <w:p>
            <w:pPr>
              <w:ind w:left="40"/>
              <w:spacing w:after="0"/>
              <w:rPr>
                <w:sz w:val="20"/>
                <w:szCs w:val="20"/>
                <w:color w:val="auto"/>
              </w:rPr>
            </w:pPr>
            <w:r>
              <w:rPr>
                <w:rFonts w:ascii="Arial" w:cs="Arial" w:eastAsia="Arial" w:hAnsi="Arial"/>
                <w:sz w:val="18"/>
                <w:szCs w:val="18"/>
                <w:color w:val="auto"/>
              </w:rPr>
              <w:t>/s/ Matthew S. Heiter</w:t>
            </w:r>
          </w:p>
        </w:tc>
      </w:tr>
      <w:tr>
        <w:trPr>
          <w:trHeight w:val="27"/>
        </w:trPr>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80" w:type="dxa"/>
            <w:vAlign w:val="bottom"/>
          </w:tcPr>
          <w:p>
            <w:pPr>
              <w:ind w:left="2180"/>
              <w:spacing w:after="0"/>
              <w:rPr>
                <w:sz w:val="20"/>
                <w:szCs w:val="20"/>
                <w:color w:val="auto"/>
              </w:rPr>
            </w:pPr>
            <w:r>
              <w:rPr>
                <w:rFonts w:ascii="Arial" w:cs="Arial" w:eastAsia="Arial" w:hAnsi="Arial"/>
                <w:sz w:val="18"/>
                <w:szCs w:val="18"/>
                <w:color w:val="auto"/>
              </w:rPr>
              <w:t>Name:</w:t>
            </w:r>
          </w:p>
        </w:tc>
        <w:tc>
          <w:tcPr>
            <w:tcW w:w="4220" w:type="dxa"/>
            <w:vAlign w:val="bottom"/>
          </w:tcPr>
          <w:p>
            <w:pPr>
              <w:ind w:left="40"/>
              <w:spacing w:after="0"/>
              <w:rPr>
                <w:sz w:val="20"/>
                <w:szCs w:val="20"/>
                <w:color w:val="auto"/>
              </w:rPr>
            </w:pPr>
            <w:r>
              <w:rPr>
                <w:rFonts w:ascii="Arial" w:cs="Arial" w:eastAsia="Arial" w:hAnsi="Arial"/>
                <w:sz w:val="18"/>
                <w:szCs w:val="18"/>
                <w:color w:val="auto"/>
              </w:rPr>
              <w:t>Matthew S. Heiter</w:t>
            </w:r>
          </w:p>
        </w:tc>
      </w:tr>
      <w:tr>
        <w:trPr>
          <w:trHeight w:val="270"/>
        </w:trPr>
        <w:tc>
          <w:tcPr>
            <w:tcW w:w="5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3280" w:type="dxa"/>
            <w:vAlign w:val="bottom"/>
          </w:tcPr>
          <w:p>
            <w:pPr>
              <w:ind w:left="2180"/>
              <w:spacing w:after="0"/>
              <w:rPr>
                <w:sz w:val="20"/>
                <w:szCs w:val="20"/>
                <w:color w:val="auto"/>
              </w:rPr>
            </w:pPr>
            <w:r>
              <w:rPr>
                <w:rFonts w:ascii="Arial" w:cs="Arial" w:eastAsia="Arial" w:hAnsi="Arial"/>
                <w:sz w:val="18"/>
                <w:szCs w:val="18"/>
                <w:color w:val="auto"/>
              </w:rPr>
              <w:t>Title:</w:t>
            </w:r>
          </w:p>
        </w:tc>
        <w:tc>
          <w:tcPr>
            <w:tcW w:w="4220" w:type="dxa"/>
            <w:vAlign w:val="bottom"/>
          </w:tcPr>
          <w:p>
            <w:pPr>
              <w:ind w:left="40"/>
              <w:spacing w:after="0"/>
              <w:rPr>
                <w:sz w:val="20"/>
                <w:szCs w:val="20"/>
                <w:color w:val="auto"/>
              </w:rPr>
            </w:pPr>
            <w:r>
              <w:rPr>
                <w:rFonts w:ascii="Arial" w:cs="Arial" w:eastAsia="Arial" w:hAnsi="Arial"/>
                <w:sz w:val="18"/>
                <w:szCs w:val="18"/>
                <w:color w:val="auto"/>
              </w:rPr>
              <w:t>Senior Vice President and General Counsel</w:t>
            </w:r>
          </w:p>
        </w:tc>
      </w:tr>
    </w:tbl>
    <w:p>
      <w:pPr>
        <w:spacing w:after="0" w:line="1" w:lineRule="exact"/>
        <w:rPr>
          <w:sz w:val="20"/>
          <w:szCs w:val="20"/>
          <w:color w:val="auto"/>
        </w:rPr>
      </w:pPr>
    </w:p>
    <w:sectPr>
      <w:pgSz w:w="11900" w:h="16838" w:orient="portrait"/>
      <w:cols w:equalWidth="0" w:num="1">
        <w:col w:w="11420"/>
      </w:cols>
      <w:pgMar w:left="240" w:top="10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2019-12-02T04:03:56Z</dcterms:created>
  <dcterms:modified xsi:type="dcterms:W3CDTF">2019-12-02T04:03:56Z</dcterms:modified>
</cp:coreProperties>
</file>