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43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430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86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WARSHAW STEVEN T</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ind w:left="14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2000 WATERS EDGE DR.</w:t>
            </w:r>
          </w:p>
        </w:tc>
        <w:tc>
          <w:tcPr>
            <w:tcW w:w="1200" w:type="dxa"/>
            <w:vAlign w:val="bottom"/>
          </w:tcPr>
          <w:p>
            <w:pPr>
              <w:spacing w:after="0"/>
              <w:rPr>
                <w:sz w:val="19"/>
                <w:szCs w:val="19"/>
                <w:color w:val="auto"/>
              </w:rPr>
            </w:pPr>
          </w:p>
        </w:tc>
        <w:tc>
          <w:tcPr>
            <w:tcW w:w="1640" w:type="dxa"/>
            <w:vAlign w:val="bottom"/>
            <w:gridSpan w:val="7"/>
          </w:tcPr>
          <w:p>
            <w:pPr>
              <w:ind w:left="240"/>
              <w:spacing w:after="0"/>
              <w:rPr>
                <w:sz w:val="20"/>
                <w:szCs w:val="20"/>
                <w:color w:val="auto"/>
              </w:rPr>
            </w:pPr>
            <w:r>
              <w:rPr>
                <w:rFonts w:ascii="Arial" w:cs="Arial" w:eastAsia="Arial" w:hAnsi="Arial"/>
                <w:sz w:val="18"/>
                <w:szCs w:val="18"/>
                <w:color w:val="0000FF"/>
              </w:rPr>
              <w:t>11/18/2013</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0000FF"/>
              </w:rPr>
              <w:t>BUILDING C, SUITE 12</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8"/>
          </w:tcPr>
          <w:p>
            <w:pPr>
              <w:jc w:val="center"/>
              <w:ind w:right="152"/>
              <w:spacing w:after="0" w:line="155" w:lineRule="exact"/>
              <w:rPr>
                <w:sz w:val="20"/>
                <w:szCs w:val="20"/>
                <w:color w:val="auto"/>
              </w:rPr>
            </w:pPr>
            <w:r>
              <w:rPr>
                <w:rFonts w:ascii="Arial" w:cs="Arial" w:eastAsia="Arial" w:hAnsi="Arial"/>
                <w:sz w:val="14"/>
                <w:szCs w:val="14"/>
                <w:color w:val="auto"/>
                <w:w w:val="95"/>
              </w:rPr>
              <w:t>4. If Amendment, Date of Original Filed (Month/Day/Year)</w:t>
            </w:r>
          </w:p>
        </w:tc>
        <w:tc>
          <w:tcPr>
            <w:tcW w:w="260" w:type="dxa"/>
            <w:vAlign w:val="bottom"/>
          </w:tcPr>
          <w:p>
            <w:pPr>
              <w:spacing w:after="0"/>
              <w:rPr>
                <w:sz w:val="13"/>
                <w:szCs w:val="13"/>
                <w:color w:val="auto"/>
              </w:rPr>
            </w:pPr>
          </w:p>
        </w:tc>
        <w:tc>
          <w:tcPr>
            <w:tcW w:w="3540" w:type="dxa"/>
            <w:vAlign w:val="bottom"/>
            <w:gridSpan w:val="9"/>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9"/>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JOHNSON</w:t>
            </w: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color w:val="0000FF"/>
              </w:rPr>
              <w:t>TN</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37604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gridSpan w:val="2"/>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244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7"/>
          </w:tcPr>
          <w:p>
            <w:pPr>
              <w:ind w:left="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5"/>
          </w:tcPr>
          <w:p>
            <w:pPr>
              <w:jc w:val="right"/>
              <w:ind w:right="7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5"/>
          </w:tcPr>
          <w:p>
            <w:pPr>
              <w:jc w:val="center"/>
              <w:ind w:left="50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5"/>
          </w:tcPr>
          <w:p>
            <w:pPr>
              <w:jc w:val="center"/>
              <w:ind w:left="508"/>
              <w:spacing w:after="0"/>
              <w:rPr>
                <w:sz w:val="20"/>
                <w:szCs w:val="20"/>
                <w:color w:val="auto"/>
              </w:rPr>
            </w:pPr>
            <w:r>
              <w:rPr>
                <w:rFonts w:ascii="Arial" w:cs="Arial" w:eastAsia="Arial" w:hAnsi="Arial"/>
                <w:sz w:val="18"/>
                <w:szCs w:val="18"/>
                <w:color w:val="0000FF"/>
                <w:w w:val="86"/>
              </w:rPr>
              <w:t>11/18/2013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8"/>
              <w:spacing w:after="0"/>
              <w:rPr>
                <w:sz w:val="20"/>
                <w:szCs w:val="20"/>
                <w:color w:val="auto"/>
              </w:rPr>
            </w:pPr>
            <w:r>
              <w:rPr>
                <w:rFonts w:ascii="Arial" w:cs="Arial" w:eastAsia="Arial" w:hAnsi="Arial"/>
                <w:sz w:val="18"/>
                <w:szCs w:val="18"/>
                <w:color w:val="0000FF"/>
              </w:rPr>
              <w:t>1,000</w:t>
            </w:r>
          </w:p>
        </w:tc>
        <w:tc>
          <w:tcPr>
            <w:tcW w:w="680" w:type="dxa"/>
            <w:vAlign w:val="bottom"/>
          </w:tcPr>
          <w:p>
            <w:pPr>
              <w:jc w:val="right"/>
              <w:ind w:right="152"/>
              <w:spacing w:after="0"/>
              <w:rPr>
                <w:sz w:val="20"/>
                <w:szCs w:val="20"/>
                <w:color w:val="auto"/>
              </w:rPr>
            </w:pPr>
            <w:r>
              <w:rPr>
                <w:rFonts w:ascii="Arial" w:cs="Arial" w:eastAsia="Arial" w:hAnsi="Arial"/>
                <w:sz w:val="18"/>
                <w:szCs w:val="18"/>
                <w:color w:val="0000FF"/>
              </w:rPr>
              <w:t>A</w:t>
            </w:r>
          </w:p>
        </w:tc>
        <w:tc>
          <w:tcPr>
            <w:tcW w:w="740" w:type="dxa"/>
            <w:vAlign w:val="bottom"/>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12.62</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34,600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8"/>
              <w:spacing w:after="0"/>
              <w:rPr>
                <w:sz w:val="20"/>
                <w:szCs w:val="20"/>
                <w:color w:val="auto"/>
              </w:rPr>
            </w:pPr>
            <w:r>
              <w:rPr>
                <w:rFonts w:ascii="Arial" w:cs="Arial" w:eastAsia="Arial" w:hAnsi="Arial"/>
                <w:sz w:val="18"/>
                <w:szCs w:val="18"/>
                <w:color w:val="0000FF"/>
                <w:w w:val="86"/>
              </w:rPr>
              <w:t>11/18/2013</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right"/>
              <w:ind w:right="8"/>
              <w:spacing w:after="0"/>
              <w:rPr>
                <w:sz w:val="20"/>
                <w:szCs w:val="20"/>
                <w:color w:val="auto"/>
              </w:rPr>
            </w:pPr>
            <w:r>
              <w:rPr>
                <w:rFonts w:ascii="Arial" w:cs="Arial" w:eastAsia="Arial" w:hAnsi="Arial"/>
                <w:sz w:val="18"/>
                <w:szCs w:val="18"/>
                <w:color w:val="0000FF"/>
              </w:rPr>
              <w:t>1,000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17.77</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33,600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5"/>
          </w:tcPr>
          <w:p>
            <w:pPr>
              <w:jc w:val="center"/>
              <w:ind w:left="508"/>
              <w:spacing w:after="0"/>
              <w:rPr>
                <w:sz w:val="20"/>
                <w:szCs w:val="20"/>
                <w:color w:val="auto"/>
              </w:rPr>
            </w:pPr>
            <w:r>
              <w:rPr>
                <w:rFonts w:ascii="Arial" w:cs="Arial" w:eastAsia="Arial" w:hAnsi="Arial"/>
                <w:sz w:val="18"/>
                <w:szCs w:val="18"/>
                <w:color w:val="0000FF"/>
                <w:w w:val="86"/>
              </w:rPr>
              <w:t>11/19/2013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8"/>
              <w:spacing w:after="0"/>
              <w:rPr>
                <w:sz w:val="20"/>
                <w:szCs w:val="20"/>
                <w:color w:val="auto"/>
              </w:rPr>
            </w:pPr>
            <w:r>
              <w:rPr>
                <w:rFonts w:ascii="Arial" w:cs="Arial" w:eastAsia="Arial" w:hAnsi="Arial"/>
                <w:sz w:val="18"/>
                <w:szCs w:val="18"/>
                <w:color w:val="0000FF"/>
              </w:rPr>
              <w:t>1,000</w:t>
            </w:r>
          </w:p>
        </w:tc>
        <w:tc>
          <w:tcPr>
            <w:tcW w:w="680" w:type="dxa"/>
            <w:vAlign w:val="bottom"/>
          </w:tcPr>
          <w:p>
            <w:pPr>
              <w:jc w:val="right"/>
              <w:ind w:right="152"/>
              <w:spacing w:after="0"/>
              <w:rPr>
                <w:sz w:val="20"/>
                <w:szCs w:val="20"/>
                <w:color w:val="auto"/>
              </w:rPr>
            </w:pPr>
            <w:r>
              <w:rPr>
                <w:rFonts w:ascii="Arial" w:cs="Arial" w:eastAsia="Arial" w:hAnsi="Arial"/>
                <w:sz w:val="18"/>
                <w:szCs w:val="18"/>
                <w:color w:val="0000FF"/>
              </w:rPr>
              <w:t>A</w:t>
            </w:r>
          </w:p>
        </w:tc>
        <w:tc>
          <w:tcPr>
            <w:tcW w:w="740" w:type="dxa"/>
            <w:vAlign w:val="bottom"/>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12.62</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34,600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8"/>
              <w:spacing w:after="0"/>
              <w:rPr>
                <w:sz w:val="20"/>
                <w:szCs w:val="20"/>
                <w:color w:val="auto"/>
              </w:rPr>
            </w:pPr>
            <w:r>
              <w:rPr>
                <w:rFonts w:ascii="Arial" w:cs="Arial" w:eastAsia="Arial" w:hAnsi="Arial"/>
                <w:sz w:val="18"/>
                <w:szCs w:val="18"/>
                <w:color w:val="0000FF"/>
                <w:w w:val="86"/>
              </w:rPr>
              <w:t>11/19/2013</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right"/>
              <w:ind w:right="8"/>
              <w:spacing w:after="0"/>
              <w:rPr>
                <w:sz w:val="20"/>
                <w:szCs w:val="20"/>
                <w:color w:val="auto"/>
              </w:rPr>
            </w:pPr>
            <w:r>
              <w:rPr>
                <w:rFonts w:ascii="Arial" w:cs="Arial" w:eastAsia="Arial" w:hAnsi="Arial"/>
                <w:sz w:val="18"/>
                <w:szCs w:val="18"/>
                <w:color w:val="0000FF"/>
              </w:rPr>
              <w:t>1,000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18.09</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33,600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7"/>
          </w:tcPr>
          <w:p>
            <w:pPr>
              <w:jc w:val="center"/>
              <w:ind w:left="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20" w:type="dxa"/>
            <w:vAlign w:val="bottom"/>
            <w:gridSpan w:val="15"/>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12.62</w:t>
            </w:r>
          </w:p>
        </w:tc>
        <w:tc>
          <w:tcPr>
            <w:tcW w:w="18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11/18/2013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0000FF"/>
              </w:rPr>
              <w:t>1,000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jc w:val="right"/>
              <w:ind w:right="28"/>
              <w:spacing w:after="0"/>
              <w:rPr>
                <w:sz w:val="20"/>
                <w:szCs w:val="20"/>
                <w:color w:val="auto"/>
              </w:rPr>
            </w:pPr>
            <w:r>
              <w:rPr>
                <w:rFonts w:ascii="Arial" w:cs="Arial" w:eastAsia="Arial" w:hAnsi="Arial"/>
                <w:sz w:val="14"/>
                <w:szCs w:val="14"/>
                <w:color w:val="0000FF"/>
                <w:w w:val="88"/>
              </w:rPr>
              <w:t>03/01/2014</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1,000</w:t>
            </w:r>
          </w:p>
        </w:tc>
        <w:tc>
          <w:tcPr>
            <w:tcW w:w="180" w:type="dxa"/>
            <w:vAlign w:val="bottom"/>
          </w:tcPr>
          <w:p>
            <w:pPr>
              <w:spacing w:after="0"/>
              <w:rPr>
                <w:sz w:val="17"/>
                <w:szCs w:val="17"/>
                <w:color w:val="auto"/>
              </w:rPr>
            </w:pPr>
          </w:p>
        </w:tc>
        <w:tc>
          <w:tcPr>
            <w:tcW w:w="62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2,000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jc w:val="right"/>
              <w:ind w:right="152"/>
              <w:spacing w:after="0" w:line="97"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12.62</w:t>
            </w:r>
          </w:p>
        </w:tc>
        <w:tc>
          <w:tcPr>
            <w:tcW w:w="18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11/19/2013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0000FF"/>
              </w:rPr>
              <w:t>1,000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jc w:val="right"/>
              <w:ind w:right="28"/>
              <w:spacing w:after="0"/>
              <w:rPr>
                <w:sz w:val="20"/>
                <w:szCs w:val="20"/>
                <w:color w:val="auto"/>
              </w:rPr>
            </w:pPr>
            <w:r>
              <w:rPr>
                <w:rFonts w:ascii="Arial" w:cs="Arial" w:eastAsia="Arial" w:hAnsi="Arial"/>
                <w:sz w:val="14"/>
                <w:szCs w:val="14"/>
                <w:color w:val="0000FF"/>
                <w:w w:val="88"/>
              </w:rPr>
              <w:t>03/01/2014</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1,000</w:t>
            </w:r>
          </w:p>
        </w:tc>
        <w:tc>
          <w:tcPr>
            <w:tcW w:w="180" w:type="dxa"/>
            <w:vAlign w:val="bottom"/>
          </w:tcPr>
          <w:p>
            <w:pPr>
              <w:spacing w:after="0"/>
              <w:rPr>
                <w:sz w:val="17"/>
                <w:szCs w:val="17"/>
                <w:color w:val="auto"/>
              </w:rPr>
            </w:pPr>
          </w:p>
        </w:tc>
        <w:tc>
          <w:tcPr>
            <w:tcW w:w="62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1,000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52"/>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$17.75 to $17.78, inclusive. The reporting person undertakes to provide to NN, Inc., any secuity holder of NN, Inc., or the staff of the Securities and Exchange Commission, upon request, full information regarding the number of shares sold at each separate price within the range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$18.05 to $18.15,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exercisable in three annual installments beginning on March 1, 2005, which was the first anniversary of the date on which the option was granted.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11/20/2013</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2019-12-17T05:53:27Z</dcterms:created>
  <dcterms:modified xsi:type="dcterms:W3CDTF">2019-12-17T05:53:27Z</dcterms:modified>
</cp:coreProperties>
</file>