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8-K/A</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(April 24, 2003)</w:t>
      </w:r>
    </w:p>
    <w:p>
      <w:pPr>
        <w:ind w:left="840"/>
        <w:spacing w:after="0" w:line="238" w:lineRule="auto"/>
        <w:rPr>
          <w:sz w:val="20"/>
          <w:szCs w:val="20"/>
          <w:color w:val="auto"/>
        </w:rPr>
      </w:pPr>
      <w:r>
        <w:rPr>
          <w:rFonts w:ascii="Courier New" w:cs="Courier New" w:eastAsia="Courier New" w:hAnsi="Courier New"/>
          <w:sz w:val="18"/>
          <w:szCs w:val="18"/>
          <w:color w:val="auto"/>
        </w:rPr>
        <w:t>May 1, 2003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649"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b w:val="1"/>
          <w:bCs w:val="1"/>
          <w:u w:val="single" w:color="auto"/>
          <w:color w:val="auto"/>
        </w:rPr>
        <w:t>Explanatory Note</w:t>
      </w:r>
    </w:p>
    <w:p>
      <w:pPr>
        <w:spacing w:after="0" w:line="207" w:lineRule="exact"/>
        <w:rPr>
          <w:sz w:val="24"/>
          <w:szCs w:val="24"/>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On April 24, 2003, the Company filed a Form 8-K reporting the issuance of a press release announcing the Company's earnings for the first quarter of 2003. The Company is filing this Form 8-K/A to correct a typographical error located in Exhibit 99.1 filed under Item 5 of Form 8-K on April 24, 2003, and to report the issuance of the Company's press release dated April 24, 2003 under Item 12 of 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w:t>
      </w:r>
    </w:p>
    <w:p>
      <w:pPr>
        <w:spacing w:after="0" w:line="207"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On April 24, 2003, the Company issued a press release announcing its earnings for the first quarter of 2003. A copy of the press release is attached as Exhibit 99.1 hereto and incorporated herein by reference.</w:t>
      </w:r>
    </w:p>
    <w:p>
      <w:pPr>
        <w:spacing w:after="0" w:line="200" w:lineRule="exact"/>
        <w:rPr>
          <w:sz w:val="24"/>
          <w:szCs w:val="24"/>
          <w:color w:val="auto"/>
        </w:rPr>
      </w:pPr>
    </w:p>
    <w:p>
      <w:pPr>
        <w:spacing w:after="0" w:line="20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4"/>
          <w:szCs w:val="24"/>
          <w:color w:val="auto"/>
        </w:rPr>
      </w:pPr>
    </w:p>
    <w:p>
      <w:pPr>
        <w:ind w:left="1380" w:hanging="424"/>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April 24, 2003</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2739"/>
        <w:spacing w:after="0" w:line="235" w:lineRule="auto"/>
        <w:rPr>
          <w:sz w:val="20"/>
          <w:szCs w:val="20"/>
          <w:color w:val="auto"/>
        </w:rPr>
      </w:pPr>
      <w:r>
        <w:rPr>
          <w:rFonts w:ascii="Courier New" w:cs="Courier New" w:eastAsia="Courier New" w:hAnsi="Courier New"/>
          <w:sz w:val="18"/>
          <w:szCs w:val="18"/>
          <w:b w:val="1"/>
          <w:bCs w:val="1"/>
          <w:color w:val="auto"/>
        </w:rPr>
        <w:t>Item 9. Regulation FD Disclosure and Information Provided under Item 12 (Disclosure of Results of Operations and Financial Condition).</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 copy of the press release issued April 24, 2003, by the Company announcing its earnings for the first quarter of 2003 is furnished under Item 12 of this Form 8-K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 May 1, 2003</w:t>
      </w:r>
    </w:p>
    <w:p>
      <w:pPr>
        <w:jc w:val="center"/>
        <w:ind w:right="-32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Treasurer, Secretary and Chief</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10219"/>
          </w:cols>
          <w:pgMar w:left="240" w:top="547"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457835</wp:posOffset>
            </wp:positionV>
            <wp:extent cx="2529840"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1715135"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RE: NN, Inc.</w:t>
            </w:r>
          </w:p>
        </w:tc>
      </w:tr>
      <w:tr>
        <w:trPr>
          <w:trHeight w:val="203"/>
        </w:trPr>
        <w:tc>
          <w:tcPr>
            <w:tcW w:w="1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Johnson City, TN  37604</w:t>
            </w:r>
          </w:p>
        </w:tc>
      </w:tr>
      <w:tr>
        <w:trPr>
          <w:trHeight w:val="608"/>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FOR FURTHER INFORMATION:</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7"/>
        </w:trPr>
        <w:tc>
          <w:tcPr>
            <w:tcW w:w="464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3700" w:type="dxa"/>
            <w:vAlign w:val="bottom"/>
            <w:gridSpan w:val="4"/>
          </w:tcPr>
          <w:p>
            <w:pPr>
              <w:ind w:left="320"/>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
        </w:trPr>
        <w:tc>
          <w:tcPr>
            <w:tcW w:w="14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1"/>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160" w:type="dxa"/>
            <w:vAlign w:val="bottom"/>
          </w:tcPr>
          <w:p>
            <w:pPr>
              <w:spacing w:after="0"/>
              <w:rPr>
                <w:sz w:val="19"/>
                <w:szCs w:val="19"/>
                <w:color w:val="auto"/>
              </w:rPr>
            </w:pPr>
          </w:p>
        </w:tc>
        <w:tc>
          <w:tcPr>
            <w:tcW w:w="20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Kerry Thalheim</w:t>
            </w:r>
          </w:p>
        </w:tc>
        <w:tc>
          <w:tcPr>
            <w:tcW w:w="17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(General info)</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(423) 743-9151</w:t>
            </w:r>
          </w:p>
        </w:tc>
        <w:tc>
          <w:tcPr>
            <w:tcW w:w="3160" w:type="dxa"/>
            <w:vAlign w:val="bottom"/>
          </w:tcPr>
          <w:p>
            <w:pPr>
              <w:spacing w:after="0"/>
              <w:rPr>
                <w:sz w:val="17"/>
                <w:szCs w:val="17"/>
                <w:color w:val="auto"/>
              </w:rPr>
            </w:pPr>
          </w:p>
        </w:tc>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212-445-8437</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April 24, 2003</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 GENERATES EARNINGS PER SHARE IMPROVEMENT OF 91.7% ON REVENUE GROWTH</w:t>
      </w:r>
    </w:p>
    <w:p>
      <w:pPr>
        <w:jc w:val="center"/>
        <w:ind w:right="1879"/>
        <w:spacing w:after="0" w:line="238" w:lineRule="auto"/>
        <w:rPr>
          <w:sz w:val="20"/>
          <w:szCs w:val="20"/>
          <w:color w:val="auto"/>
        </w:rPr>
      </w:pPr>
      <w:r>
        <w:rPr>
          <w:rFonts w:ascii="Courier New" w:cs="Courier New" w:eastAsia="Courier New" w:hAnsi="Courier New"/>
          <w:sz w:val="18"/>
          <w:szCs w:val="18"/>
          <w:b w:val="1"/>
          <w:bCs w:val="1"/>
          <w:color w:val="auto"/>
        </w:rPr>
        <w:t>OF 22.1% IN THE FIRST QUARTER OF 2003</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April 24, 2003 </w:t>
      </w:r>
      <w:r>
        <w:rPr>
          <w:rFonts w:ascii="Courier New" w:cs="Courier New" w:eastAsia="Courier New" w:hAnsi="Courier New"/>
          <w:sz w:val="18"/>
          <w:szCs w:val="18"/>
          <w:color w:val="auto"/>
        </w:rPr>
        <w:t>- NN, Inc. (Nasdaq: NNBR) today reported its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financial results for the first quarter ended March 31, 2003. Net sales for the first quarter of 2003 reached $57.6 million, up 22.1% from $47.2 million for the same period of 2002. Net income for the first quarter of 2003 totaled $3.6 million or $0.23 per share as compared to $1.8 million or $0.12 per share for the first quarter of 2002.</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David L. Dyckman, Chief Financial Officer, commented, "This is the fourth consecutive quarter that we have experienced year-over-year improvement in revenues and earnings. However, it is important to note that approximately 50% of the $10.4 million increase in revenues was attributable to favorable currency fluctuations. The remainder of the increase consists of overall improvements in demand and new program developments.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percentage of net sales, the gross profit margin was 25.8% in the first quarter of 2003 versus 24.7% in the first quarter of 2002 and 24.8% in the fourth quarter of 2002. This improvement over the prior year reflects the continuing benefit of the initiatives to lower our cost structure and the associated benefits of higher volumes and inventory builds. Similarly, selling, general and administrative expenses for the first quarter of 2003 declined to 8.0% as a percentage of net sales compared to 9.5% for the same period in the prior year.</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earnings per share of $0.23 exceeded our previous first quarter guidance of $0.16 to $0.18 per share. Driving these better than expected results were three principle factors: volume increases, favorable currency exchange rates, and increases in inventory levels.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revenue growth in the first quarter resulted in incremental working capital needs. This was evidenced by significant increases in accounts receivable, inventories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payable balances during the quarter. Correspondingly, our debt increased $0.1 million from $53.1 million at year end to $53.2 million at the end of the first quarter. Net of cash, our debt increased by $2.0 million. We anticipate our operating cash flow results will improve in subsequent quarters and remain committed to a reduction of debt (excluding the impact of any pending acquisitions) of $11.0 million for 2003", added Mr. Dyckman.</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Roderick R. Baty, Chairman and Chief Executive Officer, stated, "We are pleased with our results for the first quarter. We experienced solid growth in a sluggish global economic environment. Looking forward, we remain cautious regarding the balance of 2003. However, we continue to believe our businesses are well positioned to achieve good results in the current economic environment. Consequently, we anticipate second quarter earnings to be in the range of $0.18 to $0.19 per share on revenues of approximately $55.0 million. Adjusting for our favorable first quarter actual results, we expect the 2003 full year earnings</w:t>
      </w:r>
    </w:p>
    <w:p>
      <w:pPr>
        <w:sectPr>
          <w:pgSz w:w="11900" w:h="16838" w:orient="portrait"/>
          <w:cols w:equalWidth="0" w:num="1">
            <w:col w:w="10219"/>
          </w:cols>
          <w:pgMar w:left="240" w:top="1440" w:right="1440" w:bottom="0" w:gutter="0" w:footer="0" w:header="0"/>
        </w:sectPr>
      </w:pPr>
    </w:p>
    <w:bookmarkStart w:id="3" w:name="page4"/>
    <w:bookmarkEnd w:id="3"/>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share to be in the range of $0.73 to $0.76 on revenues of approximately</w:t>
      </w:r>
    </w:p>
    <w:p>
      <w:pPr>
        <w:spacing w:after="0" w:line="238" w:lineRule="auto"/>
        <w:rPr>
          <w:sz w:val="20"/>
          <w:szCs w:val="20"/>
          <w:color w:val="auto"/>
        </w:rPr>
      </w:pPr>
      <w:r>
        <w:rPr>
          <w:rFonts w:ascii="Courier New" w:cs="Courier New" w:eastAsia="Courier New" w:hAnsi="Courier New"/>
          <w:sz w:val="18"/>
          <w:szCs w:val="18"/>
          <w:color w:val="auto"/>
        </w:rPr>
        <w:t>$215.0 million. These estimates exclude accretion from any pending acquisitions.</w:t>
      </w:r>
    </w:p>
    <w:p>
      <w:pPr>
        <w:spacing w:after="0" w:line="207" w:lineRule="exact"/>
        <w:rPr>
          <w:sz w:val="20"/>
          <w:szCs w:val="20"/>
          <w:color w:val="auto"/>
        </w:rPr>
      </w:pPr>
    </w:p>
    <w:p>
      <w:pPr>
        <w:jc w:val="both"/>
        <w:ind w:right="3080"/>
        <w:spacing w:after="0" w:line="236" w:lineRule="auto"/>
        <w:rPr>
          <w:sz w:val="20"/>
          <w:szCs w:val="20"/>
          <w:color w:val="auto"/>
        </w:rPr>
      </w:pPr>
      <w:r>
        <w:rPr>
          <w:rFonts w:ascii="Courier New" w:cs="Courier New" w:eastAsia="Courier New" w:hAnsi="Courier New"/>
          <w:sz w:val="18"/>
          <w:szCs w:val="18"/>
          <w:color w:val="auto"/>
        </w:rPr>
        <w:t>"Finally, we are in the final stages of negotiations regarding the acquisitions of SKF's 23% ownership stake in NN Euroball as well as SKF's tapered roller and metal cage business in Veenendaal, The Netherlands."</w:t>
      </w:r>
    </w:p>
    <w:p>
      <w:pPr>
        <w:spacing w:after="0" w:line="209" w:lineRule="exact"/>
        <w:rPr>
          <w:sz w:val="20"/>
          <w:szCs w:val="20"/>
          <w:color w:val="auto"/>
        </w:rPr>
      </w:pPr>
    </w:p>
    <w:p>
      <w:pPr>
        <w:ind w:right="3080"/>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$193 million in 2002.</w:t>
      </w:r>
    </w:p>
    <w:p>
      <w:pPr>
        <w:spacing w:after="0" w:line="182" w:lineRule="exact"/>
        <w:rPr>
          <w:sz w:val="20"/>
          <w:szCs w:val="20"/>
          <w:color w:val="auto"/>
        </w:rPr>
      </w:pPr>
    </w:p>
    <w:p>
      <w:pPr>
        <w:ind w:right="2980"/>
        <w:spacing w:after="0" w:line="238" w:lineRule="auto"/>
        <w:rPr>
          <w:sz w:val="20"/>
          <w:szCs w:val="20"/>
          <w:color w:val="auto"/>
        </w:rPr>
      </w:pPr>
      <w:r>
        <w:rPr>
          <w:rFonts w:ascii="Courier New" w:cs="Courier New" w:eastAsia="Courier New" w:hAnsi="Courier New"/>
          <w:sz w:val="18"/>
          <w:szCs w:val="18"/>
          <w:i w:val="1"/>
          <w:iCs w:val="1"/>
          <w:color w:val="auto"/>
        </w:rPr>
        <w:t>The anticipated second quarter and full year 2003 earnings and the pending acquisitions with SKF are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8"/>
          <w:szCs w:val="18"/>
          <w:b w:val="1"/>
          <w:bCs w:val="1"/>
          <w:color w:val="auto"/>
        </w:rPr>
        <w:t>NN, Inc.</w:t>
      </w:r>
    </w:p>
    <w:p>
      <w:pPr>
        <w:jc w:val="center"/>
        <w:ind w:right="2980"/>
        <w:spacing w:after="0" w:line="238" w:lineRule="auto"/>
        <w:rPr>
          <w:sz w:val="20"/>
          <w:szCs w:val="20"/>
          <w:color w:val="auto"/>
        </w:rPr>
      </w:pPr>
      <w:r>
        <w:rPr>
          <w:rFonts w:ascii="Courier New" w:cs="Courier New" w:eastAsia="Courier New" w:hAnsi="Courier New"/>
          <w:sz w:val="18"/>
          <w:szCs w:val="18"/>
          <w:b w:val="1"/>
          <w:bCs w:val="1"/>
          <w:color w:val="auto"/>
        </w:rPr>
        <w:t>Condensed Statements of Income</w:t>
      </w:r>
    </w:p>
    <w:p>
      <w:pPr>
        <w:jc w:val="center"/>
        <w:ind w:right="2980"/>
        <w:spacing w:after="0"/>
        <w:rPr>
          <w:sz w:val="20"/>
          <w:szCs w:val="20"/>
          <w:color w:val="auto"/>
        </w:rPr>
      </w:pPr>
      <w:r>
        <w:rPr>
          <w:rFonts w:ascii="Courier New" w:cs="Courier New" w:eastAsia="Courier New" w:hAnsi="Courier New"/>
          <w:sz w:val="18"/>
          <w:szCs w:val="18"/>
          <w:b w:val="1"/>
          <w:bCs w:val="1"/>
          <w:color w:val="auto"/>
        </w:rPr>
        <w:t>(In Thousands, except per share amounts)</w:t>
      </w:r>
    </w:p>
    <w:tbl>
      <w:tblPr>
        <w:tblLayout w:type="fixed"/>
        <w:tblInd w:w="0" w:type="dxa"/>
        <w:tblCellMar>
          <w:top w:w="0" w:type="dxa"/>
          <w:left w:w="0" w:type="dxa"/>
          <w:bottom w:w="0" w:type="dxa"/>
          <w:right w:w="0" w:type="dxa"/>
        </w:tblCellMar>
      </w:tblPr>
      <w:tr>
        <w:trPr>
          <w:trHeight w:val="202"/>
        </w:trPr>
        <w:tc>
          <w:tcPr>
            <w:tcW w:w="5320" w:type="dxa"/>
            <w:vAlign w:val="bottom"/>
          </w:tcPr>
          <w:p>
            <w:pPr>
              <w:ind w:left="3700"/>
              <w:spacing w:after="0" w:line="202" w:lineRule="exact"/>
              <w:rPr>
                <w:sz w:val="20"/>
                <w:szCs w:val="20"/>
                <w:color w:val="auto"/>
              </w:rPr>
            </w:pPr>
            <w:r>
              <w:rPr>
                <w:rFonts w:ascii="Courier New" w:cs="Courier New" w:eastAsia="Courier New" w:hAnsi="Courier New"/>
                <w:sz w:val="18"/>
                <w:szCs w:val="18"/>
                <w:b w:val="1"/>
                <w:bCs w:val="1"/>
                <w:color w:val="auto"/>
              </w:rPr>
              <w:t>(Unaudited)</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405"/>
        </w:trPr>
        <w:tc>
          <w:tcPr>
            <w:tcW w:w="5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60" w:type="dxa"/>
            <w:vAlign w:val="bottom"/>
            <w:gridSpan w:val="3"/>
          </w:tcPr>
          <w:p>
            <w:pPr>
              <w:jc w:val="right"/>
              <w:ind w:right="2892"/>
              <w:spacing w:after="0"/>
              <w:rPr>
                <w:sz w:val="20"/>
                <w:szCs w:val="20"/>
                <w:color w:val="auto"/>
              </w:rPr>
            </w:pPr>
            <w:r>
              <w:rPr>
                <w:rFonts w:ascii="Courier New" w:cs="Courier New" w:eastAsia="Courier New" w:hAnsi="Courier New"/>
                <w:sz w:val="18"/>
                <w:szCs w:val="18"/>
                <w:b w:val="1"/>
                <w:bCs w:val="1"/>
                <w:color w:val="auto"/>
              </w:rPr>
              <w:t>Three Months Ended</w:t>
            </w:r>
          </w:p>
        </w:tc>
      </w:tr>
      <w:tr>
        <w:trPr>
          <w:trHeight w:val="203"/>
        </w:trPr>
        <w:tc>
          <w:tcPr>
            <w:tcW w:w="5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60" w:type="dxa"/>
            <w:vAlign w:val="bottom"/>
            <w:gridSpan w:val="3"/>
          </w:tcPr>
          <w:p>
            <w:pPr>
              <w:jc w:val="right"/>
              <w:ind w:right="3432"/>
              <w:spacing w:after="0" w:line="203" w:lineRule="exact"/>
              <w:rPr>
                <w:sz w:val="20"/>
                <w:szCs w:val="20"/>
                <w:color w:val="auto"/>
              </w:rPr>
            </w:pPr>
            <w:r>
              <w:rPr>
                <w:rFonts w:ascii="Courier New" w:cs="Courier New" w:eastAsia="Courier New" w:hAnsi="Courier New"/>
                <w:sz w:val="18"/>
                <w:szCs w:val="18"/>
                <w:b w:val="1"/>
                <w:bCs w:val="1"/>
                <w:color w:val="auto"/>
              </w:rPr>
              <w:t>March 31</w:t>
            </w:r>
          </w:p>
        </w:tc>
      </w:tr>
      <w:tr>
        <w:trPr>
          <w:trHeight w:val="203"/>
        </w:trPr>
        <w:tc>
          <w:tcPr>
            <w:tcW w:w="5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b w:val="1"/>
                <w:bCs w:val="1"/>
                <w:color w:val="auto"/>
              </w:rPr>
              <w:t>2003</w:t>
            </w:r>
          </w:p>
        </w:tc>
        <w:tc>
          <w:tcPr>
            <w:tcW w:w="480" w:type="dxa"/>
            <w:vAlign w:val="bottom"/>
          </w:tcPr>
          <w:p>
            <w:pPr>
              <w:spacing w:after="0"/>
              <w:rPr>
                <w:sz w:val="17"/>
                <w:szCs w:val="17"/>
                <w:color w:val="auto"/>
              </w:rPr>
            </w:pPr>
          </w:p>
        </w:tc>
        <w:tc>
          <w:tcPr>
            <w:tcW w:w="3620" w:type="dxa"/>
            <w:vAlign w:val="bottom"/>
          </w:tcPr>
          <w:p>
            <w:pPr>
              <w:jc w:val="right"/>
              <w:ind w:right="2472"/>
              <w:spacing w:after="0" w:line="203" w:lineRule="exact"/>
              <w:rPr>
                <w:sz w:val="20"/>
                <w:szCs w:val="20"/>
                <w:color w:val="auto"/>
              </w:rPr>
            </w:pPr>
            <w:r>
              <w:rPr>
                <w:rFonts w:ascii="Courier New" w:cs="Courier New" w:eastAsia="Courier New" w:hAnsi="Courier New"/>
                <w:sz w:val="18"/>
                <w:szCs w:val="18"/>
                <w:b w:val="1"/>
                <w:bCs w:val="1"/>
                <w:color w:val="auto"/>
              </w:rPr>
              <w:t>2002</w:t>
            </w:r>
          </w:p>
        </w:tc>
      </w:tr>
      <w:tr>
        <w:trPr>
          <w:trHeight w:val="203"/>
        </w:trPr>
        <w:tc>
          <w:tcPr>
            <w:tcW w:w="5320" w:type="dxa"/>
            <w:vAlign w:val="bottom"/>
          </w:tcPr>
          <w:p>
            <w:pPr>
              <w:spacing w:after="0"/>
              <w:rPr>
                <w:sz w:val="17"/>
                <w:szCs w:val="17"/>
                <w:color w:val="auto"/>
              </w:rPr>
            </w:pPr>
          </w:p>
        </w:tc>
        <w:tc>
          <w:tcPr>
            <w:tcW w:w="2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b w:val="1"/>
                <w:bCs w:val="1"/>
                <w:color w:val="auto"/>
                <w:w w:val="99"/>
              </w:rPr>
              <w:t>-----------------</w:t>
            </w:r>
          </w:p>
        </w:tc>
        <w:tc>
          <w:tcPr>
            <w:tcW w:w="41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sales</w:t>
            </w:r>
          </w:p>
        </w:tc>
        <w:tc>
          <w:tcPr>
            <w:tcW w:w="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57,609</w:t>
            </w:r>
          </w:p>
        </w:tc>
        <w:tc>
          <w:tcPr>
            <w:tcW w:w="480" w:type="dxa"/>
            <w:vAlign w:val="bottom"/>
          </w:tcPr>
          <w:p>
            <w:pPr>
              <w:spacing w:after="0"/>
              <w:rPr>
                <w:sz w:val="17"/>
                <w:szCs w:val="17"/>
                <w:color w:val="auto"/>
              </w:rPr>
            </w:pP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w w:val="94"/>
              </w:rPr>
              <w:t>$ 47,200</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64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42,743</w:t>
            </w:r>
          </w:p>
        </w:tc>
        <w:tc>
          <w:tcPr>
            <w:tcW w:w="480" w:type="dxa"/>
            <w:vAlign w:val="bottom"/>
          </w:tcPr>
          <w:p>
            <w:pPr>
              <w:spacing w:after="0"/>
              <w:rPr>
                <w:sz w:val="17"/>
                <w:szCs w:val="17"/>
                <w:color w:val="auto"/>
              </w:rPr>
            </w:pP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35,532</w:t>
            </w:r>
          </w:p>
        </w:tc>
      </w:tr>
      <w:tr>
        <w:trPr>
          <w:trHeight w:val="203"/>
        </w:trPr>
        <w:tc>
          <w:tcPr>
            <w:tcW w:w="5320" w:type="dxa"/>
            <w:vAlign w:val="bottom"/>
          </w:tcPr>
          <w:p>
            <w:pPr>
              <w:spacing w:after="0"/>
              <w:rPr>
                <w:sz w:val="17"/>
                <w:szCs w:val="17"/>
                <w:color w:val="auto"/>
              </w:rPr>
            </w:pPr>
          </w:p>
        </w:tc>
        <w:tc>
          <w:tcPr>
            <w:tcW w:w="2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w:t>
            </w:r>
          </w:p>
        </w:tc>
        <w:tc>
          <w:tcPr>
            <w:tcW w:w="41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Gross profit</w:t>
            </w:r>
          </w:p>
        </w:tc>
        <w:tc>
          <w:tcPr>
            <w:tcW w:w="64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14,866</w:t>
            </w:r>
          </w:p>
        </w:tc>
        <w:tc>
          <w:tcPr>
            <w:tcW w:w="480" w:type="dxa"/>
            <w:vAlign w:val="bottom"/>
          </w:tcPr>
          <w:p>
            <w:pPr>
              <w:spacing w:after="0"/>
              <w:rPr>
                <w:sz w:val="17"/>
                <w:szCs w:val="17"/>
                <w:color w:val="auto"/>
              </w:rPr>
            </w:pP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11,668</w:t>
            </w:r>
          </w:p>
        </w:tc>
      </w:tr>
      <w:tr>
        <w:trPr>
          <w:trHeight w:val="405"/>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Selling, general and administrative</w:t>
            </w:r>
          </w:p>
        </w:tc>
        <w:tc>
          <w:tcPr>
            <w:tcW w:w="640" w:type="dxa"/>
            <w:vAlign w:val="bottom"/>
          </w:tcPr>
          <w:p>
            <w:pPr>
              <w:spacing w:after="0"/>
              <w:rPr>
                <w:sz w:val="24"/>
                <w:szCs w:val="24"/>
                <w:color w:val="auto"/>
              </w:rPr>
            </w:pPr>
          </w:p>
        </w:tc>
        <w:tc>
          <w:tcPr>
            <w:tcW w:w="13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4,632</w:t>
            </w:r>
          </w:p>
        </w:tc>
        <w:tc>
          <w:tcPr>
            <w:tcW w:w="480" w:type="dxa"/>
            <w:vAlign w:val="bottom"/>
          </w:tcPr>
          <w:p>
            <w:pPr>
              <w:spacing w:after="0"/>
              <w:rPr>
                <w:sz w:val="24"/>
                <w:szCs w:val="24"/>
                <w:color w:val="auto"/>
              </w:rPr>
            </w:pPr>
          </w:p>
        </w:tc>
        <w:tc>
          <w:tcPr>
            <w:tcW w:w="3620" w:type="dxa"/>
            <w:vAlign w:val="bottom"/>
          </w:tcPr>
          <w:p>
            <w:pPr>
              <w:jc w:val="right"/>
              <w:ind w:right="2692"/>
              <w:spacing w:after="0"/>
              <w:rPr>
                <w:sz w:val="20"/>
                <w:szCs w:val="20"/>
                <w:color w:val="auto"/>
              </w:rPr>
            </w:pPr>
            <w:r>
              <w:rPr>
                <w:rFonts w:ascii="Courier New" w:cs="Courier New" w:eastAsia="Courier New" w:hAnsi="Courier New"/>
                <w:sz w:val="18"/>
                <w:szCs w:val="18"/>
                <w:color w:val="auto"/>
              </w:rPr>
              <w:t>4,498</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64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3,079</w:t>
            </w:r>
          </w:p>
        </w:tc>
        <w:tc>
          <w:tcPr>
            <w:tcW w:w="480" w:type="dxa"/>
            <w:vAlign w:val="bottom"/>
          </w:tcPr>
          <w:p>
            <w:pPr>
              <w:spacing w:after="0"/>
              <w:rPr>
                <w:sz w:val="17"/>
                <w:szCs w:val="17"/>
                <w:color w:val="auto"/>
              </w:rPr>
            </w:pP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2,825</w:t>
            </w:r>
          </w:p>
        </w:tc>
      </w:tr>
      <w:tr>
        <w:trPr>
          <w:trHeight w:val="405"/>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Restructuring and impairment costs</w:t>
            </w:r>
          </w:p>
        </w:tc>
        <w:tc>
          <w:tcPr>
            <w:tcW w:w="640" w:type="dxa"/>
            <w:vAlign w:val="bottom"/>
          </w:tcPr>
          <w:p>
            <w:pPr>
              <w:spacing w:after="0"/>
              <w:rPr>
                <w:sz w:val="24"/>
                <w:szCs w:val="24"/>
                <w:color w:val="auto"/>
              </w:rPr>
            </w:pPr>
          </w:p>
        </w:tc>
        <w:tc>
          <w:tcPr>
            <w:tcW w:w="13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3620" w:type="dxa"/>
            <w:vAlign w:val="bottom"/>
          </w:tcPr>
          <w:p>
            <w:pPr>
              <w:jc w:val="right"/>
              <w:ind w:right="2692"/>
              <w:spacing w:after="0"/>
              <w:rPr>
                <w:sz w:val="20"/>
                <w:szCs w:val="20"/>
                <w:color w:val="auto"/>
              </w:rPr>
            </w:pPr>
            <w:r>
              <w:rPr>
                <w:rFonts w:ascii="Courier New" w:cs="Courier New" w:eastAsia="Courier New" w:hAnsi="Courier New"/>
                <w:sz w:val="18"/>
                <w:szCs w:val="18"/>
                <w:color w:val="auto"/>
              </w:rPr>
              <w:t>78</w:t>
            </w:r>
          </w:p>
        </w:tc>
      </w:tr>
      <w:tr>
        <w:trPr>
          <w:trHeight w:val="203"/>
        </w:trPr>
        <w:tc>
          <w:tcPr>
            <w:tcW w:w="5320" w:type="dxa"/>
            <w:vAlign w:val="bottom"/>
          </w:tcPr>
          <w:p>
            <w:pPr>
              <w:spacing w:after="0"/>
              <w:rPr>
                <w:sz w:val="17"/>
                <w:szCs w:val="17"/>
                <w:color w:val="auto"/>
              </w:rPr>
            </w:pPr>
          </w:p>
        </w:tc>
        <w:tc>
          <w:tcPr>
            <w:tcW w:w="2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jc w:val="right"/>
              <w:ind w:right="227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64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7,155</w:t>
            </w:r>
          </w:p>
        </w:tc>
        <w:tc>
          <w:tcPr>
            <w:tcW w:w="480" w:type="dxa"/>
            <w:vAlign w:val="bottom"/>
          </w:tcPr>
          <w:p>
            <w:pPr>
              <w:spacing w:after="0"/>
              <w:rPr>
                <w:sz w:val="17"/>
                <w:szCs w:val="17"/>
                <w:color w:val="auto"/>
              </w:rPr>
            </w:pP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4,267</w:t>
            </w:r>
          </w:p>
        </w:tc>
      </w:tr>
      <w:tr>
        <w:trPr>
          <w:trHeight w:val="405"/>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Interest expense</w:t>
            </w:r>
          </w:p>
        </w:tc>
        <w:tc>
          <w:tcPr>
            <w:tcW w:w="640" w:type="dxa"/>
            <w:vAlign w:val="bottom"/>
          </w:tcPr>
          <w:p>
            <w:pPr>
              <w:spacing w:after="0"/>
              <w:rPr>
                <w:sz w:val="24"/>
                <w:szCs w:val="24"/>
                <w:color w:val="auto"/>
              </w:rPr>
            </w:pPr>
          </w:p>
        </w:tc>
        <w:tc>
          <w:tcPr>
            <w:tcW w:w="13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513</w:t>
            </w:r>
          </w:p>
        </w:tc>
        <w:tc>
          <w:tcPr>
            <w:tcW w:w="480" w:type="dxa"/>
            <w:vAlign w:val="bottom"/>
          </w:tcPr>
          <w:p>
            <w:pPr>
              <w:spacing w:after="0"/>
              <w:rPr>
                <w:sz w:val="24"/>
                <w:szCs w:val="24"/>
                <w:color w:val="auto"/>
              </w:rPr>
            </w:pPr>
          </w:p>
        </w:tc>
        <w:tc>
          <w:tcPr>
            <w:tcW w:w="3620" w:type="dxa"/>
            <w:vAlign w:val="bottom"/>
          </w:tcPr>
          <w:p>
            <w:pPr>
              <w:jc w:val="right"/>
              <w:ind w:right="2692"/>
              <w:spacing w:after="0"/>
              <w:rPr>
                <w:sz w:val="20"/>
                <w:szCs w:val="20"/>
                <w:color w:val="auto"/>
              </w:rPr>
            </w:pPr>
            <w:r>
              <w:rPr>
                <w:rFonts w:ascii="Courier New" w:cs="Courier New" w:eastAsia="Courier New" w:hAnsi="Courier New"/>
                <w:sz w:val="18"/>
                <w:szCs w:val="18"/>
                <w:color w:val="auto"/>
              </w:rPr>
              <w:t>601</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w:t>
            </w:r>
          </w:p>
        </w:tc>
        <w:tc>
          <w:tcPr>
            <w:tcW w:w="64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w:t>
            </w:r>
          </w:p>
        </w:tc>
        <w:tc>
          <w:tcPr>
            <w:tcW w:w="480" w:type="dxa"/>
            <w:vAlign w:val="bottom"/>
          </w:tcPr>
          <w:p>
            <w:pPr>
              <w:spacing w:after="0"/>
              <w:rPr>
                <w:sz w:val="17"/>
                <w:szCs w:val="17"/>
                <w:color w:val="auto"/>
              </w:rPr>
            </w:pP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(355)</w:t>
            </w:r>
          </w:p>
        </w:tc>
      </w:tr>
      <w:tr>
        <w:trPr>
          <w:trHeight w:val="203"/>
        </w:trPr>
        <w:tc>
          <w:tcPr>
            <w:tcW w:w="5320" w:type="dxa"/>
            <w:vAlign w:val="bottom"/>
          </w:tcPr>
          <w:p>
            <w:pPr>
              <w:spacing w:after="0"/>
              <w:rPr>
                <w:sz w:val="17"/>
                <w:szCs w:val="17"/>
                <w:color w:val="auto"/>
              </w:rPr>
            </w:pPr>
          </w:p>
        </w:tc>
        <w:tc>
          <w:tcPr>
            <w:tcW w:w="2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jc w:val="right"/>
              <w:ind w:right="227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before provision for taxes</w:t>
            </w:r>
          </w:p>
        </w:tc>
        <w:tc>
          <w:tcPr>
            <w:tcW w:w="64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6,649</w:t>
            </w:r>
          </w:p>
        </w:tc>
        <w:tc>
          <w:tcPr>
            <w:tcW w:w="480" w:type="dxa"/>
            <w:vAlign w:val="bottom"/>
          </w:tcPr>
          <w:p>
            <w:pPr>
              <w:spacing w:after="0"/>
              <w:rPr>
                <w:sz w:val="17"/>
                <w:szCs w:val="17"/>
                <w:color w:val="auto"/>
              </w:rPr>
            </w:pP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4,021</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64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2,472</w:t>
            </w:r>
          </w:p>
        </w:tc>
        <w:tc>
          <w:tcPr>
            <w:tcW w:w="480" w:type="dxa"/>
            <w:vAlign w:val="bottom"/>
          </w:tcPr>
          <w:p>
            <w:pPr>
              <w:spacing w:after="0"/>
              <w:rPr>
                <w:sz w:val="17"/>
                <w:szCs w:val="17"/>
                <w:color w:val="auto"/>
              </w:rPr>
            </w:pP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1,505</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Minority interest in consolidated subsidiary</w:t>
            </w:r>
          </w:p>
        </w:tc>
        <w:tc>
          <w:tcPr>
            <w:tcW w:w="64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534</w:t>
            </w:r>
          </w:p>
        </w:tc>
        <w:tc>
          <w:tcPr>
            <w:tcW w:w="480" w:type="dxa"/>
            <w:vAlign w:val="bottom"/>
          </w:tcPr>
          <w:p>
            <w:pPr>
              <w:spacing w:after="0"/>
              <w:rPr>
                <w:sz w:val="17"/>
                <w:szCs w:val="17"/>
                <w:color w:val="auto"/>
              </w:rPr>
            </w:pP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668</w:t>
            </w:r>
          </w:p>
        </w:tc>
      </w:tr>
      <w:tr>
        <w:trPr>
          <w:trHeight w:val="203"/>
        </w:trPr>
        <w:tc>
          <w:tcPr>
            <w:tcW w:w="5320" w:type="dxa"/>
            <w:vAlign w:val="bottom"/>
          </w:tcPr>
          <w:p>
            <w:pPr>
              <w:spacing w:after="0"/>
              <w:rPr>
                <w:sz w:val="17"/>
                <w:szCs w:val="17"/>
                <w:color w:val="auto"/>
              </w:rPr>
            </w:pPr>
          </w:p>
        </w:tc>
        <w:tc>
          <w:tcPr>
            <w:tcW w:w="2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jc w:val="right"/>
              <w:ind w:right="227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income</w:t>
            </w:r>
          </w:p>
        </w:tc>
        <w:tc>
          <w:tcPr>
            <w:tcW w:w="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3,643</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36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1,848</w:t>
            </w:r>
          </w:p>
        </w:tc>
      </w:tr>
      <w:tr>
        <w:trPr>
          <w:trHeight w:val="203"/>
        </w:trPr>
        <w:tc>
          <w:tcPr>
            <w:tcW w:w="5320" w:type="dxa"/>
            <w:vAlign w:val="bottom"/>
          </w:tcPr>
          <w:p>
            <w:pPr>
              <w:spacing w:after="0"/>
              <w:rPr>
                <w:sz w:val="17"/>
                <w:szCs w:val="17"/>
                <w:color w:val="auto"/>
              </w:rPr>
            </w:pPr>
          </w:p>
        </w:tc>
        <w:tc>
          <w:tcPr>
            <w:tcW w:w="2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jc w:val="right"/>
              <w:ind w:right="227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Diluted income per common share</w:t>
            </w:r>
          </w:p>
        </w:tc>
        <w:tc>
          <w:tcPr>
            <w:tcW w:w="64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0.23</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20" w:type="dxa"/>
            <w:vAlign w:val="bottom"/>
          </w:tcPr>
          <w:p>
            <w:pPr>
              <w:jc w:val="right"/>
              <w:ind w:right="2692"/>
              <w:spacing w:after="0"/>
              <w:rPr>
                <w:sz w:val="20"/>
                <w:szCs w:val="20"/>
                <w:color w:val="auto"/>
              </w:rPr>
            </w:pPr>
            <w:r>
              <w:rPr>
                <w:rFonts w:ascii="Courier New" w:cs="Courier New" w:eastAsia="Courier New" w:hAnsi="Courier New"/>
                <w:sz w:val="18"/>
                <w:szCs w:val="18"/>
                <w:color w:val="auto"/>
              </w:rPr>
              <w:t>0.12</w:t>
            </w:r>
          </w:p>
        </w:tc>
      </w:tr>
      <w:tr>
        <w:trPr>
          <w:trHeight w:val="203"/>
        </w:trPr>
        <w:tc>
          <w:tcPr>
            <w:tcW w:w="5320" w:type="dxa"/>
            <w:vAlign w:val="bottom"/>
          </w:tcPr>
          <w:p>
            <w:pPr>
              <w:spacing w:after="0"/>
              <w:rPr>
                <w:sz w:val="17"/>
                <w:szCs w:val="17"/>
                <w:color w:val="auto"/>
              </w:rPr>
            </w:pPr>
          </w:p>
        </w:tc>
        <w:tc>
          <w:tcPr>
            <w:tcW w:w="2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jc w:val="right"/>
              <w:ind w:right="227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387"/>
        </w:trPr>
        <w:tc>
          <w:tcPr>
            <w:tcW w:w="5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NN, Inc.</w:t>
      </w:r>
    </w:p>
    <w:p>
      <w:pPr>
        <w:ind w:left="3060"/>
        <w:spacing w:after="0" w:line="238" w:lineRule="auto"/>
        <w:rPr>
          <w:sz w:val="20"/>
          <w:szCs w:val="20"/>
          <w:color w:val="auto"/>
        </w:rPr>
      </w:pPr>
      <w:r>
        <w:rPr>
          <w:rFonts w:ascii="Courier New" w:cs="Courier New" w:eastAsia="Courier New" w:hAnsi="Courier New"/>
          <w:sz w:val="18"/>
          <w:szCs w:val="18"/>
          <w:b w:val="1"/>
          <w:bCs w:val="1"/>
          <w:color w:val="auto"/>
        </w:rPr>
        <w:t>Condensed Balance Sheet</w:t>
      </w:r>
    </w:p>
    <w:p>
      <w:pPr>
        <w:jc w:val="center"/>
        <w:ind w:right="2980"/>
        <w:spacing w:after="0"/>
        <w:rPr>
          <w:sz w:val="20"/>
          <w:szCs w:val="20"/>
          <w:color w:val="auto"/>
        </w:rPr>
      </w:pPr>
      <w:r>
        <w:rPr>
          <w:rFonts w:ascii="Courier New" w:cs="Courier New" w:eastAsia="Courier New" w:hAnsi="Courier New"/>
          <w:sz w:val="18"/>
          <w:szCs w:val="18"/>
          <w:b w:val="1"/>
          <w:bCs w:val="1"/>
          <w:color w:val="auto"/>
        </w:rPr>
        <w:t>(In Thousands, except per share amounts)</w:t>
      </w:r>
    </w:p>
    <w:p>
      <w:pPr>
        <w:jc w:val="center"/>
        <w:ind w:right="2880"/>
        <w:spacing w:after="0" w:line="237" w:lineRule="auto"/>
        <w:rPr>
          <w:sz w:val="20"/>
          <w:szCs w:val="20"/>
          <w:color w:val="auto"/>
        </w:rPr>
      </w:pPr>
      <w:r>
        <w:rPr>
          <w:rFonts w:ascii="Courier New" w:cs="Courier New" w:eastAsia="Courier New" w:hAnsi="Courier New"/>
          <w:sz w:val="18"/>
          <w:szCs w:val="18"/>
          <w:b w:val="1"/>
          <w:bCs w:val="1"/>
          <w:color w:val="auto"/>
        </w:rPr>
        <w:t>(Unaudited)</w:t>
      </w:r>
    </w:p>
    <w:p>
      <w:pPr>
        <w:spacing w:after="0" w:line="202" w:lineRule="exact"/>
        <w:rPr>
          <w:sz w:val="20"/>
          <w:szCs w:val="20"/>
          <w:color w:val="auto"/>
        </w:rPr>
      </w:pPr>
    </w:p>
    <w:p>
      <w:pPr>
        <w:ind w:left="5900"/>
        <w:spacing w:after="0"/>
        <w:tabs>
          <w:tab w:leader="none" w:pos="7160" w:val="left"/>
        </w:tabs>
        <w:rPr>
          <w:sz w:val="20"/>
          <w:szCs w:val="20"/>
          <w:color w:val="auto"/>
        </w:rPr>
      </w:pPr>
      <w:r>
        <w:rPr>
          <w:rFonts w:ascii="Courier New" w:cs="Courier New" w:eastAsia="Courier New" w:hAnsi="Courier New"/>
          <w:sz w:val="18"/>
          <w:szCs w:val="18"/>
          <w:b w:val="1"/>
          <w:bCs w:val="1"/>
          <w:color w:val="auto"/>
        </w:rPr>
        <w:t>March 31,</w:t>
      </w:r>
      <w:r>
        <w:rPr>
          <w:sz w:val="20"/>
          <w:szCs w:val="20"/>
          <w:color w:val="auto"/>
        </w:rPr>
        <w:tab/>
      </w:r>
      <w:r>
        <w:rPr>
          <w:rFonts w:ascii="Courier New" w:cs="Courier New" w:eastAsia="Courier New" w:hAnsi="Courier New"/>
          <w:sz w:val="16"/>
          <w:szCs w:val="16"/>
          <w:b w:val="1"/>
          <w:bCs w:val="1"/>
          <w:color w:val="auto"/>
        </w:rPr>
        <w:t>December 31,</w:t>
      </w:r>
    </w:p>
    <w:p>
      <w:pPr>
        <w:ind w:left="6120"/>
        <w:spacing w:after="0" w:line="238" w:lineRule="auto"/>
        <w:tabs>
          <w:tab w:leader="none" w:pos="7360" w:val="left"/>
        </w:tabs>
        <w:rPr>
          <w:sz w:val="20"/>
          <w:szCs w:val="20"/>
          <w:color w:val="auto"/>
        </w:rPr>
      </w:pPr>
      <w:r>
        <w:rPr>
          <w:rFonts w:ascii="Courier New" w:cs="Courier New" w:eastAsia="Courier New" w:hAnsi="Courier New"/>
          <w:sz w:val="18"/>
          <w:szCs w:val="18"/>
          <w:b w:val="1"/>
          <w:bCs w:val="1"/>
          <w:color w:val="auto"/>
        </w:rPr>
        <w:t>2003</w:t>
      </w:r>
      <w:r>
        <w:rPr>
          <w:sz w:val="20"/>
          <w:szCs w:val="20"/>
          <w:color w:val="auto"/>
        </w:rPr>
        <w:tab/>
      </w:r>
      <w:r>
        <w:rPr>
          <w:rFonts w:ascii="Courier New" w:cs="Courier New" w:eastAsia="Courier New" w:hAnsi="Courier New"/>
          <w:sz w:val="18"/>
          <w:szCs w:val="18"/>
          <w:b w:val="1"/>
          <w:bCs w:val="1"/>
          <w:color w:val="auto"/>
        </w:rPr>
        <w:t>2002</w:t>
      </w:r>
    </w:p>
    <w:p>
      <w:pPr>
        <w:ind w:left="5800"/>
        <w:spacing w:after="0"/>
        <w:tabs>
          <w:tab w:leader="none" w:pos="7160" w:val="left"/>
        </w:tabs>
        <w:rPr>
          <w:sz w:val="20"/>
          <w:szCs w:val="20"/>
          <w:color w:val="auto"/>
        </w:rPr>
      </w:pPr>
      <w:r>
        <w:rPr>
          <w:rFonts w:ascii="Courier New" w:cs="Courier New" w:eastAsia="Courier New" w:hAnsi="Courier New"/>
          <w:sz w:val="18"/>
          <w:szCs w:val="18"/>
          <w:b w:val="1"/>
          <w:bCs w:val="1"/>
          <w:color w:val="auto"/>
        </w:rPr>
        <w:t>-----------</w:t>
      </w:r>
      <w:r>
        <w:rPr>
          <w:sz w:val="20"/>
          <w:szCs w:val="20"/>
          <w:color w:val="auto"/>
        </w:rPr>
        <w:tab/>
      </w:r>
      <w:r>
        <w:rPr>
          <w:rFonts w:ascii="Courier New" w:cs="Courier New" w:eastAsia="Courier New" w:hAnsi="Courier New"/>
          <w:sz w:val="16"/>
          <w:szCs w:val="16"/>
          <w:b w:val="1"/>
          <w:bCs w:val="1"/>
          <w:color w:val="auto"/>
        </w:rPr>
        <w:t>---------</w:t>
      </w:r>
    </w:p>
    <w:p>
      <w:pPr>
        <w:ind w:left="540"/>
        <w:spacing w:after="0" w:line="237" w:lineRule="auto"/>
        <w:rPr>
          <w:sz w:val="20"/>
          <w:szCs w:val="20"/>
          <w:color w:val="auto"/>
        </w:rPr>
      </w:pPr>
      <w:r>
        <w:rPr>
          <w:rFonts w:ascii="Courier New" w:cs="Courier New" w:eastAsia="Courier New" w:hAnsi="Courier New"/>
          <w:sz w:val="18"/>
          <w:szCs w:val="18"/>
          <w:b w:val="1"/>
          <w:bCs w:val="1"/>
          <w:color w:val="auto"/>
        </w:rPr>
        <w:t>Assets</w:t>
      </w:r>
    </w:p>
    <w:p>
      <w:pPr>
        <w:spacing w:after="0" w:line="238" w:lineRule="auto"/>
        <w:rPr>
          <w:sz w:val="20"/>
          <w:szCs w:val="20"/>
          <w:color w:val="auto"/>
        </w:rPr>
      </w:pPr>
      <w:r>
        <w:rPr>
          <w:rFonts w:ascii="Courier New" w:cs="Courier New" w:eastAsia="Courier New" w:hAnsi="Courier New"/>
          <w:sz w:val="18"/>
          <w:szCs w:val="18"/>
          <w:color w:val="auto"/>
        </w:rPr>
        <w:t>Current assets:</w:t>
      </w:r>
    </w:p>
    <w:p>
      <w:pPr>
        <w:sectPr>
          <w:pgSz w:w="11900" w:h="16895" w:orient="portrait"/>
          <w:cols w:equalWidth="0" w:num="1">
            <w:col w:w="11420"/>
          </w:cols>
          <w:pgMar w:left="240" w:top="136"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3,228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5,144</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39,092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28,965</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 net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25,594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23,402</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3,901</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73,289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61,412</w:t>
            </w: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89,536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88,199</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held for sale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42,166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4,016</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$212,096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$198,007</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860"/>
              <w:spacing w:after="0"/>
              <w:rPr>
                <w:sz w:val="20"/>
                <w:szCs w:val="20"/>
                <w:color w:val="auto"/>
              </w:rPr>
            </w:pPr>
            <w:r>
              <w:rPr>
                <w:rFonts w:ascii="Courier New" w:cs="Courier New" w:eastAsia="Courier New" w:hAnsi="Courier New"/>
                <w:sz w:val="18"/>
                <w:szCs w:val="18"/>
                <w:b w:val="1"/>
                <w:bCs w:val="1"/>
                <w:color w:val="auto"/>
              </w:rPr>
              <w:t>Liabilities and Stockholders' Equity</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$ 27,377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$ 23,020</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6,354</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portion of long-term notes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3,240</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47,165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40,234</w:t>
            </w: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subsidiaries</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20,987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19,706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notes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46,236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46,135</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9,840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9,319</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133,707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124,728</w:t>
            </w:r>
          </w:p>
        </w:tc>
      </w:tr>
      <w:tr>
        <w:trPr>
          <w:trHeight w:val="608"/>
        </w:trPr>
        <w:tc>
          <w:tcPr>
            <w:tcW w:w="5640" w:type="dxa"/>
            <w:vAlign w:val="bottom"/>
          </w:tcPr>
          <w:p>
            <w:pPr>
              <w:ind w:left="1060"/>
              <w:spacing w:after="0"/>
              <w:rPr>
                <w:sz w:val="20"/>
                <w:szCs w:val="20"/>
                <w:color w:val="auto"/>
              </w:rPr>
            </w:pPr>
            <w:r>
              <w:rPr>
                <w:rFonts w:ascii="Courier New" w:cs="Courier New" w:eastAsia="Courier New" w:hAnsi="Courier New"/>
                <w:sz w:val="18"/>
                <w:szCs w:val="18"/>
                <w:color w:val="auto"/>
              </w:rPr>
              <w:t>Total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78,389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73,279</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106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$212,096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$198,007</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2019-12-11T23:51:06Z</dcterms:created>
  <dcterms:modified xsi:type="dcterms:W3CDTF">2019-12-11T23:51:06Z</dcterms:modified>
</cp:coreProperties>
</file>