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PURSUANT TO SECTION 13 OR 15(d)</w:t>
      </w:r>
    </w:p>
    <w:p>
      <w:pPr>
        <w:jc w:val="center"/>
        <w:ind w:right="-1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Date of Report (Date of earliest event reported): July 21,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229870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412750</wp:posOffset>
            </wp:positionV>
            <wp:extent cx="640080" cy="640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0080" cy="640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42"/>
          <w:szCs w:val="42"/>
          <w:b w:val="1"/>
          <w:bCs w:val="1"/>
          <w:color w:val="auto"/>
        </w:rPr>
        <w:t>NN,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224155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5"/>
          <w:szCs w:val="15"/>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62-1096725</w:t>
      </w:r>
    </w:p>
    <w:p>
      <w:pPr>
        <w:spacing w:after="0" w:line="43" w:lineRule="exact"/>
        <w:rPr>
          <w:sz w:val="24"/>
          <w:szCs w:val="24"/>
          <w:color w:val="auto"/>
        </w:rPr>
      </w:pPr>
    </w:p>
    <w:p>
      <w:pPr>
        <w:sectPr>
          <w:pgSz w:w="11900" w:h="16838" w:orient="portrait"/>
          <w:cols w:equalWidth="0" w:num="3">
            <w:col w:w="4820" w:space="720"/>
            <w:col w:w="2920" w:space="720"/>
            <w:col w:w="2080"/>
          </w:cols>
          <w:pgMar w:left="240" w:top="360" w:right="3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223" w:lineRule="exact"/>
        <w:rPr>
          <w:sz w:val="24"/>
          <w:szCs w:val="24"/>
          <w:color w:val="auto"/>
        </w:rPr>
      </w:pPr>
    </w:p>
    <w:p>
      <w:pPr>
        <w:sectPr>
          <w:pgSz w:w="11900" w:h="16838" w:orient="portrait"/>
          <w:cols w:equalWidth="0" w:num="3">
            <w:col w:w="4720" w:space="720"/>
            <w:col w:w="2900" w:space="720"/>
            <w:col w:w="2200"/>
          </w:cols>
          <w:pgMar w:left="240" w:top="360" w:right="399" w:bottom="1440" w:gutter="0" w:footer="0" w:header="0"/>
          <w:type w:val="continuous"/>
        </w:sectPr>
      </w:pPr>
    </w:p>
    <w:p>
      <w:pPr>
        <w:spacing w:after="0" w:line="20" w:lineRule="exact"/>
        <w:rPr>
          <w:sz w:val="24"/>
          <w:szCs w:val="24"/>
          <w:color w:val="auto"/>
        </w:rPr>
      </w:pPr>
    </w:p>
    <w:p>
      <w:pPr>
        <w:ind w:left="1040"/>
        <w:spacing w:after="0"/>
        <w:rPr>
          <w:sz w:val="20"/>
          <w:szCs w:val="20"/>
          <w:color w:val="auto"/>
        </w:rPr>
      </w:pPr>
      <w:r>
        <w:rPr>
          <w:rFonts w:ascii="Arial" w:cs="Arial" w:eastAsia="Arial" w:hAnsi="Arial"/>
          <w:sz w:val="15"/>
          <w:szCs w:val="15"/>
          <w:b w:val="1"/>
          <w:bCs w:val="1"/>
          <w:color w:val="auto"/>
        </w:rPr>
        <w:t>2000 Waters Edge Drive, Johnson City, Tennessee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37604</w:t>
      </w:r>
    </w:p>
    <w:p>
      <w:pPr>
        <w:spacing w:after="0" w:line="55" w:lineRule="exact"/>
        <w:rPr>
          <w:sz w:val="24"/>
          <w:szCs w:val="24"/>
          <w:color w:val="auto"/>
        </w:rPr>
      </w:pPr>
    </w:p>
    <w:p>
      <w:pPr>
        <w:sectPr>
          <w:pgSz w:w="11900" w:h="16838" w:orient="portrait"/>
          <w:cols w:equalWidth="0" w:num="2">
            <w:col w:w="7720" w:space="720"/>
            <w:col w:w="2820"/>
          </w:cols>
          <w:pgMar w:left="240" w:top="360" w:right="39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98" w:lineRule="exact"/>
        <w:rPr>
          <w:sz w:val="24"/>
          <w:szCs w:val="24"/>
          <w:color w:val="auto"/>
        </w:rPr>
      </w:pPr>
    </w:p>
    <w:p>
      <w:pPr>
        <w:sectPr>
          <w:pgSz w:w="11900" w:h="16838" w:orient="portrait"/>
          <w:cols w:equalWidth="0" w:num="2">
            <w:col w:w="7620" w:space="720"/>
            <w:col w:w="2920"/>
          </w:cols>
          <w:pgMar w:left="240" w:top="360" w:right="399" w:bottom="1440" w:gutter="0" w:footer="0" w:header="0"/>
          <w:type w:val="continuous"/>
        </w:sectPr>
      </w:pPr>
    </w:p>
    <w:p>
      <w:pPr>
        <w:jc w:val="center"/>
        <w:ind w:right="-179"/>
        <w:spacing w:after="0"/>
        <w:rPr>
          <w:sz w:val="20"/>
          <w:szCs w:val="20"/>
          <w:color w:val="auto"/>
        </w:rPr>
      </w:pPr>
      <w:r>
        <w:rPr>
          <w:rFonts w:ascii="Arial" w:cs="Arial" w:eastAsia="Arial" w:hAnsi="Arial"/>
          <w:sz w:val="17"/>
          <w:szCs w:val="17"/>
          <w:b w:val="1"/>
          <w:bCs w:val="1"/>
          <w:color w:val="auto"/>
        </w:rPr>
        <w:t>(423) 743-9151</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8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219710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EXPLANATORY NOTE</w:t>
      </w:r>
    </w:p>
    <w:p>
      <w:pPr>
        <w:spacing w:after="0" w:line="230"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NN, Inc. (the “Company”) is filing this Current Report on Form 8-K/A (this “Amendment”) to amend its Current Report on Form 8-K filed with the Securities and Exchange Commission on July 22, 2014 (the “Original 8-K”). The Company revised the investor presentation filed as Exhibit 99.3 to the Original 8-K. No other changes were made to the Original 8-K or the other exhibits filed therewith.</w:t>
      </w:r>
    </w:p>
    <w:p>
      <w:pPr>
        <w:spacing w:after="0" w:line="309"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125"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On August 8, 2014, the Company posted a revised investor presentation to its website regarding the merger contemplated by that certain Agreement and Plan of Merger, dated July 18, 2014, by and among the Company, PMC Global Acquisition Corporation, a Michigan corporation, Autocam Corporation, a Michigan corporation, Newport Global Advisors, L.P., a Delaware limited partnership, solely in its capacity as a shareholder representative, and John C. Kennedy, solely in his capacity as a shareholder representative and with respect to certain sections of the merger agreement. A copy of the revised investor presentation is attached hereto as Exhibit 99.1.</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Investor Presentation Slides, dated August 8, 2014.</w:t>
      </w:r>
    </w:p>
    <w:p>
      <w:pPr>
        <w:sectPr>
          <w:pgSz w:w="11900" w:h="16838" w:orient="portrait"/>
          <w:cols w:equalWidth="0" w:num="1">
            <w:col w:w="11420"/>
          </w:cols>
          <w:pgMar w:left="240" w:top="26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August 8, 2014</w:t>
      </w:r>
      <w:r>
        <w:rPr>
          <w:sz w:val="20"/>
          <w:szCs w:val="20"/>
          <w:color w:val="auto"/>
        </w:rPr>
        <w:tab/>
      </w:r>
      <w:r>
        <w:rPr>
          <w:rFonts w:ascii="Arial" w:cs="Arial" w:eastAsia="Arial" w:hAnsi="Arial"/>
          <w:sz w:val="17"/>
          <w:szCs w:val="17"/>
          <w:b w:val="1"/>
          <w:bCs w:val="1"/>
          <w:color w:val="auto"/>
        </w:rPr>
        <w:t>NN, INC.</w:t>
      </w:r>
    </w:p>
    <w:p>
      <w:pPr>
        <w:spacing w:after="0" w:line="230" w:lineRule="exact"/>
        <w:rPr>
          <w:sz w:val="20"/>
          <w:szCs w:val="20"/>
          <w:color w:val="auto"/>
        </w:rPr>
      </w:pPr>
    </w:p>
    <w:tbl>
      <w:tblPr>
        <w:tblLayout w:type="fixed"/>
        <w:tblInd w:w="584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C. Kelly, Jr.</w:t>
            </w:r>
          </w:p>
        </w:tc>
      </w:tr>
      <w:tr>
        <w:trPr>
          <w:trHeight w:val="203"/>
        </w:trPr>
        <w:tc>
          <w:tcPr>
            <w:tcW w:w="560" w:type="dxa"/>
            <w:vAlign w:val="bottom"/>
          </w:tcPr>
          <w:p>
            <w:pPr>
              <w:spacing w:after="0"/>
              <w:rPr>
                <w:sz w:val="20"/>
                <w:szCs w:val="20"/>
                <w:color w:val="auto"/>
              </w:rPr>
            </w:pPr>
            <w:r>
              <w:rPr>
                <w:rFonts w:ascii="Arial" w:cs="Arial" w:eastAsia="Arial" w:hAnsi="Arial"/>
                <w:sz w:val="17"/>
                <w:szCs w:val="17"/>
                <w:color w:val="auto"/>
              </w:rPr>
              <w:t>Name:</w:t>
            </w:r>
          </w:p>
        </w:tc>
        <w:tc>
          <w:tcPr>
            <w:tcW w:w="5020" w:type="dxa"/>
            <w:vAlign w:val="bottom"/>
          </w:tcPr>
          <w:p>
            <w:pPr>
              <w:spacing w:after="0"/>
              <w:rPr>
                <w:sz w:val="20"/>
                <w:szCs w:val="20"/>
                <w:color w:val="auto"/>
              </w:rPr>
            </w:pPr>
            <w:r>
              <w:rPr>
                <w:rFonts w:ascii="Arial" w:cs="Arial" w:eastAsia="Arial" w:hAnsi="Arial"/>
                <w:sz w:val="17"/>
                <w:szCs w:val="17"/>
                <w:color w:val="auto"/>
              </w:rPr>
              <w:t>William C. Kelly, Jr.</w:t>
            </w:r>
          </w:p>
        </w:tc>
      </w:tr>
      <w:tr>
        <w:trPr>
          <w:trHeight w:val="222"/>
        </w:trPr>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5020" w:type="dxa"/>
            <w:vAlign w:val="bottom"/>
          </w:tcPr>
          <w:p>
            <w:pPr>
              <w:spacing w:after="0"/>
              <w:rPr>
                <w:sz w:val="20"/>
                <w:szCs w:val="20"/>
                <w:color w:val="auto"/>
              </w:rPr>
            </w:pPr>
            <w:r>
              <w:rPr>
                <w:rFonts w:ascii="Arial" w:cs="Arial" w:eastAsia="Arial" w:hAnsi="Arial"/>
                <w:sz w:val="17"/>
                <w:szCs w:val="17"/>
                <w:color w:val="auto"/>
              </w:rPr>
              <w:t>Vice President and Chief Administrative Officer</w:t>
            </w:r>
          </w:p>
        </w:tc>
      </w:tr>
    </w:tbl>
    <w:p>
      <w:pPr>
        <w:sectPr>
          <w:pgSz w:w="11900" w:h="16838" w:orient="portrait"/>
          <w:cols w:equalWidth="0" w:num="1">
            <w:col w:w="11420"/>
          </w:cols>
          <w:pgMar w:left="240" w:top="265"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INDEX</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Investor Presentation Slides, dated August 8, 2014.</w:t>
      </w:r>
    </w:p>
    <w:p>
      <w:pPr>
        <w:sectPr>
          <w:pgSz w:w="11900" w:h="16838" w:orient="portrait"/>
          <w:cols w:equalWidth="0" w:num="1">
            <w:col w:w="10219"/>
          </w:cols>
          <w:pgMar w:left="240" w:top="2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312025" cy="4116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2025" cy="411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FFFFFF"/>
        </w:rPr>
        <w:t>NN, Inc. Acquisition of Autocam Corporation</w:t>
      </w:r>
    </w:p>
    <w:p>
      <w:pPr>
        <w:spacing w:after="0"/>
        <w:rPr>
          <w:sz w:val="20"/>
          <w:szCs w:val="20"/>
          <w:color w:val="auto"/>
        </w:rPr>
      </w:pPr>
      <w:r>
        <w:rPr>
          <w:rFonts w:ascii="Arial" w:cs="Arial" w:eastAsia="Arial" w:hAnsi="Arial"/>
          <w:sz w:val="13"/>
          <w:szCs w:val="13"/>
          <w:color w:val="FFFFFF"/>
        </w:rPr>
        <w:t>Exhibit 99.1</w:t>
      </w:r>
    </w:p>
    <w:p>
      <w:pPr>
        <w:sectPr>
          <w:pgSz w:w="11900" w:h="16838" w:orient="portrait"/>
          <w:cols w:equalWidth="0" w:num="1">
            <w:col w:w="11420"/>
          </w:cols>
          <w:pgMar w:left="240" w:top="127"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9"/>
          <w:szCs w:val="9"/>
          <w:color w:val="FFFFFF"/>
        </w:rPr>
        <w:t>CautionaryAllstatementsNotein Regardingtheseslides,Forwardotherthan-LookingstatementsStaementsofhistorical fact, are “forward-looking statements” that are made pursuant to the safe harbor provisions of the Private Securities Litigation Reform Act of 1995.</w:t>
      </w:r>
    </w:p>
    <w:p>
      <w:pPr>
        <w:spacing w:after="0" w:line="24" w:lineRule="exact"/>
        <w:rPr>
          <w:sz w:val="20"/>
          <w:szCs w:val="20"/>
          <w:color w:val="auto"/>
        </w:rPr>
      </w:pPr>
    </w:p>
    <w:p>
      <w:pPr>
        <w:ind w:right="100"/>
        <w:spacing w:after="0" w:line="245" w:lineRule="auto"/>
        <w:rPr>
          <w:sz w:val="20"/>
          <w:szCs w:val="20"/>
          <w:color w:val="auto"/>
        </w:rPr>
      </w:pPr>
      <w:r>
        <w:rPr>
          <w:rFonts w:ascii="Arial" w:cs="Arial" w:eastAsia="Arial" w:hAnsi="Arial"/>
          <w:sz w:val="5"/>
          <w:szCs w:val="5"/>
          <w:color w:val="FFFFFF"/>
        </w:rPr>
        <w:t>management,Theseforwardinvolve-lookinguncertaintiesstatements, whichthatcouldare basedsignificantlyoncurrentaffectexpectations,thefinancialestimatesresultsofandNNprojectionsorthecombinedaboutthecompany.industrySuchand forwardmarkets-inlookingwhichstatementsNNandAutocaminclude, operatebutare andnot limitedbeliefs ofto, andstatementsassumptionsaboutmadethebenefitsbyNN of the transaction involving NN and Autocam, including future financial and operating results and the combined company’s plans, objectives, expectations and intentions. All statements thatcustomersaddrss operating</w:t>
      </w:r>
    </w:p>
    <w:p>
      <w:pPr>
        <w:ind w:left="11260"/>
        <w:spacing w:after="0"/>
        <w:rPr>
          <w:sz w:val="20"/>
          <w:szCs w:val="20"/>
          <w:color w:val="auto"/>
        </w:rPr>
      </w:pPr>
      <w:r>
        <w:rPr>
          <w:rFonts w:ascii="Arial" w:cs="Arial" w:eastAsia="Arial" w:hAnsi="Arial"/>
          <w:sz w:val="1"/>
          <w:szCs w:val="1"/>
          <w:color w:val="FFFFFF"/>
        </w:rPr>
        <w:t>combinperformance,dcompany,events integratingordevelopmentsourcompanies,thatweexpectcost savings,oranticipatesynergies,willoccurearningstheperfutureshare,- includingandexpectedstatementstimetablerelatingfortocompletingcreatingvaluethe proposedforstockholders,transactionbenefits-are offorwardthetransaction-looking statements.to Theseand employeesstatements ofarethenot</w:t>
      </w:r>
    </w:p>
    <w:p>
      <w:pPr>
        <w:spacing w:after="0" w:line="182" w:lineRule="auto"/>
        <w:rPr>
          <w:sz w:val="20"/>
          <w:szCs w:val="20"/>
          <w:color w:val="auto"/>
        </w:rPr>
      </w:pPr>
      <w:r>
        <w:rPr>
          <w:rFonts w:ascii="Arial" w:cs="Arial" w:eastAsia="Arial" w:hAnsi="Arial"/>
          <w:sz w:val="7"/>
          <w:szCs w:val="7"/>
          <w:color w:val="FFFFFF"/>
        </w:rPr>
        <w:t>guarantees of future performance and involve certain risks, uncertainties and assumptions thattherefore,adifficult to predict. Although we believe the expectations reflected in any forwa</w:t>
      </w:r>
      <w:r>
        <w:rPr>
          <w:rFonts w:ascii="Arial" w:cs="Arial" w:eastAsia="Arial" w:hAnsi="Arial"/>
          <w:sz w:val="9"/>
          <w:szCs w:val="9"/>
          <w:color w:val="FFFFFF"/>
          <w:vertAlign w:val="subscript"/>
        </w:rPr>
        <w:t>or</w:t>
      </w:r>
      <w:r>
        <w:rPr>
          <w:rFonts w:ascii="Arial" w:cs="Arial" w:eastAsia="Arial" w:hAnsi="Arial"/>
          <w:sz w:val="7"/>
          <w:szCs w:val="7"/>
          <w:color w:val="FFFFFF"/>
        </w:rPr>
        <w:t>d-looking statements are based on</w:t>
      </w:r>
    </w:p>
    <w:p>
      <w:pPr>
        <w:ind w:right="180"/>
        <w:spacing w:after="0" w:line="182" w:lineRule="auto"/>
        <w:rPr>
          <w:sz w:val="20"/>
          <w:szCs w:val="20"/>
          <w:color w:val="auto"/>
        </w:rPr>
      </w:pPr>
      <w:r>
        <w:rPr>
          <w:rFonts w:ascii="Arial" w:cs="Arial" w:eastAsia="Arial" w:hAnsi="Arial"/>
          <w:sz w:val="7"/>
          <w:szCs w:val="7"/>
          <w:color w:val="FFFFFF"/>
        </w:rPr>
        <w:t>reasonable assumptions, we can give no assurance that our expectations will be attained and actual outcomes and results may differ materially from what is expressed forecasted in such forward-looking statements. For exampl</w:t>
      </w:r>
      <w:r>
        <w:rPr>
          <w:rFonts w:ascii="Arial" w:cs="Arial" w:eastAsia="Arial" w:hAnsi="Arial"/>
          <w:sz w:val="9"/>
          <w:szCs w:val="9"/>
          <w:color w:val="FFFFFF"/>
          <w:vertAlign w:val="superscript"/>
        </w:rPr>
        <w:t>the</w:t>
      </w:r>
      <w:r>
        <w:rPr>
          <w:rFonts w:ascii="Arial" w:cs="Arial" w:eastAsia="Arial" w:hAnsi="Arial"/>
          <w:sz w:val="7"/>
          <w:szCs w:val="7"/>
          <w:color w:val="FFFFFF"/>
        </w:rPr>
        <w:t>, these forward-looking statements could be affected by factors including, without limitation:</w:t>
      </w:r>
    </w:p>
    <w:p>
      <w:pPr>
        <w:spacing w:after="0" w:line="205" w:lineRule="auto"/>
        <w:tabs>
          <w:tab w:leader="none" w:pos="1300" w:val="left"/>
        </w:tabs>
        <w:rPr>
          <w:sz w:val="20"/>
          <w:szCs w:val="20"/>
          <w:color w:val="auto"/>
        </w:rPr>
      </w:pPr>
      <w:r>
        <w:rPr>
          <w:rFonts w:ascii="Arial" w:cs="Arial" w:eastAsia="Arial" w:hAnsi="Arial"/>
          <w:sz w:val="4"/>
          <w:szCs w:val="4"/>
          <w:color w:val="FFFFFF"/>
        </w:rPr>
        <w:t>risks associated with</w:t>
      </w:r>
      <w:r>
        <w:rPr>
          <w:sz w:val="20"/>
          <w:szCs w:val="20"/>
          <w:color w:val="auto"/>
        </w:rPr>
        <w:tab/>
      </w:r>
      <w:r>
        <w:rPr>
          <w:rFonts w:ascii="Arial" w:cs="Arial" w:eastAsia="Arial" w:hAnsi="Arial"/>
          <w:sz w:val="4"/>
          <w:szCs w:val="4"/>
          <w:color w:val="FFFFFF"/>
        </w:rPr>
        <w:t>ability to consummate the merger and the timing of the closing of the merger;</w:t>
      </w:r>
    </w:p>
    <w:p>
      <w:pPr>
        <w:ind w:right="60" w:firstLine="193"/>
        <w:spacing w:after="0"/>
        <w:rPr>
          <w:sz w:val="20"/>
          <w:szCs w:val="20"/>
          <w:color w:val="auto"/>
        </w:rPr>
      </w:pPr>
      <w:r>
        <w:rPr>
          <w:rFonts w:ascii="Arial" w:cs="Arial" w:eastAsia="Arial" w:hAnsi="Arial"/>
          <w:sz w:val="3"/>
          <w:szCs w:val="3"/>
          <w:color w:val="FFFFFF"/>
        </w:rPr>
        <w:t xml:space="preserve">failure to obtain the necessary debt financing arrangements set forth in the commitment letter received in connection with the merger; the interest rate on any borrowings incurred in connection with the transaction; </w:t>
      </w:r>
      <w:r>
        <w:rPr>
          <w:rFonts w:ascii="Arial" w:cs="Arial" w:eastAsia="Arial" w:hAnsi="Arial"/>
          <w:sz w:val="6"/>
          <w:szCs w:val="6"/>
          <w:color w:val="FFFFFF"/>
          <w:vertAlign w:val="subscript"/>
        </w:rPr>
        <w:t>the</w:t>
      </w:r>
      <w:r>
        <w:rPr>
          <w:rFonts w:ascii="Arial" w:cs="Arial" w:eastAsia="Arial" w:hAnsi="Arial"/>
          <w:sz w:val="3"/>
          <w:szCs w:val="3"/>
          <w:color w:val="FFFFFF"/>
        </w:rPr>
        <w:t xml:space="preserve"> impact of the indebtedness incurred to finance the transaction; the ability to successfully integrate our operations and employees; the </w:t>
      </w:r>
      <w:r>
        <w:rPr>
          <w:rFonts w:ascii="Arial" w:cs="Arial" w:eastAsia="Arial" w:hAnsi="Arial"/>
          <w:sz w:val="6"/>
          <w:szCs w:val="6"/>
          <w:color w:val="FFFFFF"/>
          <w:vertAlign w:val="subscript"/>
        </w:rPr>
        <w:t>customers</w:t>
      </w:r>
      <w:r>
        <w:rPr>
          <w:rFonts w:ascii="Arial" w:cs="Arial" w:eastAsia="Arial" w:hAnsi="Arial"/>
          <w:sz w:val="3"/>
          <w:szCs w:val="3"/>
          <w:color w:val="FFFFFF"/>
        </w:rPr>
        <w:t>abilityrealize anticipated benefits and synergies of the transaction;</w:t>
      </w:r>
    </w:p>
    <w:p>
      <w:pPr>
        <w:spacing w:after="0" w:line="10" w:lineRule="exact"/>
        <w:rPr>
          <w:sz w:val="20"/>
          <w:szCs w:val="20"/>
          <w:color w:val="auto"/>
        </w:rPr>
      </w:pPr>
    </w:p>
    <w:p>
      <w:pPr>
        <w:ind w:right="40" w:firstLine="193"/>
        <w:spacing w:after="0"/>
        <w:rPr>
          <w:sz w:val="20"/>
          <w:szCs w:val="20"/>
          <w:color w:val="auto"/>
        </w:rPr>
      </w:pPr>
      <w:r>
        <w:rPr>
          <w:rFonts w:ascii="Arial" w:cs="Arial" w:eastAsia="Arial" w:hAnsi="Arial"/>
          <w:sz w:val="5"/>
          <w:szCs w:val="5"/>
          <w:color w:val="FFFFFF"/>
        </w:rPr>
        <w:t>potential impact of announcement of the transaction or consummation of the transaction on relationships, including with employees, and competitors; the outcome of any legal proceedings that have been or may be instituted against NN following announcement of the transaction; the ability to retain key personnel; the amount of the costs, fees, expenses and charges related to the merger and the actual terms of the financings that will be obtained for the merger; and changes in financial markets, interest rates and foreign currency exchange rates.</w:t>
      </w:r>
    </w:p>
    <w:p>
      <w:pPr>
        <w:spacing w:after="0" w:line="3" w:lineRule="exact"/>
        <w:rPr>
          <w:sz w:val="20"/>
          <w:szCs w:val="20"/>
          <w:color w:val="auto"/>
        </w:rPr>
      </w:pPr>
    </w:p>
    <w:p>
      <w:pPr>
        <w:ind w:right="100"/>
        <w:spacing w:after="0" w:line="234" w:lineRule="auto"/>
        <w:rPr>
          <w:sz w:val="20"/>
          <w:szCs w:val="20"/>
          <w:color w:val="auto"/>
        </w:rPr>
      </w:pPr>
      <w:r>
        <w:rPr>
          <w:rFonts w:ascii="Arial" w:cs="Arial" w:eastAsia="Arial" w:hAnsi="Arial"/>
          <w:sz w:val="7"/>
          <w:szCs w:val="7"/>
          <w:color w:val="FFFFFF"/>
        </w:rPr>
        <w:t>Additional factors that could cause actual results to differ materially from the forward-looking statements included in this presentation include those additional risks and factors discussed in NN’s periodic reports filed with the SEC. NN does not intend, and undertakes no obligation, to update any forward-looking statement.</w:t>
      </w:r>
    </w:p>
    <w:p>
      <w:pPr>
        <w:spacing w:after="0"/>
        <w:rPr>
          <w:sz w:val="20"/>
          <w:szCs w:val="20"/>
          <w:color w:val="auto"/>
        </w:rPr>
      </w:pPr>
      <w:r>
        <w:rPr>
          <w:rFonts w:ascii="Arial" w:cs="Arial" w:eastAsia="Arial" w:hAnsi="Arial"/>
          <w:sz w:val="13"/>
          <w:szCs w:val="13"/>
          <w:color w:val="FFFFFF"/>
        </w:rPr>
        <w:t>2</w:t>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Overview of Autocam</w:t>
      </w:r>
    </w:p>
    <w:p>
      <w:pPr>
        <w:spacing w:after="0" w:line="182" w:lineRule="auto"/>
        <w:rPr>
          <w:sz w:val="20"/>
          <w:szCs w:val="20"/>
          <w:color w:val="auto"/>
        </w:rPr>
      </w:pPr>
      <w:r>
        <w:rPr>
          <w:rFonts w:ascii="Arial" w:cs="Arial" w:eastAsia="Arial" w:hAnsi="Arial"/>
          <w:sz w:val="9"/>
          <w:szCs w:val="9"/>
          <w:color w:val="FFFFFF"/>
        </w:rPr>
        <w:t>TheAutocamcompanyis globalhasfourleaderproductinengineering,segments: manufacturing and assembly of extremely close tolerance, highly complex, system critical components for the global automotive markets</w:t>
      </w:r>
    </w:p>
    <w:p>
      <w:pPr>
        <w:spacing w:after="0" w:line="205" w:lineRule="auto"/>
        <w:rPr>
          <w:sz w:val="20"/>
          <w:szCs w:val="20"/>
          <w:color w:val="auto"/>
        </w:rPr>
      </w:pPr>
      <w:r>
        <w:rPr>
          <w:rFonts w:ascii="Arial" w:cs="Arial" w:eastAsia="Arial" w:hAnsi="Arial"/>
          <w:sz w:val="4"/>
          <w:szCs w:val="4"/>
          <w:color w:val="FFFFFF"/>
        </w:rPr>
        <w:t>Fuel Systems (“FS”)</w:t>
      </w:r>
    </w:p>
    <w:p>
      <w:pPr>
        <w:spacing w:after="0" w:line="182" w:lineRule="auto"/>
        <w:rPr>
          <w:sz w:val="20"/>
          <w:szCs w:val="20"/>
          <w:color w:val="auto"/>
        </w:rPr>
      </w:pPr>
      <w:r>
        <w:rPr>
          <w:rFonts w:ascii="Arial" w:cs="Arial" w:eastAsia="Arial" w:hAnsi="Arial"/>
          <w:sz w:val="9"/>
          <w:szCs w:val="9"/>
          <w:color w:val="FFFFFF"/>
        </w:rPr>
        <w:t>PowertrainSteering(“PT”)(“PS”)</w:t>
      </w:r>
    </w:p>
    <w:p>
      <w:pPr>
        <w:ind w:left="11000"/>
        <w:spacing w:after="0"/>
        <w:rPr>
          <w:sz w:val="20"/>
          <w:szCs w:val="20"/>
          <w:color w:val="auto"/>
        </w:rPr>
      </w:pPr>
      <w:r>
        <w:rPr>
          <w:rFonts w:ascii="Arial" w:cs="Arial" w:eastAsia="Arial" w:hAnsi="Arial"/>
          <w:sz w:val="1"/>
          <w:szCs w:val="1"/>
          <w:color w:val="FFFFFF"/>
        </w:rPr>
        <w:t>EstablishedlectricMotors1988,(“EM”)Autocam employs over 2,100 employees, operates 15 manufacturing facilities in the U.S., Europe, South America and Asia, and expects to generate revenues of ~$250 million in 2014; this amount</w:t>
      </w:r>
    </w:p>
    <w:p>
      <w:pPr>
        <w:spacing w:after="0" w:line="182" w:lineRule="auto"/>
        <w:rPr>
          <w:sz w:val="20"/>
          <w:szCs w:val="20"/>
          <w:color w:val="auto"/>
        </w:rPr>
      </w:pPr>
      <w:r>
        <w:rPr>
          <w:rFonts w:ascii="Arial" w:cs="Arial" w:eastAsia="Arial" w:hAnsi="Arial"/>
          <w:sz w:val="9"/>
          <w:szCs w:val="9"/>
          <w:color w:val="FFFFFF"/>
        </w:rPr>
        <w:t>does not include approximately $42 million of expected sales from 49% owned Chinese joint venture that is accounted for under the equity method</w:t>
      </w:r>
    </w:p>
    <w:p>
      <w:pPr>
        <w:ind w:left="280" w:right="2620" w:hanging="268"/>
        <w:spacing w:after="0" w:line="182" w:lineRule="auto"/>
        <w:rPr>
          <w:sz w:val="20"/>
          <w:szCs w:val="20"/>
          <w:color w:val="auto"/>
        </w:rPr>
      </w:pPr>
      <w:r>
        <w:rPr>
          <w:rFonts w:ascii="Arial" w:cs="Arial" w:eastAsia="Arial" w:hAnsi="Arial"/>
          <w:sz w:val="9"/>
          <w:szCs w:val="9"/>
          <w:color w:val="FFFFFF"/>
          <w:vertAlign w:val="superscript"/>
        </w:rPr>
        <w:t>Asutocam</w:t>
      </w:r>
      <w:r>
        <w:rPr>
          <w:rFonts w:ascii="Arial" w:cs="Arial" w:eastAsia="Arial" w:hAnsi="Arial"/>
          <w:sz w:val="7"/>
          <w:szCs w:val="7"/>
          <w:color w:val="FFFFFF"/>
        </w:rPr>
        <w:t xml:space="preserve"> has developed significant competitive advantages; technical capabilities, processes and systems, skilled program management and product launch capabilities global leader, Autocam is well-positioned to benefit from many positive fundamentals in the industry</w:t>
      </w:r>
    </w:p>
    <w:p>
      <w:pPr>
        <w:spacing w:after="0" w:line="182" w:lineRule="auto"/>
        <w:rPr>
          <w:sz w:val="20"/>
          <w:szCs w:val="20"/>
          <w:color w:val="auto"/>
        </w:rPr>
      </w:pPr>
      <w:r>
        <w:rPr>
          <w:rFonts w:ascii="Arial" w:cs="Arial" w:eastAsia="Arial" w:hAnsi="Arial"/>
          <w:sz w:val="9"/>
          <w:szCs w:val="9"/>
          <w:color w:val="FFFFFF"/>
        </w:rPr>
        <w:t>FY 2013 End Markets</w:t>
      </w:r>
    </w:p>
    <w:p>
      <w:pPr>
        <w:spacing w:after="0" w:line="182" w:lineRule="auto"/>
        <w:rPr>
          <w:sz w:val="20"/>
          <w:szCs w:val="20"/>
          <w:color w:val="auto"/>
        </w:rPr>
      </w:pPr>
      <w:r>
        <w:rPr>
          <w:rFonts w:ascii="Arial" w:cs="Arial" w:eastAsia="Arial" w:hAnsi="Arial"/>
          <w:sz w:val="9"/>
          <w:szCs w:val="9"/>
          <w:color w:val="FFFFFF"/>
        </w:rPr>
        <w:t>100%Precision Metal Components</w:t>
      </w:r>
    </w:p>
    <w:p>
      <w:pPr>
        <w:spacing w:after="0" w:line="206" w:lineRule="auto"/>
        <w:rPr>
          <w:sz w:val="20"/>
          <w:szCs w:val="20"/>
          <w:color w:val="auto"/>
        </w:rPr>
      </w:pPr>
      <w:r>
        <w:rPr>
          <w:rFonts w:ascii="Arial" w:cs="Arial" w:eastAsia="Arial" w:hAnsi="Arial"/>
          <w:sz w:val="4"/>
          <w:szCs w:val="4"/>
          <w:color w:val="FFFFFF"/>
        </w:rPr>
        <w:t>AsiaFY2013 Geography</w:t>
      </w:r>
    </w:p>
    <w:p>
      <w:pPr>
        <w:spacing w:after="0" w:line="205" w:lineRule="auto"/>
        <w:rPr>
          <w:sz w:val="20"/>
          <w:szCs w:val="20"/>
          <w:color w:val="auto"/>
        </w:rPr>
      </w:pPr>
      <w:r>
        <w:rPr>
          <w:rFonts w:ascii="Arial" w:cs="Arial" w:eastAsia="Arial" w:hAnsi="Arial"/>
          <w:sz w:val="4"/>
          <w:szCs w:val="4"/>
          <w:color w:val="FFFFFF"/>
        </w:rPr>
        <w:t>Europe</w:t>
      </w:r>
    </w:p>
    <w:p>
      <w:pPr>
        <w:spacing w:after="0" w:line="182" w:lineRule="auto"/>
        <w:rPr>
          <w:sz w:val="20"/>
          <w:szCs w:val="20"/>
          <w:color w:val="auto"/>
        </w:rPr>
      </w:pPr>
      <w:r>
        <w:rPr>
          <w:rFonts w:ascii="Arial" w:cs="Arial" w:eastAsia="Arial" w:hAnsi="Arial"/>
          <w:sz w:val="9"/>
          <w:szCs w:val="9"/>
          <w:color w:val="FFFFFF"/>
          <w:vertAlign w:val="superscript"/>
        </w:rPr>
        <w:t>Sou</w:t>
      </w:r>
      <w:r>
        <w:rPr>
          <w:rFonts w:ascii="Arial" w:cs="Arial" w:eastAsia="Arial" w:hAnsi="Arial"/>
          <w:sz w:val="7"/>
          <w:szCs w:val="7"/>
          <w:color w:val="FFFFFF"/>
        </w:rPr>
        <w:t>North America</w:t>
      </w:r>
    </w:p>
    <w:p>
      <w:pPr>
        <w:spacing w:after="0" w:line="205" w:lineRule="auto"/>
        <w:rPr>
          <w:sz w:val="20"/>
          <w:szCs w:val="20"/>
          <w:color w:val="auto"/>
        </w:rPr>
      </w:pPr>
      <w:r>
        <w:rPr>
          <w:rFonts w:ascii="Arial" w:cs="Arial" w:eastAsia="Arial" w:hAnsi="Arial"/>
          <w:sz w:val="4"/>
          <w:szCs w:val="4"/>
          <w:color w:val="FFFFFF"/>
        </w:rPr>
        <w:t>7%</w:t>
      </w:r>
    </w:p>
    <w:p>
      <w:pPr>
        <w:spacing w:after="0" w:line="205" w:lineRule="auto"/>
        <w:rPr>
          <w:sz w:val="20"/>
          <w:szCs w:val="20"/>
          <w:color w:val="auto"/>
        </w:rPr>
      </w:pPr>
      <w:r>
        <w:rPr>
          <w:rFonts w:ascii="Arial" w:cs="Arial" w:eastAsia="Arial" w:hAnsi="Arial"/>
          <w:sz w:val="2"/>
          <w:szCs w:val="2"/>
          <w:color w:val="FFFFFF"/>
        </w:rPr>
        <w:t>19%</w:t>
      </w:r>
      <w:r>
        <w:rPr>
          <w:rFonts w:ascii="Arial" w:cs="Arial" w:eastAsia="Arial" w:hAnsi="Arial"/>
          <w:sz w:val="4"/>
          <w:szCs w:val="4"/>
          <w:color w:val="FFFFFF"/>
          <w:vertAlign w:val="superscript"/>
        </w:rPr>
        <w:t>6%</w:t>
      </w:r>
    </w:p>
    <w:p>
      <w:pPr>
        <w:spacing w:after="0" w:line="182" w:lineRule="auto"/>
        <w:rPr>
          <w:sz w:val="20"/>
          <w:szCs w:val="20"/>
          <w:color w:val="auto"/>
        </w:rPr>
      </w:pPr>
      <w:r>
        <w:rPr>
          <w:rFonts w:ascii="Arial" w:cs="Arial" w:eastAsia="Arial" w:hAnsi="Arial"/>
          <w:sz w:val="9"/>
          <w:szCs w:val="9"/>
          <w:color w:val="FFFFFF"/>
        </w:rPr>
        <w:t>58%</w:t>
      </w:r>
    </w:p>
    <w:p>
      <w:pPr>
        <w:spacing w:after="0"/>
        <w:rPr>
          <w:sz w:val="20"/>
          <w:szCs w:val="20"/>
          <w:color w:val="auto"/>
        </w:rPr>
      </w:pPr>
      <w:r>
        <w:rPr>
          <w:rFonts w:ascii="Arial" w:cs="Arial" w:eastAsia="Arial" w:hAnsi="Arial"/>
          <w:sz w:val="13"/>
          <w:szCs w:val="13"/>
          <w:color w:val="FFFFFF"/>
        </w:rPr>
        <w:t>3</w:t>
      </w:r>
    </w:p>
    <w:p>
      <w:pPr>
        <w:sectPr>
          <w:pgSz w:w="11900" w:h="16838" w:orient="portrait"/>
          <w:cols w:equalWidth="0" w:num="1">
            <w:col w:w="11400"/>
          </w:cols>
          <w:pgMar w:left="240" w:top="1440" w:right="2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Strategic Rationale</w:t>
      </w:r>
    </w:p>
    <w:p>
      <w:pPr>
        <w:spacing w:after="0" w:line="204" w:lineRule="auto"/>
        <w:rPr>
          <w:sz w:val="20"/>
          <w:szCs w:val="20"/>
          <w:color w:val="auto"/>
        </w:rPr>
      </w:pPr>
      <w:r>
        <w:rPr>
          <w:rFonts w:ascii="Arial" w:cs="Arial" w:eastAsia="Arial" w:hAnsi="Arial"/>
          <w:sz w:val="4"/>
          <w:szCs w:val="4"/>
          <w:color w:val="FFFFFF"/>
        </w:rPr>
        <w:t>Builds out NN’s Precision Metal Components (PMC) platform to one of the top 3 companies in the world</w:t>
      </w:r>
    </w:p>
    <w:p>
      <w:pPr>
        <w:spacing w:after="0" w:line="182" w:lineRule="auto"/>
        <w:rPr>
          <w:sz w:val="20"/>
          <w:szCs w:val="20"/>
          <w:color w:val="auto"/>
        </w:rPr>
      </w:pPr>
      <w:r>
        <w:rPr>
          <w:rFonts w:ascii="Arial" w:cs="Arial" w:eastAsia="Arial" w:hAnsi="Arial"/>
          <w:sz w:val="7"/>
          <w:szCs w:val="7"/>
          <w:color w:val="FFFFFF"/>
        </w:rPr>
        <w:t>Establishes global presence in PMC with well established, profitable operations</w:t>
      </w:r>
      <w:r>
        <w:rPr>
          <w:rFonts w:ascii="Arial" w:cs="Arial" w:eastAsia="Arial" w:hAnsi="Arial"/>
          <w:sz w:val="9"/>
          <w:szCs w:val="9"/>
          <w:color w:val="FFFFFF"/>
          <w:vertAlign w:val="subscript"/>
        </w:rPr>
        <w:t>timing,</w:t>
      </w:r>
      <w:r>
        <w:rPr>
          <w:rFonts w:ascii="Arial" w:cs="Arial" w:eastAsia="Arial" w:hAnsi="Arial"/>
          <w:sz w:val="7"/>
          <w:szCs w:val="7"/>
          <w:color w:val="FFFFFF"/>
        </w:rPr>
        <w:t>Europe, Brazil and China; Avoids high start-up greenfield costs and start-up losses</w:t>
      </w:r>
    </w:p>
    <w:p>
      <w:pPr>
        <w:spacing w:after="0" w:line="206" w:lineRule="auto"/>
        <w:tabs>
          <w:tab w:leader="none" w:pos="4480" w:val="left"/>
        </w:tabs>
        <w:rPr>
          <w:sz w:val="20"/>
          <w:szCs w:val="20"/>
          <w:color w:val="auto"/>
        </w:rPr>
      </w:pPr>
      <w:r>
        <w:rPr>
          <w:rFonts w:ascii="Arial" w:cs="Arial" w:eastAsia="Arial" w:hAnsi="Arial"/>
          <w:sz w:val="2"/>
          <w:szCs w:val="2"/>
          <w:color w:val="FFFFFF"/>
        </w:rPr>
        <w:t>StrongAddshighbook</w:t>
      </w:r>
      <w:r>
        <w:rPr>
          <w:rFonts w:ascii="Arial" w:cs="Arial" w:eastAsia="Arial" w:hAnsi="Arial"/>
          <w:sz w:val="4"/>
          <w:szCs w:val="4"/>
          <w:color w:val="FFFFFF"/>
          <w:vertAlign w:val="subscript"/>
        </w:rPr>
        <w:t>profitable</w:t>
      </w:r>
      <w:r>
        <w:rPr>
          <w:rFonts w:ascii="Arial" w:cs="Arial" w:eastAsia="Arial" w:hAnsi="Arial"/>
          <w:sz w:val="2"/>
          <w:szCs w:val="2"/>
          <w:color w:val="FFFFFF"/>
        </w:rPr>
        <w:t>-growthbusinessproductin platformsChina (gasoline direct injection, variable valve</w:t>
      </w:r>
      <w:r>
        <w:rPr>
          <w:sz w:val="20"/>
          <w:szCs w:val="20"/>
          <w:color w:val="auto"/>
        </w:rPr>
        <w:tab/>
      </w:r>
      <w:r>
        <w:rPr>
          <w:rFonts w:ascii="Arial" w:cs="Arial" w:eastAsia="Arial" w:hAnsi="Arial"/>
          <w:sz w:val="4"/>
          <w:szCs w:val="4"/>
          <w:color w:val="FFFFFF"/>
        </w:rPr>
        <w:t>electric power steering, multi-speed transmissions)</w:t>
      </w:r>
    </w:p>
    <w:p>
      <w:pPr>
        <w:spacing w:after="0" w:line="182" w:lineRule="auto"/>
        <w:tabs>
          <w:tab w:leader="none" w:pos="960" w:val="left"/>
        </w:tabs>
        <w:rPr>
          <w:sz w:val="20"/>
          <w:szCs w:val="20"/>
          <w:color w:val="auto"/>
        </w:rPr>
      </w:pPr>
      <w:r>
        <w:rPr>
          <w:rFonts w:ascii="Arial" w:cs="Arial" w:eastAsia="Arial" w:hAnsi="Arial"/>
          <w:sz w:val="9"/>
          <w:szCs w:val="9"/>
          <w:color w:val="FFFFFF"/>
        </w:rPr>
        <w:t>Proven,</w:t>
      </w:r>
      <w:r>
        <w:rPr>
          <w:sz w:val="20"/>
          <w:szCs w:val="20"/>
          <w:color w:val="auto"/>
        </w:rPr>
        <w:tab/>
      </w:r>
      <w:r>
        <w:rPr>
          <w:rFonts w:ascii="Arial" w:cs="Arial" w:eastAsia="Arial" w:hAnsi="Arial"/>
          <w:sz w:val="9"/>
          <w:szCs w:val="9"/>
          <w:color w:val="FFFFFF"/>
        </w:rPr>
        <w:t>company – no turnaround</w:t>
      </w:r>
    </w:p>
    <w:p>
      <w:pPr>
        <w:spacing w:after="0" w:line="182" w:lineRule="auto"/>
        <w:rPr>
          <w:sz w:val="20"/>
          <w:szCs w:val="20"/>
          <w:color w:val="auto"/>
        </w:rPr>
      </w:pPr>
      <w:r>
        <w:rPr>
          <w:rFonts w:ascii="Arial" w:cs="Arial" w:eastAsia="Arial" w:hAnsi="Arial"/>
          <w:sz w:val="9"/>
          <w:szCs w:val="9"/>
          <w:color w:val="FFFFFF"/>
        </w:rPr>
        <w:t>AccretiveSignificantinsynergyfirstfullopportunitiesyear</w:t>
      </w:r>
    </w:p>
    <w:p>
      <w:pPr>
        <w:spacing w:after="0" w:line="206" w:lineRule="auto"/>
        <w:rPr>
          <w:sz w:val="20"/>
          <w:szCs w:val="20"/>
          <w:color w:val="auto"/>
        </w:rPr>
      </w:pPr>
      <w:r>
        <w:rPr>
          <w:rFonts w:ascii="Arial" w:cs="Arial" w:eastAsia="Arial" w:hAnsi="Arial"/>
          <w:sz w:val="2"/>
          <w:szCs w:val="2"/>
          <w:color w:val="FFFFFF"/>
        </w:rPr>
        <w:t>DeepensSignificantlyNN’sincreasesmanagementNN’stalentsizeandpoolmarketand</w:t>
      </w:r>
      <w:r>
        <w:rPr>
          <w:rFonts w:ascii="Arial" w:cs="Arial" w:eastAsia="Arial" w:hAnsi="Arial"/>
          <w:sz w:val="4"/>
          <w:szCs w:val="4"/>
          <w:color w:val="FFFFFF"/>
          <w:vertAlign w:val="subscript"/>
        </w:rPr>
        <w:t>workforce</w:t>
      </w:r>
      <w:r>
        <w:rPr>
          <w:rFonts w:ascii="Arial" w:cs="Arial" w:eastAsia="Arial" w:hAnsi="Arial"/>
          <w:sz w:val="2"/>
          <w:szCs w:val="2"/>
          <w:color w:val="FFFFFF"/>
        </w:rPr>
        <w:t>presen</w:t>
      </w:r>
    </w:p>
    <w:p>
      <w:pPr>
        <w:spacing w:after="0"/>
        <w:rPr>
          <w:sz w:val="20"/>
          <w:szCs w:val="20"/>
          <w:color w:val="auto"/>
        </w:rPr>
      </w:pPr>
      <w:r>
        <w:rPr>
          <w:rFonts w:ascii="Arial" w:cs="Arial" w:eastAsia="Arial" w:hAnsi="Arial"/>
          <w:sz w:val="13"/>
          <w:szCs w:val="13"/>
          <w:color w:val="FFFFFF"/>
        </w:rPr>
        <w:t>4</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Combined Global Footprint</w:t>
      </w:r>
    </w:p>
    <w:p>
      <w:pPr>
        <w:spacing w:after="0" w:line="204" w:lineRule="auto"/>
        <w:rPr>
          <w:sz w:val="20"/>
          <w:szCs w:val="20"/>
          <w:color w:val="auto"/>
        </w:rPr>
      </w:pPr>
      <w:r>
        <w:rPr>
          <w:rFonts w:ascii="Arial" w:cs="Arial" w:eastAsia="Arial" w:hAnsi="Arial"/>
          <w:sz w:val="4"/>
          <w:szCs w:val="4"/>
          <w:color w:val="FFFFFF"/>
        </w:rPr>
        <w:t>Marshall Plant 2</w:t>
      </w:r>
    </w:p>
    <w:p>
      <w:pPr>
        <w:spacing w:after="0" w:line="205" w:lineRule="auto"/>
        <w:rPr>
          <w:sz w:val="20"/>
          <w:szCs w:val="20"/>
          <w:color w:val="auto"/>
        </w:rPr>
      </w:pPr>
      <w:r>
        <w:rPr>
          <w:rFonts w:ascii="Arial" w:cs="Arial" w:eastAsia="Arial" w:hAnsi="Arial"/>
          <w:sz w:val="2"/>
          <w:szCs w:val="2"/>
          <w:color w:val="FFFFFF"/>
        </w:rPr>
        <w:t>Autocam Po</w:t>
      </w:r>
      <w:r>
        <w:rPr>
          <w:rFonts w:ascii="Arial" w:cs="Arial" w:eastAsia="Arial" w:hAnsi="Arial"/>
          <w:sz w:val="4"/>
          <w:szCs w:val="4"/>
          <w:color w:val="FFFFFF"/>
          <w:vertAlign w:val="subscript"/>
        </w:rPr>
        <w:t>Plant</w:t>
      </w:r>
      <w:r>
        <w:rPr>
          <w:rFonts w:ascii="Arial" w:cs="Arial" w:eastAsia="Arial" w:hAnsi="Arial"/>
          <w:sz w:val="2"/>
          <w:szCs w:val="2"/>
          <w:color w:val="FFFFFF"/>
        </w:rPr>
        <w:t>d</w:t>
      </w:r>
    </w:p>
    <w:p>
      <w:pPr>
        <w:spacing w:after="0" w:line="205" w:lineRule="auto"/>
        <w:tabs>
          <w:tab w:leader="none" w:pos="860" w:val="left"/>
        </w:tabs>
        <w:rPr>
          <w:sz w:val="20"/>
          <w:szCs w:val="20"/>
          <w:color w:val="auto"/>
        </w:rPr>
      </w:pPr>
      <w:r>
        <w:rPr>
          <w:rFonts w:ascii="Arial" w:cs="Arial" w:eastAsia="Arial" w:hAnsi="Arial"/>
          <w:sz w:val="4"/>
          <w:szCs w:val="4"/>
          <w:color w:val="FFFFFF"/>
        </w:rPr>
        <w:t>Kentwood</w:t>
      </w:r>
      <w:r>
        <w:rPr>
          <w:sz w:val="20"/>
          <w:szCs w:val="20"/>
          <w:color w:val="auto"/>
        </w:rPr>
        <w:tab/>
      </w:r>
      <w:r>
        <w:rPr>
          <w:rFonts w:ascii="Arial" w:cs="Arial" w:eastAsia="Arial" w:hAnsi="Arial"/>
          <w:sz w:val="4"/>
          <w:szCs w:val="4"/>
          <w:color w:val="FFFFFF"/>
        </w:rPr>
        <w:t>1</w:t>
      </w:r>
    </w:p>
    <w:p>
      <w:pPr>
        <w:spacing w:after="0" w:line="205" w:lineRule="auto"/>
        <w:rPr>
          <w:sz w:val="20"/>
          <w:szCs w:val="20"/>
          <w:color w:val="auto"/>
        </w:rPr>
      </w:pPr>
      <w:r>
        <w:rPr>
          <w:rFonts w:ascii="Arial" w:cs="Arial" w:eastAsia="Arial" w:hAnsi="Arial"/>
          <w:sz w:val="4"/>
          <w:szCs w:val="4"/>
          <w:color w:val="FFFFFF"/>
        </w:rPr>
        <w:t>Marshall Plant 1</w:t>
      </w:r>
    </w:p>
    <w:p>
      <w:pPr>
        <w:spacing w:after="0" w:line="205" w:lineRule="auto"/>
        <w:rPr>
          <w:sz w:val="20"/>
          <w:szCs w:val="20"/>
          <w:color w:val="auto"/>
        </w:rPr>
      </w:pPr>
      <w:r>
        <w:rPr>
          <w:rFonts w:ascii="Arial" w:cs="Arial" w:eastAsia="Arial" w:hAnsi="Arial"/>
          <w:sz w:val="4"/>
          <w:szCs w:val="4"/>
          <w:color w:val="FFFFFF"/>
        </w:rPr>
        <w:t>NN Netherlands</w:t>
      </w:r>
    </w:p>
    <w:p>
      <w:pPr>
        <w:spacing w:after="0" w:line="205" w:lineRule="auto"/>
        <w:rPr>
          <w:sz w:val="20"/>
          <w:szCs w:val="20"/>
          <w:color w:val="auto"/>
        </w:rPr>
      </w:pPr>
      <w:r>
        <w:rPr>
          <w:rFonts w:ascii="Arial" w:cs="Arial" w:eastAsia="Arial" w:hAnsi="Arial"/>
          <w:sz w:val="4"/>
          <w:szCs w:val="4"/>
          <w:color w:val="FFFFFF"/>
        </w:rPr>
        <w:t>Autocam France</w:t>
      </w:r>
    </w:p>
    <w:p>
      <w:pPr>
        <w:spacing w:after="0" w:line="205" w:lineRule="auto"/>
        <w:rPr>
          <w:sz w:val="20"/>
          <w:szCs w:val="20"/>
          <w:color w:val="auto"/>
        </w:rPr>
      </w:pPr>
      <w:r>
        <w:rPr>
          <w:rFonts w:ascii="Arial" w:cs="Arial" w:eastAsia="Arial" w:hAnsi="Arial"/>
          <w:sz w:val="4"/>
          <w:szCs w:val="4"/>
          <w:color w:val="FFFFFF"/>
        </w:rPr>
        <w:t>NN Slovakia</w:t>
      </w:r>
    </w:p>
    <w:p>
      <w:pPr>
        <w:spacing w:after="0" w:line="205" w:lineRule="auto"/>
        <w:rPr>
          <w:sz w:val="20"/>
          <w:szCs w:val="20"/>
          <w:color w:val="auto"/>
        </w:rPr>
      </w:pPr>
      <w:r>
        <w:rPr>
          <w:rFonts w:ascii="Arial" w:cs="Arial" w:eastAsia="Arial" w:hAnsi="Arial"/>
          <w:sz w:val="4"/>
          <w:szCs w:val="4"/>
          <w:color w:val="FFFFFF"/>
        </w:rPr>
        <w:t>Kentwood Plant 2</w:t>
      </w:r>
    </w:p>
    <w:p>
      <w:pPr>
        <w:spacing w:after="0" w:line="182" w:lineRule="auto"/>
        <w:rPr>
          <w:sz w:val="20"/>
          <w:szCs w:val="20"/>
          <w:color w:val="auto"/>
        </w:rPr>
      </w:pPr>
      <w:r>
        <w:rPr>
          <w:rFonts w:ascii="Arial" w:cs="Arial" w:eastAsia="Arial" w:hAnsi="Arial"/>
          <w:sz w:val="9"/>
          <w:szCs w:val="9"/>
          <w:color w:val="FFFFFF"/>
        </w:rPr>
        <w:t>Dowagiac Plant</w:t>
      </w:r>
    </w:p>
    <w:p>
      <w:pPr>
        <w:spacing w:after="0" w:line="206" w:lineRule="auto"/>
        <w:rPr>
          <w:sz w:val="20"/>
          <w:szCs w:val="20"/>
          <w:color w:val="auto"/>
        </w:rPr>
      </w:pPr>
      <w:r>
        <w:rPr>
          <w:rFonts w:ascii="Arial" w:cs="Arial" w:eastAsia="Arial" w:hAnsi="Arial"/>
          <w:sz w:val="4"/>
          <w:szCs w:val="4"/>
          <w:color w:val="FFFFFF"/>
        </w:rPr>
        <w:t>NNV-S BosniaProducts Division</w:t>
      </w:r>
    </w:p>
    <w:p>
      <w:pPr>
        <w:spacing w:after="0" w:line="205" w:lineRule="auto"/>
        <w:rPr>
          <w:sz w:val="20"/>
          <w:szCs w:val="20"/>
          <w:color w:val="auto"/>
        </w:rPr>
      </w:pPr>
      <w:r>
        <w:rPr>
          <w:rFonts w:ascii="Arial" w:cs="Arial" w:eastAsia="Arial" w:hAnsi="Arial"/>
          <w:sz w:val="4"/>
          <w:szCs w:val="4"/>
          <w:color w:val="FFFFFF"/>
        </w:rPr>
        <w:t>Whirlaway Products Division</w:t>
      </w:r>
    </w:p>
    <w:p>
      <w:pPr>
        <w:spacing w:after="0" w:line="205" w:lineRule="auto"/>
        <w:rPr>
          <w:sz w:val="20"/>
          <w:szCs w:val="20"/>
          <w:color w:val="auto"/>
        </w:rPr>
      </w:pPr>
      <w:r>
        <w:rPr>
          <w:rFonts w:ascii="Arial" w:cs="Arial" w:eastAsia="Arial" w:hAnsi="Arial"/>
          <w:sz w:val="4"/>
          <w:szCs w:val="4"/>
          <w:color w:val="FFFFFF"/>
          <w:vertAlign w:val="superscript"/>
        </w:rPr>
        <w:t>NN</w:t>
      </w:r>
    </w:p>
    <w:p>
      <w:pPr>
        <w:ind w:left="220"/>
        <w:spacing w:after="0" w:line="182" w:lineRule="auto"/>
        <w:rPr>
          <w:sz w:val="20"/>
          <w:szCs w:val="20"/>
          <w:color w:val="auto"/>
        </w:rPr>
      </w:pPr>
      <w:r>
        <w:rPr>
          <w:rFonts w:ascii="Arial" w:cs="Arial" w:eastAsia="Arial" w:hAnsi="Arial"/>
          <w:sz w:val="9"/>
          <w:szCs w:val="9"/>
          <w:color w:val="FFFFFF"/>
        </w:rPr>
        <w:t>ItalyAdvanced Rubber Products Division</w:t>
      </w:r>
    </w:p>
    <w:p>
      <w:pPr>
        <w:spacing w:after="0" w:line="182" w:lineRule="auto"/>
        <w:rPr>
          <w:sz w:val="20"/>
          <w:szCs w:val="20"/>
          <w:color w:val="auto"/>
        </w:rPr>
      </w:pPr>
      <w:r>
        <w:rPr>
          <w:rFonts w:ascii="Arial" w:cs="Arial" w:eastAsia="Arial" w:hAnsi="Arial"/>
          <w:sz w:val="7"/>
          <w:szCs w:val="7"/>
          <w:color w:val="FFFFFF"/>
        </w:rPr>
        <w:t>Autocam</w:t>
      </w:r>
      <w:r>
        <w:rPr>
          <w:rFonts w:ascii="Arial" w:cs="Arial" w:eastAsia="Arial" w:hAnsi="Arial"/>
          <w:sz w:val="9"/>
          <w:szCs w:val="9"/>
          <w:color w:val="FFFFFF"/>
          <w:vertAlign w:val="superscript"/>
        </w:rPr>
        <w:t>,</w:t>
      </w:r>
      <w:r>
        <w:rPr>
          <w:rFonts w:ascii="Arial" w:cs="Arial" w:eastAsia="Arial" w:hAnsi="Arial"/>
          <w:sz w:val="7"/>
          <w:szCs w:val="7"/>
          <w:color w:val="FFFFFF"/>
        </w:rPr>
        <w:t>Precision(China)PlasticAutomotiveProducts ComponentsDivision Co., Ltd.</w:t>
      </w:r>
    </w:p>
    <w:p>
      <w:pPr>
        <w:jc w:val="right"/>
        <w:ind w:right="9759"/>
        <w:spacing w:after="0" w:line="206" w:lineRule="auto"/>
        <w:rPr>
          <w:sz w:val="20"/>
          <w:szCs w:val="20"/>
          <w:color w:val="auto"/>
        </w:rPr>
      </w:pPr>
      <w:r>
        <w:rPr>
          <w:rFonts w:ascii="Arial" w:cs="Arial" w:eastAsia="Arial" w:hAnsi="Arial"/>
          <w:sz w:val="4"/>
          <w:szCs w:val="4"/>
          <w:color w:val="FFFFFF"/>
          <w:vertAlign w:val="subscript"/>
        </w:rPr>
        <w:t>NN</w:t>
      </w:r>
      <w:r>
        <w:rPr>
          <w:rFonts w:ascii="Arial" w:cs="Arial" w:eastAsia="Arial" w:hAnsi="Arial"/>
          <w:sz w:val="2"/>
          <w:szCs w:val="2"/>
          <w:color w:val="FFFFFF"/>
        </w:rPr>
        <w:t xml:space="preserve"> AsiaInc.</w:t>
      </w:r>
    </w:p>
    <w:p>
      <w:pPr>
        <w:spacing w:after="0" w:line="204" w:lineRule="auto"/>
        <w:rPr>
          <w:sz w:val="20"/>
          <w:szCs w:val="20"/>
          <w:color w:val="auto"/>
        </w:rPr>
      </w:pPr>
      <w:r>
        <w:rPr>
          <w:rFonts w:ascii="Arial" w:cs="Arial" w:eastAsia="Arial" w:hAnsi="Arial"/>
          <w:sz w:val="4"/>
          <w:szCs w:val="4"/>
          <w:color w:val="FFFFFF"/>
        </w:rPr>
        <w:t>V-S Products Division</w:t>
      </w:r>
    </w:p>
    <w:p>
      <w:pPr>
        <w:spacing w:after="0" w:line="205" w:lineRule="auto"/>
        <w:rPr>
          <w:sz w:val="20"/>
          <w:szCs w:val="20"/>
          <w:color w:val="auto"/>
        </w:rPr>
      </w:pPr>
      <w:r>
        <w:rPr>
          <w:rFonts w:ascii="Arial" w:cs="Arial" w:eastAsia="Arial" w:hAnsi="Arial"/>
          <w:sz w:val="4"/>
          <w:szCs w:val="4"/>
          <w:color w:val="FFFFFF"/>
        </w:rPr>
        <w:t>US Ball &amp; Roller Division</w:t>
      </w:r>
    </w:p>
    <w:p>
      <w:pPr>
        <w:spacing w:after="0" w:line="205" w:lineRule="auto"/>
        <w:rPr>
          <w:sz w:val="20"/>
          <w:szCs w:val="20"/>
          <w:color w:val="auto"/>
        </w:rPr>
      </w:pPr>
      <w:r>
        <w:rPr>
          <w:rFonts w:ascii="Arial" w:cs="Arial" w:eastAsia="Arial" w:hAnsi="Arial"/>
          <w:sz w:val="4"/>
          <w:szCs w:val="4"/>
          <w:color w:val="FFFFFF"/>
        </w:rPr>
        <w:t>Wuxi Weifu Autocam Precision</w:t>
      </w:r>
    </w:p>
    <w:p>
      <w:pPr>
        <w:spacing w:after="0" w:line="205" w:lineRule="auto"/>
        <w:rPr>
          <w:sz w:val="20"/>
          <w:szCs w:val="20"/>
          <w:color w:val="auto"/>
        </w:rPr>
      </w:pPr>
      <w:r>
        <w:rPr>
          <w:rFonts w:ascii="Arial" w:cs="Arial" w:eastAsia="Arial" w:hAnsi="Arial"/>
          <w:sz w:val="4"/>
          <w:szCs w:val="4"/>
          <w:color w:val="FFFFFF"/>
        </w:rPr>
        <w:t>US Ball &amp; Roller Division</w:t>
      </w:r>
    </w:p>
    <w:p>
      <w:pPr>
        <w:spacing w:after="0" w:line="182" w:lineRule="auto"/>
        <w:rPr>
          <w:sz w:val="20"/>
          <w:szCs w:val="20"/>
          <w:color w:val="auto"/>
        </w:rPr>
      </w:pPr>
      <w:r>
        <w:rPr>
          <w:rFonts w:ascii="Arial" w:cs="Arial" w:eastAsia="Arial" w:hAnsi="Arial"/>
          <w:sz w:val="9"/>
          <w:szCs w:val="9"/>
          <w:color w:val="FFFFFF"/>
        </w:rPr>
        <w:t>Sao Joao Boa Vista Plants 1 and 2</w:t>
      </w:r>
    </w:p>
    <w:p>
      <w:pPr>
        <w:spacing w:after="0" w:line="206" w:lineRule="auto"/>
        <w:rPr>
          <w:sz w:val="20"/>
          <w:szCs w:val="20"/>
          <w:color w:val="auto"/>
        </w:rPr>
      </w:pPr>
      <w:r>
        <w:rPr>
          <w:rFonts w:ascii="Arial" w:cs="Arial" w:eastAsia="Arial" w:hAnsi="Arial"/>
          <w:sz w:val="4"/>
          <w:szCs w:val="4"/>
          <w:color w:val="FFFFFF"/>
        </w:rPr>
        <w:t>BoituvaCampinasPlantLocal Corporate Office</w:t>
      </w:r>
    </w:p>
    <w:p>
      <w:pPr>
        <w:ind w:right="4759"/>
        <w:spacing w:after="0" w:line="221" w:lineRule="auto"/>
        <w:rPr>
          <w:sz w:val="20"/>
          <w:szCs w:val="20"/>
          <w:color w:val="auto"/>
        </w:rPr>
      </w:pPr>
      <w:r>
        <w:rPr>
          <w:rFonts w:ascii="Arial" w:cs="Arial" w:eastAsia="Arial" w:hAnsi="Arial"/>
          <w:sz w:val="11"/>
          <w:szCs w:val="11"/>
          <w:color w:val="FFFFFF"/>
        </w:rPr>
        <w:t>Acquisition establishes global presence in Precision Metal Components with well established, profitable operations in North America, Europe, Brazil and China that complement NN’s global bearing business 5</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NN and Autocam Combination Overview</w:t>
      </w:r>
    </w:p>
    <w:p>
      <w:pPr>
        <w:spacing w:after="0" w:line="182" w:lineRule="auto"/>
        <w:rPr>
          <w:sz w:val="20"/>
          <w:szCs w:val="20"/>
          <w:color w:val="auto"/>
        </w:rPr>
      </w:pPr>
      <w:r>
        <w:rPr>
          <w:rFonts w:ascii="Arial" w:cs="Arial" w:eastAsia="Arial" w:hAnsi="Arial"/>
          <w:sz w:val="7"/>
          <w:szCs w:val="7"/>
          <w:color w:val="FFFFFF"/>
        </w:rPr>
        <w:t>Engine Components Fuel</w:t>
      </w:r>
      <w:r>
        <w:rPr>
          <w:rFonts w:ascii="Arial" w:cs="Arial" w:eastAsia="Arial" w:hAnsi="Arial"/>
          <w:sz w:val="9"/>
          <w:szCs w:val="9"/>
          <w:color w:val="FFFFFF"/>
          <w:vertAlign w:val="subscript"/>
        </w:rPr>
        <w:t>Driveline</w:t>
      </w:r>
      <w:r>
        <w:rPr>
          <w:rFonts w:ascii="Arial" w:cs="Arial" w:eastAsia="Arial" w:hAnsi="Arial"/>
          <w:sz w:val="7"/>
          <w:szCs w:val="7"/>
          <w:color w:val="FFFFFF"/>
        </w:rPr>
        <w:t>Systms Fuel Systems</w:t>
      </w:r>
      <w:r>
        <w:rPr>
          <w:rFonts w:ascii="Arial" w:cs="Arial" w:eastAsia="Arial" w:hAnsi="Arial"/>
          <w:sz w:val="9"/>
          <w:szCs w:val="9"/>
          <w:color w:val="FFFFFF"/>
          <w:vertAlign w:val="subscript"/>
        </w:rPr>
        <w:t>Powertrain</w:t>
      </w:r>
      <w:r>
        <w:rPr>
          <w:rFonts w:ascii="Arial" w:cs="Arial" w:eastAsia="Arial" w:hAnsi="Arial"/>
          <w:sz w:val="7"/>
          <w:szCs w:val="7"/>
          <w:color w:val="FFFFFF"/>
        </w:rPr>
        <w:t>Steering Engine Components Steering</w:t>
      </w:r>
    </w:p>
    <w:p>
      <w:pPr>
        <w:spacing w:after="0" w:line="182" w:lineRule="auto"/>
        <w:tabs>
          <w:tab w:leader="none" w:pos="1660" w:val="left"/>
          <w:tab w:leader="none" w:pos="3120" w:val="left"/>
        </w:tabs>
        <w:rPr>
          <w:sz w:val="20"/>
          <w:szCs w:val="20"/>
          <w:color w:val="auto"/>
        </w:rPr>
      </w:pPr>
      <w:r>
        <w:rPr>
          <w:rFonts w:ascii="Arial" w:cs="Arial" w:eastAsia="Arial" w:hAnsi="Arial"/>
          <w:sz w:val="9"/>
          <w:szCs w:val="9"/>
          <w:color w:val="FFFFFF"/>
        </w:rPr>
        <w:t>TransmissionCoolingSystem Fans</w:t>
      </w:r>
      <w:r>
        <w:rPr>
          <w:sz w:val="20"/>
          <w:szCs w:val="20"/>
          <w:color w:val="auto"/>
        </w:rPr>
        <w:tab/>
      </w:r>
      <w:r>
        <w:rPr>
          <w:rFonts w:ascii="Arial" w:cs="Arial" w:eastAsia="Arial" w:hAnsi="Arial"/>
          <w:sz w:val="9"/>
          <w:szCs w:val="9"/>
          <w:color w:val="FFFFFF"/>
        </w:rPr>
        <w:t>Electric Motors</w:t>
      </w:r>
      <w:r>
        <w:rPr>
          <w:sz w:val="20"/>
          <w:szCs w:val="20"/>
          <w:color w:val="auto"/>
        </w:rPr>
        <w:tab/>
      </w:r>
      <w:r>
        <w:rPr>
          <w:rFonts w:ascii="Arial" w:cs="Arial" w:eastAsia="Arial" w:hAnsi="Arial"/>
          <w:sz w:val="9"/>
          <w:szCs w:val="9"/>
          <w:color w:val="FFFFFF"/>
        </w:rPr>
        <w:t>Fuel Systems Transmission</w:t>
      </w:r>
    </w:p>
    <w:p>
      <w:pPr>
        <w:spacing w:after="0" w:line="205" w:lineRule="auto"/>
        <w:rPr>
          <w:sz w:val="20"/>
          <w:szCs w:val="20"/>
          <w:color w:val="auto"/>
        </w:rPr>
      </w:pPr>
      <w:r>
        <w:rPr>
          <w:rFonts w:ascii="Arial" w:cs="Arial" w:eastAsia="Arial" w:hAnsi="Arial"/>
          <w:sz w:val="4"/>
          <w:szCs w:val="4"/>
          <w:color w:val="FFFFFF"/>
          <w:vertAlign w:val="subscript"/>
        </w:rPr>
        <w:t>Precision</w:t>
      </w:r>
      <w:r>
        <w:rPr>
          <w:rFonts w:ascii="Arial" w:cs="Arial" w:eastAsia="Arial" w:hAnsi="Arial"/>
          <w:sz w:val="2"/>
          <w:szCs w:val="2"/>
          <w:color w:val="FFFFFF"/>
        </w:rPr>
        <w:t>lastic&amp; RubberMetal Components</w:t>
      </w:r>
    </w:p>
    <w:p>
      <w:pPr>
        <w:spacing w:after="0" w:line="182" w:lineRule="auto"/>
        <w:rPr>
          <w:sz w:val="20"/>
          <w:szCs w:val="20"/>
          <w:color w:val="auto"/>
        </w:rPr>
      </w:pPr>
      <w:r>
        <w:rPr>
          <w:rFonts w:ascii="Arial" w:cs="Arial" w:eastAsia="Arial" w:hAnsi="Arial"/>
          <w:sz w:val="9"/>
          <w:szCs w:val="9"/>
          <w:color w:val="FFFFFF"/>
        </w:rPr>
        <w:t>Components</w:t>
      </w:r>
    </w:p>
    <w:p>
      <w:pPr>
        <w:spacing w:after="0" w:line="206" w:lineRule="auto"/>
        <w:rPr>
          <w:sz w:val="20"/>
          <w:szCs w:val="20"/>
          <w:color w:val="auto"/>
        </w:rPr>
      </w:pPr>
      <w:r>
        <w:rPr>
          <w:rFonts w:ascii="Arial" w:cs="Arial" w:eastAsia="Arial" w:hAnsi="Arial"/>
          <w:sz w:val="2"/>
          <w:szCs w:val="2"/>
          <w:color w:val="FFFFFF"/>
        </w:rPr>
        <w:t>M</w:t>
      </w:r>
      <w:r>
        <w:rPr>
          <w:rFonts w:ascii="Arial" w:cs="Arial" w:eastAsia="Arial" w:hAnsi="Arial"/>
          <w:sz w:val="4"/>
          <w:szCs w:val="4"/>
          <w:color w:val="FFFFFF"/>
          <w:vertAlign w:val="subscript"/>
        </w:rPr>
        <w:t>Precision</w:t>
      </w:r>
      <w:r>
        <w:rPr>
          <w:rFonts w:ascii="Arial" w:cs="Arial" w:eastAsia="Arial" w:hAnsi="Arial"/>
          <w:sz w:val="2"/>
          <w:szCs w:val="2"/>
          <w:color w:val="FFFFFF"/>
        </w:rPr>
        <w:t>talBearingMetalComponents</w:t>
      </w:r>
    </w:p>
    <w:p>
      <w:pPr>
        <w:spacing w:after="0" w:line="182" w:lineRule="auto"/>
        <w:rPr>
          <w:sz w:val="20"/>
          <w:szCs w:val="20"/>
          <w:color w:val="auto"/>
        </w:rPr>
      </w:pPr>
      <w:r>
        <w:rPr>
          <w:rFonts w:ascii="Arial" w:cs="Arial" w:eastAsia="Arial" w:hAnsi="Arial"/>
          <w:sz w:val="9"/>
          <w:szCs w:val="9"/>
          <w:color w:val="FFFFFF"/>
        </w:rPr>
        <w:t>Components</w:t>
      </w:r>
    </w:p>
    <w:p>
      <w:pPr>
        <w:spacing w:after="0" w:line="205" w:lineRule="auto"/>
        <w:rPr>
          <w:sz w:val="20"/>
          <w:szCs w:val="20"/>
          <w:color w:val="auto"/>
        </w:rPr>
      </w:pPr>
      <w:r>
        <w:rPr>
          <w:rFonts w:ascii="Arial" w:cs="Arial" w:eastAsia="Arial" w:hAnsi="Arial"/>
          <w:sz w:val="4"/>
          <w:szCs w:val="4"/>
          <w:color w:val="FFFFFF"/>
          <w:vertAlign w:val="subscript"/>
        </w:rPr>
        <w:t>Precision</w:t>
      </w:r>
      <w:r>
        <w:rPr>
          <w:rFonts w:ascii="Arial" w:cs="Arial" w:eastAsia="Arial" w:hAnsi="Arial"/>
          <w:sz w:val="2"/>
          <w:szCs w:val="2"/>
          <w:color w:val="FFFFFF"/>
        </w:rPr>
        <w:t>lastic&amp; RubberMetal Components</w:t>
      </w:r>
    </w:p>
    <w:p>
      <w:pPr>
        <w:spacing w:after="0" w:line="182" w:lineRule="auto"/>
        <w:rPr>
          <w:sz w:val="20"/>
          <w:szCs w:val="20"/>
          <w:color w:val="auto"/>
        </w:rPr>
      </w:pPr>
      <w:r>
        <w:rPr>
          <w:rFonts w:ascii="Arial" w:cs="Arial" w:eastAsia="Arial" w:hAnsi="Arial"/>
          <w:sz w:val="9"/>
          <w:szCs w:val="9"/>
          <w:color w:val="FFFFFF"/>
        </w:rPr>
        <w:t>Components</w:t>
      </w:r>
    </w:p>
    <w:p>
      <w:pPr>
        <w:spacing w:after="0" w:line="206" w:lineRule="auto"/>
        <w:rPr>
          <w:sz w:val="20"/>
          <w:szCs w:val="20"/>
          <w:color w:val="auto"/>
        </w:rPr>
      </w:pPr>
      <w:r>
        <w:rPr>
          <w:rFonts w:ascii="Arial" w:cs="Arial" w:eastAsia="Arial" w:hAnsi="Arial"/>
          <w:sz w:val="4"/>
          <w:szCs w:val="4"/>
          <w:color w:val="FFFFFF"/>
        </w:rPr>
        <w:t>SouthMetal Bearing Components</w:t>
      </w:r>
    </w:p>
    <w:p>
      <w:pPr>
        <w:spacing w:after="0" w:line="182" w:lineRule="auto"/>
        <w:rPr>
          <w:sz w:val="20"/>
          <w:szCs w:val="20"/>
          <w:color w:val="auto"/>
        </w:rPr>
      </w:pPr>
      <w:r>
        <w:rPr>
          <w:rFonts w:ascii="Arial" w:cs="Arial" w:eastAsia="Arial" w:hAnsi="Arial"/>
          <w:sz w:val="9"/>
          <w:szCs w:val="9"/>
          <w:color w:val="FFFFFF"/>
          <w:vertAlign w:val="subscript"/>
        </w:rPr>
        <w:t>Asia</w:t>
      </w:r>
      <w:r>
        <w:rPr>
          <w:rFonts w:ascii="Arial" w:cs="Arial" w:eastAsia="Arial" w:hAnsi="Arial"/>
          <w:sz w:val="7"/>
          <w:szCs w:val="7"/>
          <w:color w:val="FFFFFF"/>
        </w:rPr>
        <w:t>merica</w:t>
      </w:r>
    </w:p>
    <w:p>
      <w:pPr>
        <w:spacing w:after="0" w:line="205" w:lineRule="auto"/>
        <w:rPr>
          <w:sz w:val="20"/>
          <w:szCs w:val="20"/>
          <w:color w:val="auto"/>
        </w:rPr>
      </w:pPr>
      <w:r>
        <w:rPr>
          <w:rFonts w:ascii="Arial" w:cs="Arial" w:eastAsia="Arial" w:hAnsi="Arial"/>
          <w:sz w:val="4"/>
          <w:szCs w:val="4"/>
          <w:color w:val="FFFFFF"/>
        </w:rPr>
        <w:t>Europe</w:t>
      </w:r>
    </w:p>
    <w:p>
      <w:pPr>
        <w:spacing w:after="0" w:line="205" w:lineRule="auto"/>
        <w:rPr>
          <w:sz w:val="20"/>
          <w:szCs w:val="20"/>
          <w:color w:val="auto"/>
        </w:rPr>
      </w:pPr>
      <w:r>
        <w:rPr>
          <w:rFonts w:ascii="Arial" w:cs="Arial" w:eastAsia="Arial" w:hAnsi="Arial"/>
          <w:sz w:val="4"/>
          <w:szCs w:val="4"/>
          <w:color w:val="FFFFFF"/>
        </w:rPr>
        <w:t>North America</w:t>
      </w:r>
    </w:p>
    <w:p>
      <w:pPr>
        <w:spacing w:after="0" w:line="205" w:lineRule="auto"/>
        <w:rPr>
          <w:sz w:val="20"/>
          <w:szCs w:val="20"/>
          <w:color w:val="auto"/>
        </w:rPr>
      </w:pPr>
      <w:r>
        <w:rPr>
          <w:rFonts w:ascii="Arial" w:cs="Arial" w:eastAsia="Arial" w:hAnsi="Arial"/>
          <w:sz w:val="4"/>
          <w:szCs w:val="4"/>
          <w:color w:val="FFFFFF"/>
        </w:rPr>
        <w:t>Asia</w:t>
      </w:r>
    </w:p>
    <w:p>
      <w:pPr>
        <w:spacing w:after="0" w:line="205" w:lineRule="auto"/>
        <w:rPr>
          <w:sz w:val="20"/>
          <w:szCs w:val="20"/>
          <w:color w:val="auto"/>
        </w:rPr>
      </w:pPr>
      <w:r>
        <w:rPr>
          <w:rFonts w:ascii="Arial" w:cs="Arial" w:eastAsia="Arial" w:hAnsi="Arial"/>
          <w:sz w:val="4"/>
          <w:szCs w:val="4"/>
          <w:color w:val="FFFFFF"/>
        </w:rPr>
        <w:t>Europe</w:t>
      </w:r>
    </w:p>
    <w:p>
      <w:pPr>
        <w:spacing w:after="0" w:line="189" w:lineRule="auto"/>
        <w:rPr>
          <w:sz w:val="20"/>
          <w:szCs w:val="20"/>
          <w:color w:val="auto"/>
        </w:rPr>
      </w:pPr>
      <w:r>
        <w:rPr>
          <w:rFonts w:ascii="Arial" w:cs="Arial" w:eastAsia="Arial" w:hAnsi="Arial"/>
          <w:sz w:val="13"/>
          <w:szCs w:val="13"/>
          <w:color w:val="FFFFFF"/>
          <w:vertAlign w:val="superscript"/>
        </w:rPr>
        <w:t>Nor</w:t>
      </w:r>
      <w:r>
        <w:rPr>
          <w:rFonts w:ascii="Arial" w:cs="Arial" w:eastAsia="Arial" w:hAnsi="Arial"/>
          <w:sz w:val="8"/>
          <w:szCs w:val="8"/>
          <w:color w:val="FFFFFF"/>
        </w:rPr>
        <w:t>South America</w:t>
      </w:r>
    </w:p>
    <w:p>
      <w:pPr>
        <w:spacing w:after="0" w:line="206" w:lineRule="auto"/>
        <w:rPr>
          <w:sz w:val="20"/>
          <w:szCs w:val="20"/>
          <w:color w:val="auto"/>
        </w:rPr>
      </w:pPr>
      <w:r>
        <w:rPr>
          <w:rFonts w:ascii="Arial" w:cs="Arial" w:eastAsia="Arial" w:hAnsi="Arial"/>
          <w:sz w:val="4"/>
          <w:szCs w:val="4"/>
          <w:color w:val="FFFFFF"/>
        </w:rPr>
        <w:t>Asia</w:t>
      </w:r>
    </w:p>
    <w:p>
      <w:pPr>
        <w:spacing w:after="0" w:line="205" w:lineRule="auto"/>
        <w:rPr>
          <w:sz w:val="20"/>
          <w:szCs w:val="20"/>
          <w:color w:val="auto"/>
        </w:rPr>
      </w:pPr>
      <w:r>
        <w:rPr>
          <w:rFonts w:ascii="Arial" w:cs="Arial" w:eastAsia="Arial" w:hAnsi="Arial"/>
          <w:sz w:val="4"/>
          <w:szCs w:val="4"/>
          <w:color w:val="FFFFFF"/>
        </w:rPr>
        <w:t>Europe</w:t>
      </w:r>
    </w:p>
    <w:p>
      <w:pPr>
        <w:spacing w:after="0" w:line="205" w:lineRule="auto"/>
        <w:rPr>
          <w:sz w:val="20"/>
          <w:szCs w:val="20"/>
          <w:color w:val="auto"/>
        </w:rPr>
      </w:pPr>
      <w:r>
        <w:rPr>
          <w:rFonts w:ascii="Arial" w:cs="Arial" w:eastAsia="Arial" w:hAnsi="Arial"/>
          <w:sz w:val="4"/>
          <w:szCs w:val="4"/>
          <w:color w:val="FFFFFF"/>
        </w:rPr>
        <w:t>North America</w:t>
      </w:r>
    </w:p>
    <w:p>
      <w:pPr>
        <w:spacing w:after="0" w:line="205" w:lineRule="auto"/>
        <w:rPr>
          <w:sz w:val="20"/>
          <w:szCs w:val="20"/>
          <w:color w:val="auto"/>
        </w:rPr>
      </w:pPr>
      <w:r>
        <w:rPr>
          <w:rFonts w:ascii="Arial" w:cs="Arial" w:eastAsia="Arial" w:hAnsi="Arial"/>
          <w:sz w:val="4"/>
          <w:szCs w:val="4"/>
          <w:color w:val="FFFFFF"/>
        </w:rPr>
        <w:t>End Product Use</w:t>
      </w:r>
    </w:p>
    <w:p>
      <w:pPr>
        <w:spacing w:after="0" w:line="205" w:lineRule="auto"/>
        <w:rPr>
          <w:sz w:val="20"/>
          <w:szCs w:val="20"/>
          <w:color w:val="auto"/>
        </w:rPr>
      </w:pPr>
      <w:r>
        <w:rPr>
          <w:rFonts w:ascii="Arial" w:cs="Arial" w:eastAsia="Arial" w:hAnsi="Arial"/>
          <w:sz w:val="4"/>
          <w:szCs w:val="4"/>
          <w:color w:val="FFFFFF"/>
        </w:rPr>
        <w:t>Product Mix</w:t>
      </w:r>
    </w:p>
    <w:p>
      <w:pPr>
        <w:spacing w:after="0" w:line="205" w:lineRule="auto"/>
        <w:rPr>
          <w:sz w:val="20"/>
          <w:szCs w:val="20"/>
          <w:color w:val="auto"/>
        </w:rPr>
      </w:pPr>
      <w:r>
        <w:rPr>
          <w:rFonts w:ascii="Arial" w:cs="Arial" w:eastAsia="Arial" w:hAnsi="Arial"/>
          <w:sz w:val="4"/>
          <w:szCs w:val="4"/>
          <w:color w:val="FFFFFF"/>
        </w:rPr>
        <w:t>Geography</w:t>
      </w:r>
    </w:p>
    <w:p>
      <w:pPr>
        <w:spacing w:after="0" w:line="205" w:lineRule="auto"/>
        <w:rPr>
          <w:sz w:val="20"/>
          <w:szCs w:val="20"/>
          <w:color w:val="auto"/>
        </w:rPr>
      </w:pPr>
      <w:r>
        <w:rPr>
          <w:rFonts w:ascii="Arial" w:cs="Arial" w:eastAsia="Arial" w:hAnsi="Arial"/>
          <w:sz w:val="4"/>
          <w:szCs w:val="4"/>
          <w:color w:val="FFFFFF"/>
        </w:rPr>
        <w:t>9%</w:t>
      </w:r>
    </w:p>
    <w:p>
      <w:pPr>
        <w:spacing w:after="0" w:line="189" w:lineRule="auto"/>
        <w:rPr>
          <w:sz w:val="20"/>
          <w:szCs w:val="20"/>
          <w:color w:val="auto"/>
        </w:rPr>
      </w:pPr>
      <w:r>
        <w:rPr>
          <w:rFonts w:ascii="Arial" w:cs="Arial" w:eastAsia="Arial" w:hAnsi="Arial"/>
          <w:sz w:val="13"/>
          <w:szCs w:val="13"/>
          <w:color w:val="FFFFFF"/>
          <w:vertAlign w:val="subscript"/>
        </w:rPr>
        <w:t>100%</w:t>
      </w:r>
      <w:r>
        <w:rPr>
          <w:rFonts w:ascii="Arial" w:cs="Arial" w:eastAsia="Arial" w:hAnsi="Arial"/>
          <w:sz w:val="8"/>
          <w:szCs w:val="8"/>
          <w:color w:val="FFFFFF"/>
        </w:rPr>
        <w:t>7</w:t>
      </w:r>
      <w:r>
        <w:rPr>
          <w:rFonts w:ascii="Arial" w:cs="Arial" w:eastAsia="Arial" w:hAnsi="Arial"/>
          <w:sz w:val="13"/>
          <w:szCs w:val="13"/>
          <w:color w:val="FFFFFF"/>
          <w:vertAlign w:val="superscript"/>
        </w:rPr>
        <w:t>21%</w:t>
      </w:r>
    </w:p>
    <w:p>
      <w:pPr>
        <w:spacing w:after="0" w:line="205" w:lineRule="auto"/>
        <w:rPr>
          <w:sz w:val="20"/>
          <w:szCs w:val="20"/>
          <w:color w:val="auto"/>
        </w:rPr>
      </w:pPr>
      <w:r>
        <w:rPr>
          <w:rFonts w:ascii="Arial" w:cs="Arial" w:eastAsia="Arial" w:hAnsi="Arial"/>
          <w:sz w:val="4"/>
          <w:szCs w:val="4"/>
          <w:color w:val="FFFFFF"/>
        </w:rPr>
        <w:t>6%</w:t>
      </w:r>
    </w:p>
    <w:p>
      <w:pPr>
        <w:spacing w:after="0" w:line="189" w:lineRule="auto"/>
        <w:rPr>
          <w:sz w:val="20"/>
          <w:szCs w:val="20"/>
          <w:color w:val="auto"/>
        </w:rPr>
      </w:pPr>
      <w:r>
        <w:rPr>
          <w:rFonts w:ascii="Arial" w:cs="Arial" w:eastAsia="Arial" w:hAnsi="Arial"/>
          <w:sz w:val="13"/>
          <w:szCs w:val="13"/>
          <w:color w:val="FFFFFF"/>
          <w:vertAlign w:val="subscript"/>
        </w:rPr>
        <w:t>43%</w:t>
      </w:r>
      <w:r>
        <w:rPr>
          <w:rFonts w:ascii="Arial" w:cs="Arial" w:eastAsia="Arial" w:hAnsi="Arial"/>
          <w:sz w:val="8"/>
          <w:szCs w:val="8"/>
          <w:color w:val="FFFFFF"/>
        </w:rPr>
        <w:t>52%</w:t>
      </w:r>
    </w:p>
    <w:p>
      <w:pPr>
        <w:spacing w:after="0" w:line="206" w:lineRule="auto"/>
        <w:rPr>
          <w:sz w:val="20"/>
          <w:szCs w:val="20"/>
          <w:color w:val="auto"/>
        </w:rPr>
      </w:pPr>
      <w:r>
        <w:rPr>
          <w:rFonts w:ascii="Arial" w:cs="Arial" w:eastAsia="Arial" w:hAnsi="Arial"/>
          <w:sz w:val="4"/>
          <w:szCs w:val="4"/>
          <w:color w:val="FFFFFF"/>
          <w:vertAlign w:val="superscript"/>
        </w:rPr>
        <w:t>1</w:t>
      </w:r>
      <w:r>
        <w:rPr>
          <w:rFonts w:ascii="Arial" w:cs="Arial" w:eastAsia="Arial" w:hAnsi="Arial"/>
          <w:sz w:val="2"/>
          <w:szCs w:val="2"/>
          <w:color w:val="FFFFFF"/>
        </w:rPr>
        <w:t>0%</w:t>
      </w:r>
    </w:p>
    <w:p>
      <w:pPr>
        <w:spacing w:after="0" w:line="189" w:lineRule="auto"/>
        <w:rPr>
          <w:sz w:val="20"/>
          <w:szCs w:val="20"/>
          <w:color w:val="auto"/>
        </w:rPr>
      </w:pPr>
      <w:r>
        <w:rPr>
          <w:rFonts w:ascii="Arial" w:cs="Arial" w:eastAsia="Arial" w:hAnsi="Arial"/>
          <w:sz w:val="13"/>
          <w:szCs w:val="13"/>
          <w:color w:val="FFFFFF"/>
        </w:rPr>
        <w:t>47%</w:t>
      </w:r>
    </w:p>
    <w:p>
      <w:pPr>
        <w:spacing w:after="0" w:line="205" w:lineRule="auto"/>
        <w:rPr>
          <w:sz w:val="20"/>
          <w:szCs w:val="20"/>
          <w:color w:val="auto"/>
        </w:rPr>
      </w:pPr>
      <w:r>
        <w:rPr>
          <w:rFonts w:ascii="Arial" w:cs="Arial" w:eastAsia="Arial" w:hAnsi="Arial"/>
          <w:sz w:val="2"/>
          <w:szCs w:val="2"/>
          <w:color w:val="FFFFFF"/>
        </w:rPr>
        <w:t>19%</w:t>
      </w:r>
      <w:r>
        <w:rPr>
          <w:rFonts w:ascii="Arial" w:cs="Arial" w:eastAsia="Arial" w:hAnsi="Arial"/>
          <w:sz w:val="4"/>
          <w:szCs w:val="4"/>
          <w:color w:val="FFFFFF"/>
          <w:vertAlign w:val="superscript"/>
        </w:rPr>
        <w:t>6%</w:t>
      </w:r>
    </w:p>
    <w:p>
      <w:pPr>
        <w:spacing w:after="0" w:line="182" w:lineRule="auto"/>
        <w:rPr>
          <w:sz w:val="20"/>
          <w:szCs w:val="20"/>
          <w:color w:val="auto"/>
        </w:rPr>
      </w:pPr>
      <w:r>
        <w:rPr>
          <w:rFonts w:ascii="Arial" w:cs="Arial" w:eastAsia="Arial" w:hAnsi="Arial"/>
          <w:sz w:val="9"/>
          <w:szCs w:val="9"/>
          <w:color w:val="FFFFFF"/>
        </w:rPr>
        <w:t>58%</w:t>
      </w:r>
    </w:p>
    <w:p>
      <w:pPr>
        <w:spacing w:after="0" w:line="206" w:lineRule="auto"/>
        <w:rPr>
          <w:sz w:val="20"/>
          <w:szCs w:val="20"/>
          <w:color w:val="auto"/>
        </w:rPr>
      </w:pPr>
      <w:r>
        <w:rPr>
          <w:rFonts w:ascii="Arial" w:cs="Arial" w:eastAsia="Arial" w:hAnsi="Arial"/>
          <w:sz w:val="4"/>
          <w:szCs w:val="4"/>
          <w:color w:val="FFFFFF"/>
        </w:rPr>
        <w:t>7%</w:t>
      </w:r>
    </w:p>
    <w:p>
      <w:pPr>
        <w:spacing w:after="0" w:line="205" w:lineRule="auto"/>
        <w:rPr>
          <w:sz w:val="20"/>
          <w:szCs w:val="20"/>
          <w:color w:val="auto"/>
        </w:rPr>
      </w:pPr>
      <w:r>
        <w:rPr>
          <w:rFonts w:ascii="Arial" w:cs="Arial" w:eastAsia="Arial" w:hAnsi="Arial"/>
          <w:sz w:val="2"/>
          <w:szCs w:val="2"/>
          <w:color w:val="FFFFFF"/>
        </w:rPr>
        <w:t>31%</w:t>
      </w:r>
      <w:r>
        <w:rPr>
          <w:rFonts w:ascii="Arial" w:cs="Arial" w:eastAsia="Arial" w:hAnsi="Arial"/>
          <w:sz w:val="4"/>
          <w:szCs w:val="4"/>
          <w:color w:val="FFFFFF"/>
          <w:vertAlign w:val="superscript"/>
        </w:rPr>
        <w:t>10%</w:t>
      </w:r>
    </w:p>
    <w:p>
      <w:pPr>
        <w:spacing w:after="0" w:line="189" w:lineRule="auto"/>
        <w:rPr>
          <w:sz w:val="20"/>
          <w:szCs w:val="20"/>
          <w:color w:val="auto"/>
        </w:rPr>
      </w:pPr>
      <w:r>
        <w:rPr>
          <w:rFonts w:ascii="Arial" w:cs="Arial" w:eastAsia="Arial" w:hAnsi="Arial"/>
          <w:sz w:val="13"/>
          <w:szCs w:val="13"/>
          <w:color w:val="FFFFFF"/>
        </w:rPr>
        <w:t>50%</w:t>
      </w:r>
    </w:p>
    <w:p>
      <w:pPr>
        <w:spacing w:after="0"/>
        <w:rPr>
          <w:sz w:val="20"/>
          <w:szCs w:val="20"/>
          <w:color w:val="auto"/>
        </w:rPr>
      </w:pPr>
      <w:r>
        <w:rPr>
          <w:rFonts w:ascii="Arial" w:cs="Arial" w:eastAsia="Arial" w:hAnsi="Arial"/>
          <w:sz w:val="13"/>
          <w:szCs w:val="13"/>
          <w:color w:val="FFFFFF"/>
        </w:rPr>
        <w:t>6Improved balance among geographic focus and product mix</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2"/>
          <w:szCs w:val="12"/>
          <w:color w:val="FFFFFF"/>
        </w:rPr>
        <w:t>TimkenNNand NexteerAutocam Combination Overview</w:t>
      </w:r>
    </w:p>
    <w:p>
      <w:pPr>
        <w:spacing w:after="0" w:line="204" w:lineRule="auto"/>
        <w:rPr>
          <w:sz w:val="20"/>
          <w:szCs w:val="20"/>
          <w:color w:val="auto"/>
        </w:rPr>
      </w:pPr>
      <w:r>
        <w:rPr>
          <w:rFonts w:ascii="Arial" w:cs="Arial" w:eastAsia="Arial" w:hAnsi="Arial"/>
          <w:sz w:val="4"/>
          <w:szCs w:val="4"/>
          <w:color w:val="FFFFFF"/>
        </w:rPr>
        <w:t>Iljin</w:t>
      </w:r>
    </w:p>
    <w:p>
      <w:pPr>
        <w:spacing w:after="0" w:line="182" w:lineRule="auto"/>
        <w:rPr>
          <w:sz w:val="20"/>
          <w:szCs w:val="20"/>
          <w:color w:val="auto"/>
        </w:rPr>
      </w:pPr>
      <w:r>
        <w:rPr>
          <w:rFonts w:ascii="Arial" w:cs="Arial" w:eastAsia="Arial" w:hAnsi="Arial"/>
          <w:sz w:val="9"/>
          <w:szCs w:val="9"/>
          <w:color w:val="FFFFFF"/>
        </w:rPr>
        <w:t>GKN2%1%3%</w:t>
      </w:r>
    </w:p>
    <w:p>
      <w:pPr>
        <w:spacing w:after="0" w:line="182" w:lineRule="auto"/>
        <w:rPr>
          <w:sz w:val="20"/>
          <w:szCs w:val="20"/>
          <w:color w:val="auto"/>
        </w:rPr>
      </w:pPr>
      <w:r>
        <w:rPr>
          <w:rFonts w:ascii="Arial" w:cs="Arial" w:eastAsia="Arial" w:hAnsi="Arial"/>
          <w:sz w:val="9"/>
          <w:szCs w:val="9"/>
          <w:color w:val="FFFFFF"/>
        </w:rPr>
        <w:t>HILITE3% 6%</w:t>
      </w:r>
    </w:p>
    <w:p>
      <w:pPr>
        <w:spacing w:after="0" w:line="206" w:lineRule="auto"/>
        <w:rPr>
          <w:sz w:val="20"/>
          <w:szCs w:val="20"/>
          <w:color w:val="auto"/>
        </w:rPr>
      </w:pPr>
      <w:r>
        <w:rPr>
          <w:rFonts w:ascii="Arial" w:cs="Arial" w:eastAsia="Arial" w:hAnsi="Arial"/>
          <w:sz w:val="4"/>
          <w:szCs w:val="4"/>
          <w:color w:val="FFFFFF"/>
        </w:rPr>
        <w:t>SKF</w:t>
      </w:r>
    </w:p>
    <w:p>
      <w:pPr>
        <w:spacing w:after="0" w:line="182" w:lineRule="auto"/>
        <w:rPr>
          <w:sz w:val="20"/>
          <w:szCs w:val="20"/>
          <w:color w:val="auto"/>
        </w:rPr>
      </w:pPr>
      <w:r>
        <w:rPr>
          <w:rFonts w:ascii="Arial" w:cs="Arial" w:eastAsia="Arial" w:hAnsi="Arial"/>
          <w:sz w:val="9"/>
          <w:szCs w:val="9"/>
          <w:color w:val="FFFFFF"/>
        </w:rPr>
        <w:t>(Copeland)Emerson36%6%</w:t>
      </w:r>
    </w:p>
    <w:p>
      <w:pPr>
        <w:spacing w:after="0" w:line="206" w:lineRule="auto"/>
        <w:rPr>
          <w:sz w:val="20"/>
          <w:szCs w:val="20"/>
          <w:color w:val="auto"/>
        </w:rPr>
      </w:pPr>
      <w:r>
        <w:rPr>
          <w:rFonts w:ascii="Arial" w:cs="Arial" w:eastAsia="Arial" w:hAnsi="Arial"/>
          <w:sz w:val="4"/>
          <w:szCs w:val="4"/>
          <w:color w:val="FFFFFF"/>
        </w:rPr>
        <w:t>Schaeffler/7%</w:t>
      </w:r>
    </w:p>
    <w:p>
      <w:pPr>
        <w:spacing w:after="0" w:line="189" w:lineRule="auto"/>
        <w:rPr>
          <w:sz w:val="20"/>
          <w:szCs w:val="20"/>
          <w:color w:val="auto"/>
        </w:rPr>
      </w:pPr>
      <w:r>
        <w:rPr>
          <w:rFonts w:ascii="Arial" w:cs="Arial" w:eastAsia="Arial" w:hAnsi="Arial"/>
          <w:sz w:val="13"/>
          <w:szCs w:val="13"/>
          <w:color w:val="FFFFFF"/>
        </w:rPr>
        <w:t>INA/FAG7%7%</w:t>
      </w:r>
    </w:p>
    <w:p>
      <w:pPr>
        <w:spacing w:after="0" w:line="205" w:lineRule="auto"/>
        <w:rPr>
          <w:sz w:val="20"/>
          <w:szCs w:val="20"/>
          <w:color w:val="auto"/>
        </w:rPr>
      </w:pPr>
      <w:r>
        <w:rPr>
          <w:rFonts w:ascii="Arial" w:cs="Arial" w:eastAsia="Arial" w:hAnsi="Arial"/>
          <w:sz w:val="4"/>
          <w:szCs w:val="4"/>
          <w:color w:val="FFFFFF"/>
        </w:rPr>
        <w:t>ZF</w:t>
      </w:r>
    </w:p>
    <w:p>
      <w:pPr>
        <w:spacing w:after="0" w:line="182" w:lineRule="auto"/>
        <w:rPr>
          <w:sz w:val="20"/>
          <w:szCs w:val="20"/>
          <w:color w:val="auto"/>
        </w:rPr>
      </w:pPr>
      <w:r>
        <w:rPr>
          <w:rFonts w:ascii="Arial" w:cs="Arial" w:eastAsia="Arial" w:hAnsi="Arial"/>
          <w:sz w:val="9"/>
          <w:szCs w:val="9"/>
          <w:color w:val="FFFFFF"/>
        </w:rPr>
        <w:t>BroseNTN/SNR</w:t>
      </w:r>
    </w:p>
    <w:p>
      <w:pPr>
        <w:spacing w:after="0" w:line="206" w:lineRule="auto"/>
        <w:rPr>
          <w:sz w:val="20"/>
          <w:szCs w:val="20"/>
          <w:color w:val="auto"/>
        </w:rPr>
      </w:pPr>
      <w:r>
        <w:rPr>
          <w:rFonts w:ascii="Arial" w:cs="Arial" w:eastAsia="Arial" w:hAnsi="Arial"/>
          <w:sz w:val="4"/>
          <w:szCs w:val="4"/>
          <w:color w:val="FFFFFF"/>
        </w:rPr>
        <w:t>Hitachi</w:t>
      </w:r>
    </w:p>
    <w:p>
      <w:pPr>
        <w:spacing w:after="0" w:line="182" w:lineRule="auto"/>
        <w:rPr>
          <w:sz w:val="20"/>
          <w:szCs w:val="20"/>
          <w:color w:val="auto"/>
        </w:rPr>
      </w:pPr>
      <w:r>
        <w:rPr>
          <w:rFonts w:ascii="Arial" w:cs="Arial" w:eastAsia="Arial" w:hAnsi="Arial"/>
          <w:sz w:val="9"/>
          <w:szCs w:val="9"/>
          <w:color w:val="FFFFFF"/>
        </w:rPr>
        <w:t>4%ContinentalBosch 3% 3%</w:t>
      </w:r>
    </w:p>
    <w:p>
      <w:pPr>
        <w:ind w:left="160"/>
        <w:spacing w:after="0" w:line="205" w:lineRule="auto"/>
        <w:rPr>
          <w:sz w:val="20"/>
          <w:szCs w:val="20"/>
          <w:color w:val="auto"/>
        </w:rPr>
      </w:pPr>
      <w:r>
        <w:rPr>
          <w:rFonts w:ascii="Arial" w:cs="Arial" w:eastAsia="Arial" w:hAnsi="Arial"/>
          <w:sz w:val="4"/>
          <w:szCs w:val="4"/>
          <w:color w:val="FFFFFF"/>
        </w:rPr>
        <w:t>nso 3% 19%</w:t>
      </w:r>
    </w:p>
    <w:p>
      <w:pPr>
        <w:spacing w:after="0" w:line="205" w:lineRule="auto"/>
        <w:rPr>
          <w:sz w:val="20"/>
          <w:szCs w:val="20"/>
          <w:color w:val="auto"/>
        </w:rPr>
      </w:pPr>
      <w:r>
        <w:rPr>
          <w:rFonts w:ascii="Arial" w:cs="Arial" w:eastAsia="Arial" w:hAnsi="Arial"/>
          <w:sz w:val="2"/>
          <w:szCs w:val="2"/>
          <w:color w:val="FFFFFF"/>
        </w:rPr>
        <w:t>6%</w:t>
      </w:r>
      <w:r>
        <w:rPr>
          <w:rFonts w:ascii="Arial" w:cs="Arial" w:eastAsia="Arial" w:hAnsi="Arial"/>
          <w:sz w:val="4"/>
          <w:szCs w:val="4"/>
          <w:color w:val="FFFFFF"/>
          <w:vertAlign w:val="subscript"/>
        </w:rPr>
        <w:t>Delphi</w:t>
      </w:r>
      <w:r>
        <w:rPr>
          <w:rFonts w:ascii="Arial" w:cs="Arial" w:eastAsia="Arial" w:hAnsi="Arial"/>
          <w:sz w:val="2"/>
          <w:szCs w:val="2"/>
          <w:color w:val="FFFFFF"/>
        </w:rPr>
        <w:t xml:space="preserve"> </w:t>
      </w:r>
      <w:r>
        <w:rPr>
          <w:rFonts w:ascii="Arial" w:cs="Arial" w:eastAsia="Arial" w:hAnsi="Arial"/>
          <w:sz w:val="4"/>
          <w:szCs w:val="4"/>
          <w:color w:val="FFFFFF"/>
          <w:vertAlign w:val="superscript"/>
        </w:rPr>
        <w:t>7%</w:t>
      </w:r>
    </w:p>
    <w:p>
      <w:pPr>
        <w:spacing w:after="0" w:line="205" w:lineRule="auto"/>
        <w:rPr>
          <w:sz w:val="20"/>
          <w:szCs w:val="20"/>
          <w:color w:val="auto"/>
        </w:rPr>
      </w:pPr>
      <w:r>
        <w:rPr>
          <w:rFonts w:ascii="Arial" w:cs="Arial" w:eastAsia="Arial" w:hAnsi="Arial"/>
          <w:sz w:val="4"/>
          <w:szCs w:val="4"/>
          <w:color w:val="FFFFFF"/>
        </w:rPr>
        <w:t>TRW 11%</w:t>
      </w:r>
    </w:p>
    <w:p>
      <w:pPr>
        <w:spacing w:after="0" w:line="205" w:lineRule="auto"/>
        <w:rPr>
          <w:sz w:val="20"/>
          <w:szCs w:val="20"/>
          <w:color w:val="auto"/>
        </w:rPr>
      </w:pPr>
      <w:r>
        <w:rPr>
          <w:rFonts w:ascii="Arial" w:cs="Arial" w:eastAsia="Arial" w:hAnsi="Arial"/>
          <w:sz w:val="4"/>
          <w:szCs w:val="4"/>
          <w:color w:val="FFFFFF"/>
        </w:rPr>
        <w:t>7% Fiat</w:t>
      </w:r>
    </w:p>
    <w:p>
      <w:pPr>
        <w:spacing w:after="0" w:line="205" w:lineRule="auto"/>
        <w:rPr>
          <w:sz w:val="20"/>
          <w:szCs w:val="20"/>
          <w:color w:val="auto"/>
        </w:rPr>
      </w:pPr>
      <w:r>
        <w:rPr>
          <w:rFonts w:ascii="Arial" w:cs="Arial" w:eastAsia="Arial" w:hAnsi="Arial"/>
          <w:sz w:val="4"/>
          <w:szCs w:val="4"/>
          <w:color w:val="FFFFFF"/>
        </w:rPr>
        <w:t>GM 8%</w:t>
      </w:r>
    </w:p>
    <w:p>
      <w:pPr>
        <w:spacing w:after="0" w:line="182" w:lineRule="auto"/>
        <w:rPr>
          <w:sz w:val="20"/>
          <w:szCs w:val="20"/>
          <w:color w:val="auto"/>
        </w:rPr>
      </w:pPr>
      <w:r>
        <w:rPr>
          <w:rFonts w:ascii="Arial" w:cs="Arial" w:eastAsia="Arial" w:hAnsi="Arial"/>
          <w:sz w:val="9"/>
          <w:szCs w:val="9"/>
          <w:color w:val="FFFFFF"/>
        </w:rPr>
        <w:t>Cummins</w:t>
      </w:r>
    </w:p>
    <w:p>
      <w:pPr>
        <w:spacing w:after="0" w:line="206" w:lineRule="auto"/>
        <w:rPr>
          <w:sz w:val="20"/>
          <w:szCs w:val="20"/>
          <w:color w:val="auto"/>
        </w:rPr>
      </w:pPr>
      <w:r>
        <w:rPr>
          <w:rFonts w:ascii="Arial" w:cs="Arial" w:eastAsia="Arial" w:hAnsi="Arial"/>
          <w:sz w:val="4"/>
          <w:szCs w:val="4"/>
          <w:color w:val="FFFFFF"/>
        </w:rPr>
        <w:t>TRW</w:t>
      </w:r>
    </w:p>
    <w:p>
      <w:pPr>
        <w:spacing w:after="0" w:line="182" w:lineRule="auto"/>
        <w:rPr>
          <w:sz w:val="20"/>
          <w:szCs w:val="20"/>
          <w:color w:val="auto"/>
        </w:rPr>
      </w:pPr>
      <w:r>
        <w:rPr>
          <w:rFonts w:ascii="Arial" w:cs="Arial" w:eastAsia="Arial" w:hAnsi="Arial"/>
          <w:sz w:val="9"/>
          <w:szCs w:val="9"/>
          <w:color w:val="FFFFFF"/>
        </w:rPr>
        <w:t>HILITECummins3%</w:t>
      </w:r>
    </w:p>
    <w:p>
      <w:pPr>
        <w:spacing w:after="0" w:line="205" w:lineRule="auto"/>
        <w:rPr>
          <w:sz w:val="20"/>
          <w:szCs w:val="20"/>
          <w:color w:val="auto"/>
        </w:rPr>
      </w:pPr>
      <w:r>
        <w:rPr>
          <w:rFonts w:ascii="Arial" w:cs="Arial" w:eastAsia="Arial" w:hAnsi="Arial"/>
          <w:sz w:val="4"/>
          <w:szCs w:val="4"/>
          <w:color w:val="FFFFFF"/>
        </w:rPr>
        <w:t>Emerson3% 3%</w:t>
      </w:r>
    </w:p>
    <w:p>
      <w:pPr>
        <w:spacing w:after="0" w:line="182" w:lineRule="auto"/>
        <w:rPr>
          <w:sz w:val="20"/>
          <w:szCs w:val="20"/>
          <w:color w:val="auto"/>
        </w:rPr>
      </w:pPr>
      <w:r>
        <w:rPr>
          <w:rFonts w:ascii="Arial" w:cs="Arial" w:eastAsia="Arial" w:hAnsi="Arial"/>
          <w:sz w:val="9"/>
          <w:szCs w:val="9"/>
          <w:color w:val="FFFFFF"/>
        </w:rPr>
        <w:t>SKF</w:t>
      </w:r>
    </w:p>
    <w:p>
      <w:pPr>
        <w:spacing w:after="0" w:line="206" w:lineRule="auto"/>
        <w:rPr>
          <w:sz w:val="20"/>
          <w:szCs w:val="20"/>
          <w:color w:val="auto"/>
        </w:rPr>
      </w:pPr>
      <w:r>
        <w:rPr>
          <w:rFonts w:ascii="Arial" w:cs="Arial" w:eastAsia="Arial" w:hAnsi="Arial"/>
          <w:sz w:val="4"/>
          <w:szCs w:val="4"/>
          <w:color w:val="FFFFFF"/>
        </w:rPr>
        <w:t>Schaeffler/(Copeland) 4%4% 22%</w:t>
      </w:r>
    </w:p>
    <w:p>
      <w:pPr>
        <w:spacing w:after="0" w:line="182" w:lineRule="auto"/>
        <w:rPr>
          <w:sz w:val="20"/>
          <w:szCs w:val="20"/>
          <w:color w:val="auto"/>
        </w:rPr>
      </w:pPr>
      <w:r>
        <w:rPr>
          <w:rFonts w:ascii="Arial" w:cs="Arial" w:eastAsia="Arial" w:hAnsi="Arial"/>
          <w:sz w:val="9"/>
          <w:szCs w:val="9"/>
          <w:color w:val="FFFFFF"/>
        </w:rPr>
        <w:t>INA/FAG</w:t>
      </w:r>
    </w:p>
    <w:p>
      <w:pPr>
        <w:spacing w:after="0" w:line="205" w:lineRule="auto"/>
        <w:rPr>
          <w:sz w:val="20"/>
          <w:szCs w:val="20"/>
          <w:color w:val="auto"/>
        </w:rPr>
      </w:pPr>
      <w:r>
        <w:rPr>
          <w:rFonts w:ascii="Arial" w:cs="Arial" w:eastAsia="Arial" w:hAnsi="Arial"/>
          <w:sz w:val="4"/>
          <w:szCs w:val="4"/>
          <w:color w:val="FFFFFF"/>
        </w:rPr>
        <w:t>ZF4%</w:t>
      </w:r>
    </w:p>
    <w:p>
      <w:pPr>
        <w:spacing w:after="0" w:line="189" w:lineRule="auto"/>
        <w:rPr>
          <w:sz w:val="20"/>
          <w:szCs w:val="20"/>
          <w:color w:val="auto"/>
        </w:rPr>
      </w:pPr>
      <w:r>
        <w:rPr>
          <w:rFonts w:ascii="Arial" w:cs="Arial" w:eastAsia="Arial" w:hAnsi="Arial"/>
          <w:sz w:val="8"/>
          <w:szCs w:val="8"/>
          <w:color w:val="FFFFFF"/>
        </w:rPr>
        <w:t>4%</w:t>
      </w:r>
      <w:r>
        <w:rPr>
          <w:rFonts w:ascii="Arial" w:cs="Arial" w:eastAsia="Arial" w:hAnsi="Arial"/>
          <w:sz w:val="13"/>
          <w:szCs w:val="13"/>
          <w:color w:val="FFFFFF"/>
          <w:vertAlign w:val="subscript"/>
        </w:rPr>
        <w:t>5%</w:t>
      </w:r>
      <w:r>
        <w:rPr>
          <w:rFonts w:ascii="Arial" w:cs="Arial" w:eastAsia="Arial" w:hAnsi="Arial"/>
          <w:sz w:val="8"/>
          <w:szCs w:val="8"/>
          <w:color w:val="FFFFFF"/>
        </w:rPr>
        <w:t xml:space="preserve"> 8%</w:t>
      </w:r>
    </w:p>
    <w:p>
      <w:pPr>
        <w:spacing w:after="0" w:line="206" w:lineRule="auto"/>
        <w:rPr>
          <w:sz w:val="20"/>
          <w:szCs w:val="20"/>
          <w:color w:val="auto"/>
        </w:rPr>
      </w:pPr>
      <w:r>
        <w:rPr>
          <w:rFonts w:ascii="Arial" w:cs="Arial" w:eastAsia="Arial" w:hAnsi="Arial"/>
          <w:sz w:val="4"/>
          <w:szCs w:val="4"/>
          <w:color w:val="FFFFFF"/>
        </w:rPr>
        <w:t>FiatNTN/SNR Bosch</w:t>
      </w:r>
    </w:p>
    <w:p>
      <w:pPr>
        <w:spacing w:after="0" w:line="182" w:lineRule="auto"/>
        <w:rPr>
          <w:sz w:val="20"/>
          <w:szCs w:val="20"/>
          <w:color w:val="auto"/>
        </w:rPr>
      </w:pPr>
      <w:r>
        <w:rPr>
          <w:rFonts w:ascii="Arial" w:cs="Arial" w:eastAsia="Arial" w:hAnsi="Arial"/>
          <w:sz w:val="9"/>
          <w:szCs w:val="9"/>
          <w:color w:val="FFFFFF"/>
        </w:rPr>
        <w:t>Aerospace Medical</w:t>
      </w:r>
    </w:p>
    <w:p>
      <w:pPr>
        <w:spacing w:after="0" w:line="205" w:lineRule="auto"/>
        <w:rPr>
          <w:sz w:val="20"/>
          <w:szCs w:val="20"/>
          <w:color w:val="auto"/>
        </w:rPr>
      </w:pPr>
      <w:r>
        <w:rPr>
          <w:rFonts w:ascii="Arial" w:cs="Arial" w:eastAsia="Arial" w:hAnsi="Arial"/>
          <w:sz w:val="2"/>
          <w:szCs w:val="2"/>
          <w:color w:val="FFFFFF"/>
        </w:rPr>
        <w:t>Heavy&lt;1%</w:t>
      </w:r>
      <w:r>
        <w:rPr>
          <w:rFonts w:ascii="Arial" w:cs="Arial" w:eastAsia="Arial" w:hAnsi="Arial"/>
          <w:sz w:val="4"/>
          <w:szCs w:val="4"/>
          <w:color w:val="FFFFFF"/>
          <w:vertAlign w:val="superscript"/>
        </w:rPr>
        <w:t>VAC</w:t>
      </w:r>
      <w:r>
        <w:rPr>
          <w:rFonts w:ascii="Arial" w:cs="Arial" w:eastAsia="Arial" w:hAnsi="Arial"/>
          <w:sz w:val="2"/>
          <w:szCs w:val="2"/>
          <w:color w:val="FFFFFF"/>
        </w:rPr>
        <w:t>&lt;1%</w:t>
      </w:r>
      <w:r>
        <w:rPr>
          <w:rFonts w:ascii="Arial" w:cs="Arial" w:eastAsia="Arial" w:hAnsi="Arial"/>
          <w:sz w:val="4"/>
          <w:szCs w:val="4"/>
          <w:color w:val="FFFFFF"/>
          <w:vertAlign w:val="superscript"/>
        </w:rPr>
        <w:t>4%</w:t>
      </w:r>
      <w:r>
        <w:rPr>
          <w:rFonts w:ascii="Arial" w:cs="Arial" w:eastAsia="Arial" w:hAnsi="Arial"/>
          <w:sz w:val="2"/>
          <w:szCs w:val="2"/>
          <w:color w:val="FFFFFF"/>
        </w:rPr>
        <w:t xml:space="preserve"> Consumer-Other</w:t>
      </w:r>
    </w:p>
    <w:p>
      <w:pPr>
        <w:spacing w:after="0" w:line="182" w:lineRule="auto"/>
        <w:tabs>
          <w:tab w:leader="none" w:pos="360" w:val="left"/>
        </w:tabs>
        <w:rPr>
          <w:sz w:val="20"/>
          <w:szCs w:val="20"/>
          <w:color w:val="auto"/>
        </w:rPr>
      </w:pPr>
      <w:r>
        <w:rPr>
          <w:rFonts w:ascii="Arial" w:cs="Arial" w:eastAsia="Arial" w:hAnsi="Arial"/>
          <w:sz w:val="9"/>
          <w:szCs w:val="9"/>
          <w:color w:val="FFFFFF"/>
        </w:rPr>
        <w:t>5%</w:t>
      </w:r>
      <w:r>
        <w:rPr>
          <w:sz w:val="20"/>
          <w:szCs w:val="20"/>
          <w:color w:val="auto"/>
        </w:rPr>
        <w:tab/>
      </w:r>
      <w:r>
        <w:rPr>
          <w:rFonts w:ascii="Arial" w:cs="Arial" w:eastAsia="Arial" w:hAnsi="Arial"/>
          <w:sz w:val="9"/>
          <w:szCs w:val="9"/>
          <w:color w:val="FFFFFF"/>
        </w:rPr>
        <w:t>Truck 5%</w:t>
      </w:r>
    </w:p>
    <w:p>
      <w:pPr>
        <w:spacing w:after="0" w:line="205" w:lineRule="auto"/>
        <w:rPr>
          <w:sz w:val="20"/>
          <w:szCs w:val="20"/>
          <w:color w:val="auto"/>
        </w:rPr>
      </w:pPr>
      <w:r>
        <w:rPr>
          <w:rFonts w:ascii="Arial" w:cs="Arial" w:eastAsia="Arial" w:hAnsi="Arial"/>
          <w:sz w:val="4"/>
          <w:szCs w:val="4"/>
          <w:color w:val="FFFFFF"/>
        </w:rPr>
        <w:t>General 25%</w:t>
      </w:r>
    </w:p>
    <w:p>
      <w:pPr>
        <w:spacing w:after="0" w:line="205" w:lineRule="auto"/>
        <w:rPr>
          <w:sz w:val="20"/>
          <w:szCs w:val="20"/>
          <w:color w:val="auto"/>
        </w:rPr>
      </w:pPr>
      <w:r>
        <w:rPr>
          <w:rFonts w:ascii="Arial" w:cs="Arial" w:eastAsia="Arial" w:hAnsi="Arial"/>
          <w:sz w:val="4"/>
          <w:szCs w:val="4"/>
          <w:color w:val="FFFFFF"/>
        </w:rPr>
        <w:t>Industrial 60% Light Auto</w:t>
      </w:r>
    </w:p>
    <w:p>
      <w:pPr>
        <w:spacing w:after="0" w:line="205" w:lineRule="auto"/>
        <w:rPr>
          <w:sz w:val="20"/>
          <w:szCs w:val="20"/>
          <w:color w:val="auto"/>
        </w:rPr>
      </w:pPr>
      <w:r>
        <w:rPr>
          <w:rFonts w:ascii="Arial" w:cs="Arial" w:eastAsia="Arial" w:hAnsi="Arial"/>
          <w:sz w:val="4"/>
          <w:szCs w:val="4"/>
          <w:color w:val="FFFFFF"/>
        </w:rPr>
        <w:t>Commercial Other</w:t>
      </w:r>
    </w:p>
    <w:p>
      <w:pPr>
        <w:spacing w:after="0" w:line="205" w:lineRule="auto"/>
        <w:rPr>
          <w:sz w:val="20"/>
          <w:szCs w:val="20"/>
          <w:color w:val="auto"/>
        </w:rPr>
      </w:pPr>
      <w:r>
        <w:rPr>
          <w:rFonts w:ascii="Arial" w:cs="Arial" w:eastAsia="Arial" w:hAnsi="Arial"/>
          <w:sz w:val="4"/>
          <w:szCs w:val="4"/>
          <w:color w:val="FFFFFF"/>
        </w:rPr>
        <w:t>Vehicles</w:t>
      </w:r>
    </w:p>
    <w:p>
      <w:pPr>
        <w:spacing w:after="0" w:line="182" w:lineRule="auto"/>
        <w:rPr>
          <w:sz w:val="20"/>
          <w:szCs w:val="20"/>
          <w:color w:val="auto"/>
        </w:rPr>
      </w:pPr>
      <w:r>
        <w:rPr>
          <w:rFonts w:ascii="Arial" w:cs="Arial" w:eastAsia="Arial" w:hAnsi="Arial"/>
          <w:sz w:val="9"/>
          <w:szCs w:val="9"/>
          <w:color w:val="FFFFFF"/>
          <w:vertAlign w:val="subscript"/>
        </w:rPr>
        <w:t>9%</w:t>
      </w:r>
      <w:r>
        <w:rPr>
          <w:rFonts w:ascii="Arial" w:cs="Arial" w:eastAsia="Arial" w:hAnsi="Arial"/>
          <w:sz w:val="7"/>
          <w:szCs w:val="7"/>
          <w:color w:val="FFFFFF"/>
        </w:rPr>
        <w:t>4%</w:t>
      </w:r>
    </w:p>
    <w:p>
      <w:pPr>
        <w:spacing w:after="0" w:line="182" w:lineRule="auto"/>
        <w:rPr>
          <w:sz w:val="20"/>
          <w:szCs w:val="20"/>
          <w:color w:val="auto"/>
        </w:rPr>
      </w:pPr>
      <w:r>
        <w:rPr>
          <w:rFonts w:ascii="Arial" w:cs="Arial" w:eastAsia="Arial" w:hAnsi="Arial"/>
          <w:sz w:val="9"/>
          <w:szCs w:val="9"/>
          <w:color w:val="FFFFFF"/>
        </w:rPr>
        <w:t>87%</w:t>
      </w:r>
    </w:p>
    <w:p>
      <w:pPr>
        <w:spacing w:after="0" w:line="206" w:lineRule="auto"/>
        <w:rPr>
          <w:sz w:val="20"/>
          <w:szCs w:val="20"/>
          <w:color w:val="auto"/>
        </w:rPr>
      </w:pPr>
      <w:r>
        <w:rPr>
          <w:rFonts w:ascii="Arial" w:cs="Arial" w:eastAsia="Arial" w:hAnsi="Arial"/>
          <w:sz w:val="4"/>
          <w:szCs w:val="4"/>
          <w:color w:val="FFFFFF"/>
        </w:rPr>
        <w:t>Passenger</w:t>
      </w:r>
    </w:p>
    <w:p>
      <w:pPr>
        <w:spacing w:after="0" w:line="182" w:lineRule="auto"/>
        <w:rPr>
          <w:sz w:val="20"/>
          <w:szCs w:val="20"/>
          <w:color w:val="auto"/>
        </w:rPr>
      </w:pPr>
      <w:r>
        <w:rPr>
          <w:rFonts w:ascii="Arial" w:cs="Arial" w:eastAsia="Arial" w:hAnsi="Arial"/>
          <w:sz w:val="9"/>
          <w:szCs w:val="9"/>
          <w:color w:val="FFFFFF"/>
        </w:rPr>
        <w:t>ConsumerVehicles Other</w:t>
      </w:r>
    </w:p>
    <w:p>
      <w:pPr>
        <w:spacing w:after="0" w:line="182" w:lineRule="auto"/>
        <w:rPr>
          <w:sz w:val="20"/>
          <w:szCs w:val="20"/>
          <w:color w:val="auto"/>
        </w:rPr>
      </w:pPr>
      <w:r>
        <w:rPr>
          <w:rFonts w:ascii="Arial" w:cs="Arial" w:eastAsia="Arial" w:hAnsi="Arial"/>
          <w:sz w:val="9"/>
          <w:szCs w:val="9"/>
          <w:color w:val="FFFFFF"/>
        </w:rPr>
        <w:t>7%Heavy Truck 3% 2%</w:t>
      </w:r>
    </w:p>
    <w:p>
      <w:pPr>
        <w:spacing w:after="0" w:line="206" w:lineRule="auto"/>
        <w:rPr>
          <w:sz w:val="20"/>
          <w:szCs w:val="20"/>
          <w:color w:val="auto"/>
        </w:rPr>
      </w:pPr>
      <w:r>
        <w:rPr>
          <w:rFonts w:ascii="Arial" w:cs="Arial" w:eastAsia="Arial" w:hAnsi="Arial"/>
          <w:sz w:val="4"/>
          <w:szCs w:val="4"/>
          <w:color w:val="FFFFFF"/>
        </w:rPr>
        <w:t>70%General Industrial 15%</w:t>
      </w:r>
    </w:p>
    <w:p>
      <w:pPr>
        <w:spacing w:after="0" w:line="182" w:lineRule="auto"/>
        <w:rPr>
          <w:sz w:val="20"/>
          <w:szCs w:val="20"/>
          <w:color w:val="auto"/>
        </w:rPr>
      </w:pPr>
      <w:r>
        <w:rPr>
          <w:rFonts w:ascii="Arial" w:cs="Arial" w:eastAsia="Arial" w:hAnsi="Arial"/>
          <w:sz w:val="9"/>
          <w:szCs w:val="9"/>
          <w:color w:val="FFFFFF"/>
        </w:rPr>
        <w:t>Vehicles</w:t>
      </w:r>
    </w:p>
    <w:p>
      <w:pPr>
        <w:spacing w:after="0" w:line="182" w:lineRule="auto"/>
        <w:rPr>
          <w:sz w:val="20"/>
          <w:szCs w:val="20"/>
          <w:color w:val="auto"/>
        </w:rPr>
      </w:pPr>
      <w:r>
        <w:rPr>
          <w:rFonts w:ascii="Arial" w:cs="Arial" w:eastAsia="Arial" w:hAnsi="Arial"/>
          <w:sz w:val="9"/>
          <w:szCs w:val="9"/>
          <w:color w:val="FFFFFF"/>
        </w:rPr>
        <w:t>EndTop TenMarketsCustomers</w:t>
      </w:r>
    </w:p>
    <w:p>
      <w:pPr>
        <w:spacing w:after="0"/>
        <w:rPr>
          <w:sz w:val="20"/>
          <w:szCs w:val="20"/>
          <w:color w:val="auto"/>
        </w:rPr>
      </w:pPr>
      <w:r>
        <w:rPr>
          <w:rFonts w:ascii="Arial" w:cs="Arial" w:eastAsia="Arial" w:hAnsi="Arial"/>
          <w:sz w:val="11"/>
          <w:szCs w:val="11"/>
          <w:color w:val="FFFFFF"/>
        </w:rPr>
        <w:t>7Diversified customer base with enhanced end market focus</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Synergies and Post-Transaction</w:t>
      </w:r>
    </w:p>
    <w:p>
      <w:pPr>
        <w:spacing w:after="0" w:line="204" w:lineRule="auto"/>
        <w:rPr>
          <w:sz w:val="20"/>
          <w:szCs w:val="20"/>
          <w:color w:val="auto"/>
        </w:rPr>
      </w:pPr>
      <w:r>
        <w:rPr>
          <w:rFonts w:ascii="Arial" w:cs="Arial" w:eastAsia="Arial" w:hAnsi="Arial"/>
          <w:sz w:val="2"/>
          <w:szCs w:val="2"/>
          <w:color w:val="FFFFFF"/>
        </w:rPr>
        <w:t>Creates</w:t>
      </w:r>
      <w:r>
        <w:rPr>
          <w:rFonts w:ascii="Arial" w:cs="Arial" w:eastAsia="Arial" w:hAnsi="Arial"/>
          <w:sz w:val="4"/>
          <w:szCs w:val="4"/>
          <w:color w:val="FFFFFF"/>
          <w:vertAlign w:val="subscript"/>
        </w:rPr>
        <w:t>ransaction,</w:t>
      </w:r>
      <w:r>
        <w:rPr>
          <w:rFonts w:ascii="Arial" w:cs="Arial" w:eastAsia="Arial" w:hAnsi="Arial"/>
          <w:sz w:val="2"/>
          <w:szCs w:val="2"/>
          <w:color w:val="FFFFFF"/>
        </w:rPr>
        <w:t xml:space="preserve">powerful global </w:t>
      </w:r>
      <w:r>
        <w:rPr>
          <w:rFonts w:ascii="Arial" w:cs="Arial" w:eastAsia="Arial" w:hAnsi="Arial"/>
          <w:sz w:val="4"/>
          <w:szCs w:val="4"/>
          <w:color w:val="FFFFFF"/>
          <w:vertAlign w:val="subscript"/>
        </w:rPr>
        <w:t>leader</w:t>
      </w:r>
      <w:r>
        <w:rPr>
          <w:rFonts w:ascii="Arial" w:cs="Arial" w:eastAsia="Arial" w:hAnsi="Arial"/>
          <w:sz w:val="2"/>
          <w:szCs w:val="2"/>
          <w:color w:val="FFFFFF"/>
        </w:rPr>
        <w:t xml:space="preserve"> in Precision Metal Components and improves NN’</w:t>
      </w:r>
      <w:r>
        <w:rPr>
          <w:rFonts w:ascii="Arial" w:cs="Arial" w:eastAsia="Arial" w:hAnsi="Arial"/>
          <w:sz w:val="4"/>
          <w:szCs w:val="4"/>
          <w:color w:val="FFFFFF"/>
          <w:vertAlign w:val="subscript"/>
        </w:rPr>
        <w:t>Precision</w:t>
      </w:r>
      <w:r>
        <w:rPr>
          <w:rFonts w:ascii="Arial" w:cs="Arial" w:eastAsia="Arial" w:hAnsi="Arial"/>
          <w:sz w:val="2"/>
          <w:szCs w:val="2"/>
          <w:color w:val="FFFFFF"/>
        </w:rPr>
        <w:t>business mix</w:t>
      </w:r>
    </w:p>
    <w:p>
      <w:pPr>
        <w:ind w:right="4499"/>
        <w:spacing w:after="0" w:line="182" w:lineRule="auto"/>
        <w:rPr>
          <w:sz w:val="20"/>
          <w:szCs w:val="20"/>
          <w:color w:val="auto"/>
        </w:rPr>
      </w:pPr>
      <w:r>
        <w:rPr>
          <w:rFonts w:ascii="Arial" w:cs="Arial" w:eastAsia="Arial" w:hAnsi="Arial"/>
          <w:sz w:val="9"/>
          <w:szCs w:val="9"/>
          <w:color w:val="FFFFFF"/>
        </w:rPr>
        <w:t>Post-T NN will be top 3 global manufacturer of Metal Bearing and Metal Components $15-$20M of identified synergies</w:t>
      </w:r>
    </w:p>
    <w:p>
      <w:pPr>
        <w:ind w:left="540" w:right="3339" w:hanging="533"/>
        <w:spacing w:after="0" w:line="182" w:lineRule="auto"/>
        <w:rPr>
          <w:sz w:val="20"/>
          <w:szCs w:val="20"/>
          <w:color w:val="auto"/>
        </w:rPr>
      </w:pPr>
      <w:r>
        <w:rPr>
          <w:rFonts w:ascii="Arial" w:cs="Arial" w:eastAsia="Arial" w:hAnsi="Arial"/>
          <w:sz w:val="9"/>
          <w:szCs w:val="9"/>
          <w:color w:val="FFFFFF"/>
          <w:vertAlign w:val="subscript"/>
        </w:rPr>
        <w:t>Enhances</w:t>
      </w:r>
      <w:r>
        <w:rPr>
          <w:rFonts w:ascii="Arial" w:cs="Arial" w:eastAsia="Arial" w:hAnsi="Arial"/>
          <w:sz w:val="7"/>
          <w:szCs w:val="7"/>
          <w:color w:val="FFFFFF"/>
        </w:rPr>
        <w:t>stablishes a global presence in Precision Metal Components with healthy, well established operations in Brazil, China and Europe high-growth product platforms</w:t>
      </w:r>
    </w:p>
    <w:p>
      <w:pPr>
        <w:ind w:right="3799"/>
        <w:spacing w:after="0" w:line="204" w:lineRule="auto"/>
        <w:rPr>
          <w:sz w:val="20"/>
          <w:szCs w:val="20"/>
          <w:color w:val="auto"/>
        </w:rPr>
      </w:pPr>
      <w:r>
        <w:rPr>
          <w:rFonts w:ascii="Arial" w:cs="Arial" w:eastAsia="Arial" w:hAnsi="Arial"/>
          <w:sz w:val="8"/>
          <w:szCs w:val="8"/>
          <w:color w:val="FFFFFF"/>
        </w:rPr>
        <w:t>Common goal to provide exceptional products, solutions and service to customers more efficiently across multiple regions Leverage procurement spend of combined company</w:t>
      </w:r>
    </w:p>
    <w:p>
      <w:pPr>
        <w:spacing w:after="0"/>
        <w:rPr>
          <w:sz w:val="20"/>
          <w:szCs w:val="20"/>
          <w:color w:val="auto"/>
        </w:rPr>
      </w:pPr>
      <w:r>
        <w:rPr>
          <w:rFonts w:ascii="Arial" w:cs="Arial" w:eastAsia="Arial" w:hAnsi="Arial"/>
          <w:sz w:val="13"/>
          <w:szCs w:val="13"/>
          <w:color w:val="FFFFFF"/>
        </w:rPr>
        <w:t>8</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Transaction Overview</w:t>
      </w:r>
    </w:p>
    <w:p>
      <w:pPr>
        <w:spacing w:after="0" w:line="204" w:lineRule="auto"/>
        <w:rPr>
          <w:sz w:val="20"/>
          <w:szCs w:val="20"/>
          <w:color w:val="auto"/>
        </w:rPr>
      </w:pPr>
      <w:r>
        <w:rPr>
          <w:rFonts w:ascii="Arial" w:cs="Arial" w:eastAsia="Arial" w:hAnsi="Arial"/>
          <w:sz w:val="4"/>
          <w:szCs w:val="4"/>
          <w:color w:val="FFFFFF"/>
          <w:vertAlign w:val="subscript"/>
        </w:rPr>
        <w:t>Consideration</w:t>
      </w:r>
      <w:r>
        <w:rPr>
          <w:rFonts w:ascii="Arial" w:cs="Arial" w:eastAsia="Arial" w:hAnsi="Arial"/>
          <w:sz w:val="2"/>
          <w:szCs w:val="2"/>
          <w:color w:val="FFFFFF"/>
        </w:rPr>
        <w:t>mbinedCompany</w:t>
      </w:r>
    </w:p>
    <w:p>
      <w:pPr>
        <w:ind w:left="780"/>
        <w:spacing w:after="0" w:line="205" w:lineRule="auto"/>
        <w:rPr>
          <w:sz w:val="20"/>
          <w:szCs w:val="20"/>
          <w:color w:val="auto"/>
        </w:rPr>
      </w:pPr>
      <w:r>
        <w:rPr>
          <w:rFonts w:ascii="Arial" w:cs="Arial" w:eastAsia="Arial" w:hAnsi="Arial"/>
          <w:sz w:val="4"/>
          <w:szCs w:val="4"/>
          <w:color w:val="FFFFFF"/>
        </w:rPr>
        <w:t>Financing</w:t>
      </w:r>
    </w:p>
    <w:p>
      <w:pPr>
        <w:spacing w:after="0" w:line="205" w:lineRule="auto"/>
        <w:rPr>
          <w:sz w:val="20"/>
          <w:szCs w:val="20"/>
          <w:color w:val="auto"/>
        </w:rPr>
      </w:pPr>
      <w:r>
        <w:rPr>
          <w:rFonts w:ascii="Arial" w:cs="Arial" w:eastAsia="Arial" w:hAnsi="Arial"/>
          <w:sz w:val="4"/>
          <w:szCs w:val="4"/>
          <w:color w:val="FFFFFF"/>
        </w:rPr>
        <w:t>Financial Benefits Timing</w:t>
      </w:r>
    </w:p>
    <w:p>
      <w:pPr>
        <w:ind w:right="2859"/>
        <w:spacing w:after="0" w:line="234" w:lineRule="auto"/>
        <w:rPr>
          <w:sz w:val="20"/>
          <w:szCs w:val="20"/>
          <w:color w:val="auto"/>
        </w:rPr>
      </w:pPr>
      <w:r>
        <w:rPr>
          <w:rFonts w:ascii="Arial" w:cs="Arial" w:eastAsia="Arial" w:hAnsi="Arial"/>
          <w:sz w:val="6"/>
          <w:szCs w:val="6"/>
          <w:color w:val="FFFFFF"/>
        </w:rPr>
        <w:t xml:space="preserve">2015 Revenue of approximately $700 million 2015 EBITDA of approximately $105 million 2015 Positive Free Cash Flow of $85 million </w:t>
      </w:r>
      <w:r>
        <w:rPr>
          <w:rFonts w:ascii="Arial" w:cs="Arial" w:eastAsia="Arial" w:hAnsi="Arial"/>
          <w:sz w:val="7"/>
          <w:szCs w:val="7"/>
          <w:color w:val="FFFFFF"/>
          <w:vertAlign w:val="subscript"/>
        </w:rPr>
        <w:t>$350</w:t>
      </w:r>
      <w:r>
        <w:rPr>
          <w:rFonts w:ascii="Arial" w:cs="Arial" w:eastAsia="Arial" w:hAnsi="Arial"/>
          <w:sz w:val="6"/>
          <w:szCs w:val="6"/>
          <w:color w:val="FFFFFF"/>
        </w:rPr>
        <w:t xml:space="preserve">00 </w:t>
      </w:r>
      <w:r>
        <w:rPr>
          <w:rFonts w:ascii="Arial" w:cs="Arial" w:eastAsia="Arial" w:hAnsi="Arial"/>
          <w:sz w:val="7"/>
          <w:szCs w:val="7"/>
          <w:color w:val="FFFFFF"/>
          <w:vertAlign w:val="subscript"/>
        </w:rPr>
        <w:t>million</w:t>
      </w:r>
      <w:r>
        <w:rPr>
          <w:rFonts w:ascii="Arial" w:cs="Arial" w:eastAsia="Arial" w:hAnsi="Arial"/>
          <w:sz w:val="6"/>
          <w:szCs w:val="6"/>
          <w:color w:val="FFFFFF"/>
        </w:rPr>
        <w:t xml:space="preserve"> purchase price $275 million in cash and assumed debt; the remainder in NN Common shares to majority owner, John Kennedy</w:t>
      </w:r>
    </w:p>
    <w:p>
      <w:pPr>
        <w:ind w:right="4539" w:firstLine="706"/>
        <w:spacing w:after="0" w:line="182" w:lineRule="auto"/>
        <w:rPr>
          <w:sz w:val="20"/>
          <w:szCs w:val="20"/>
          <w:color w:val="auto"/>
        </w:rPr>
      </w:pPr>
      <w:r>
        <w:rPr>
          <w:rFonts w:ascii="Arial" w:cs="Arial" w:eastAsia="Arial" w:hAnsi="Arial"/>
          <w:sz w:val="9"/>
          <w:szCs w:val="9"/>
          <w:color w:val="FFFFFF"/>
        </w:rPr>
        <w:t>Term Loan B underwritten by BofAML $100 million ABL Revolver underwritten by Keybank Immediately accretive</w:t>
      </w:r>
    </w:p>
    <w:p>
      <w:pPr>
        <w:spacing w:after="0" w:line="189" w:lineRule="auto"/>
        <w:rPr>
          <w:sz w:val="20"/>
          <w:szCs w:val="20"/>
          <w:color w:val="auto"/>
        </w:rPr>
      </w:pPr>
      <w:r>
        <w:rPr>
          <w:rFonts w:ascii="Arial" w:cs="Arial" w:eastAsia="Arial" w:hAnsi="Arial"/>
          <w:sz w:val="13"/>
          <w:szCs w:val="13"/>
          <w:color w:val="FFFFFF"/>
        </w:rPr>
        <w:t>OverMerger$15Agreement-$20millionto bein identifiedsignedJulysynergies18,2014</w:t>
      </w:r>
    </w:p>
    <w:p>
      <w:pPr>
        <w:spacing w:after="0"/>
        <w:rPr>
          <w:sz w:val="20"/>
          <w:szCs w:val="20"/>
          <w:color w:val="auto"/>
        </w:rPr>
      </w:pPr>
      <w:r>
        <w:rPr>
          <w:rFonts w:ascii="Arial" w:cs="Arial" w:eastAsia="Arial" w:hAnsi="Arial"/>
          <w:sz w:val="13"/>
          <w:szCs w:val="13"/>
          <w:color w:val="FFFFFF"/>
        </w:rPr>
        <w:t>9Closing expected post HSR by end of third quarter 2014</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20"/>
                <w:szCs w:val="20"/>
                <w:color w:val="auto"/>
              </w:rPr>
            </w:pPr>
            <w:r>
              <w:rPr>
                <w:rFonts w:ascii="Arial" w:cs="Arial" w:eastAsia="Arial" w:hAnsi="Arial"/>
                <w:sz w:val="13"/>
                <w:szCs w:val="13"/>
                <w:color w:val="FFFFFF"/>
              </w:rPr>
              <w:t>Autocam Recent Historical Data*</w:t>
            </w:r>
          </w:p>
        </w:tc>
        <w:tc>
          <w:tcPr>
            <w:tcW w:w="1960" w:type="dxa"/>
            <w:vAlign w:val="bottom"/>
            <w:gridSpan w:val="3"/>
            <w:vMerge w:val="restart"/>
          </w:tcPr>
          <w:p>
            <w:pPr>
              <w:ind w:left="200"/>
              <w:spacing w:after="0"/>
              <w:rPr>
                <w:sz w:val="20"/>
                <w:szCs w:val="20"/>
                <w:color w:val="auto"/>
              </w:rPr>
            </w:pPr>
            <w:r>
              <w:rPr>
                <w:rFonts w:ascii="Arial" w:cs="Arial" w:eastAsia="Arial" w:hAnsi="Arial"/>
                <w:sz w:val="13"/>
                <w:szCs w:val="13"/>
                <w:color w:val="FFFFFF"/>
              </w:rPr>
              <w:t>Q2 13 Q3 13 Q4 13 Q1 14 Q2</w:t>
            </w: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FFFFFF"/>
              </w:rPr>
              <w:t>LTM LTM</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800" w:type="dxa"/>
            <w:vAlign w:val="bottom"/>
          </w:tcPr>
          <w:p>
            <w:pPr>
              <w:spacing w:after="0" w:line="40" w:lineRule="exact"/>
              <w:rPr>
                <w:sz w:val="20"/>
                <w:szCs w:val="20"/>
                <w:color w:val="auto"/>
              </w:rPr>
            </w:pPr>
            <w:r>
              <w:rPr>
                <w:rFonts w:ascii="Arial" w:cs="Arial" w:eastAsia="Arial" w:hAnsi="Arial"/>
                <w:sz w:val="4"/>
                <w:szCs w:val="4"/>
                <w:color w:val="FFFFFF"/>
              </w:rPr>
              <w:t>Summary Unaudited Financial Data Years Ending</w:t>
            </w:r>
          </w:p>
        </w:tc>
        <w:tc>
          <w:tcPr>
            <w:tcW w:w="1960" w:type="dxa"/>
            <w:vAlign w:val="bottom"/>
            <w:gridSpan w:val="3"/>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0" w:type="dxa"/>
            <w:vAlign w:val="bottom"/>
          </w:tcPr>
          <w:p>
            <w:pPr>
              <w:spacing w:after="0" w:line="40" w:lineRule="exact"/>
              <w:rPr>
                <w:sz w:val="20"/>
                <w:szCs w:val="20"/>
                <w:color w:val="auto"/>
              </w:rPr>
            </w:pPr>
            <w:r>
              <w:rPr>
                <w:rFonts w:ascii="Arial" w:cs="Arial" w:eastAsia="Arial" w:hAnsi="Arial"/>
                <w:sz w:val="4"/>
                <w:szCs w:val="4"/>
                <w:color w:val="FFFFFF"/>
              </w:rPr>
              <w:t>($ in millions) 2012 2013 6/30/2013</w:t>
            </w:r>
          </w:p>
        </w:tc>
        <w:tc>
          <w:tcPr>
            <w:tcW w:w="960" w:type="dxa"/>
            <w:vAlign w:val="bottom"/>
          </w:tcPr>
          <w:p>
            <w:pPr>
              <w:jc w:val="right"/>
              <w:ind w:right="69"/>
              <w:spacing w:after="0" w:line="40" w:lineRule="exact"/>
              <w:rPr>
                <w:sz w:val="20"/>
                <w:szCs w:val="20"/>
                <w:color w:val="auto"/>
              </w:rPr>
            </w:pPr>
            <w:r>
              <w:rPr>
                <w:rFonts w:ascii="Arial" w:cs="Arial" w:eastAsia="Arial" w:hAnsi="Arial"/>
                <w:sz w:val="4"/>
                <w:szCs w:val="4"/>
                <w:color w:val="FFFFFF"/>
              </w:rPr>
              <w:t>3/31/2014</w:t>
            </w:r>
          </w:p>
        </w:tc>
        <w:tc>
          <w:tcPr>
            <w:tcW w:w="480" w:type="dxa"/>
            <w:vAlign w:val="bottom"/>
          </w:tcPr>
          <w:p>
            <w:pPr>
              <w:spacing w:after="0"/>
              <w:rPr>
                <w:sz w:val="3"/>
                <w:szCs w:val="3"/>
                <w:color w:val="auto"/>
              </w:rPr>
            </w:pPr>
          </w:p>
        </w:tc>
        <w:tc>
          <w:tcPr>
            <w:tcW w:w="58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3/31/2014</w:t>
            </w:r>
          </w:p>
        </w:tc>
        <w:tc>
          <w:tcPr>
            <w:tcW w:w="780" w:type="dxa"/>
            <w:vAlign w:val="bottom"/>
          </w:tcPr>
          <w:p>
            <w:pPr>
              <w:spacing w:after="0" w:line="40" w:lineRule="exact"/>
              <w:rPr>
                <w:sz w:val="20"/>
                <w:szCs w:val="20"/>
                <w:color w:val="auto"/>
              </w:rPr>
            </w:pPr>
            <w:r>
              <w:rPr>
                <w:rFonts w:ascii="Arial" w:cs="Arial" w:eastAsia="Arial" w:hAnsi="Arial"/>
                <w:sz w:val="4"/>
                <w:szCs w:val="4"/>
                <w:color w:val="FFFFFF"/>
              </w:rPr>
              <w:t>6/30/2014</w:t>
            </w: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0" w:type="dxa"/>
            <w:vAlign w:val="bottom"/>
          </w:tcPr>
          <w:p>
            <w:pPr>
              <w:spacing w:after="0" w:line="40" w:lineRule="exact"/>
              <w:rPr>
                <w:sz w:val="20"/>
                <w:szCs w:val="20"/>
                <w:color w:val="auto"/>
              </w:rPr>
            </w:pPr>
            <w:r>
              <w:rPr>
                <w:rFonts w:ascii="Arial" w:cs="Arial" w:eastAsia="Arial" w:hAnsi="Arial"/>
                <w:sz w:val="4"/>
                <w:szCs w:val="4"/>
                <w:color w:val="FFFFFF"/>
              </w:rPr>
              <w:t>Net sales $ 181.6 $ 233.5 $ 59.7 $ 59.79/30/2013$59.$ 64.</w:t>
            </w:r>
          </w:p>
        </w:tc>
        <w:tc>
          <w:tcPr>
            <w:tcW w:w="1440" w:type="dxa"/>
            <w:vAlign w:val="bottom"/>
            <w:gridSpan w:val="2"/>
          </w:tcPr>
          <w:p>
            <w:pPr>
              <w:spacing w:after="0" w:line="40" w:lineRule="exact"/>
              <w:rPr>
                <w:sz w:val="20"/>
                <w:szCs w:val="20"/>
                <w:color w:val="auto"/>
              </w:rPr>
            </w:pPr>
            <w:r>
              <w:rPr>
                <w:rFonts w:ascii="Arial" w:cs="Arial" w:eastAsia="Arial" w:hAnsi="Arial"/>
                <w:sz w:val="4"/>
                <w:szCs w:val="4"/>
                <w:color w:val="FFFFFF"/>
              </w:rPr>
              <w:t>$ 65.5 $ 242.8 $ 248.6/30/2014</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vMerge w:val="restart"/>
          </w:tcPr>
          <w:p>
            <w:pPr>
              <w:ind w:left="20"/>
              <w:spacing w:after="0" w:line="79" w:lineRule="exact"/>
              <w:rPr>
                <w:sz w:val="20"/>
                <w:szCs w:val="20"/>
                <w:color w:val="auto"/>
              </w:rPr>
            </w:pPr>
            <w:r>
              <w:rPr>
                <w:rFonts w:ascii="Arial" w:cs="Arial" w:eastAsia="Arial" w:hAnsi="Arial"/>
                <w:sz w:val="9"/>
                <w:szCs w:val="9"/>
                <w:color w:val="FFFFFF"/>
              </w:rPr>
              <w:t>$ 50.2 $ 192.9</w:t>
            </w:r>
          </w:p>
        </w:tc>
        <w:tc>
          <w:tcPr>
            <w:tcW w:w="42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$ 194.5</w:t>
            </w:r>
          </w:p>
        </w:tc>
        <w:tc>
          <w:tcPr>
            <w:tcW w:w="0" w:type="dxa"/>
            <w:vAlign w:val="bottom"/>
          </w:tcPr>
          <w:p>
            <w:pPr>
              <w:spacing w:after="0" w:line="20" w:lineRule="exact"/>
              <w:rPr>
                <w:sz w:val="1"/>
                <w:szCs w:val="1"/>
                <w:color w:val="auto"/>
              </w:rPr>
            </w:pPr>
          </w:p>
        </w:tc>
      </w:tr>
      <w:tr>
        <w:trPr>
          <w:trHeight w:val="39"/>
        </w:trPr>
        <w:tc>
          <w:tcPr>
            <w:tcW w:w="3760" w:type="dxa"/>
            <w:vAlign w:val="bottom"/>
            <w:gridSpan w:val="2"/>
          </w:tcPr>
          <w:p>
            <w:pPr>
              <w:spacing w:after="0" w:line="40" w:lineRule="exact"/>
              <w:rPr>
                <w:sz w:val="20"/>
                <w:szCs w:val="20"/>
                <w:color w:val="auto"/>
              </w:rPr>
            </w:pPr>
            <w:r>
              <w:rPr>
                <w:rFonts w:ascii="Arial" w:cs="Arial" w:eastAsia="Arial" w:hAnsi="Arial"/>
                <w:sz w:val="4"/>
                <w:szCs w:val="4"/>
                <w:color w:val="FFFFFF"/>
              </w:rPr>
              <w:t>Cost of products sold (exclusive of depreciation12/31/2013$150.$187.1 $ 48.7</w:t>
            </w:r>
          </w:p>
        </w:tc>
        <w:tc>
          <w:tcPr>
            <w:tcW w:w="1060" w:type="dxa"/>
            <w:vAlign w:val="bottom"/>
            <w:gridSpan w:val="3"/>
          </w:tcPr>
          <w:p>
            <w:pPr>
              <w:spacing w:after="0" w:line="40" w:lineRule="exact"/>
              <w:rPr>
                <w:sz w:val="20"/>
                <w:szCs w:val="20"/>
                <w:color w:val="auto"/>
              </w:rPr>
            </w:pPr>
            <w:r>
              <w:rPr>
                <w:rFonts w:ascii="Arial" w:cs="Arial" w:eastAsia="Arial" w:hAnsi="Arial"/>
                <w:sz w:val="4"/>
                <w:szCs w:val="4"/>
                <w:color w:val="FFFFFF"/>
              </w:rPr>
              <w:t>$ 47.7 $ 45.9 $ 50.6</w:t>
            </w:r>
          </w:p>
        </w:tc>
        <w:tc>
          <w:tcPr>
            <w:tcW w:w="78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0" w:type="dxa"/>
            <w:vAlign w:val="bottom"/>
          </w:tcPr>
          <w:p>
            <w:pPr>
              <w:spacing w:after="0" w:line="40" w:lineRule="exact"/>
              <w:rPr>
                <w:sz w:val="20"/>
                <w:szCs w:val="20"/>
                <w:color w:val="auto"/>
              </w:rPr>
            </w:pPr>
            <w:r>
              <w:rPr>
                <w:rFonts w:ascii="Arial" w:cs="Arial" w:eastAsia="Arial" w:hAnsi="Arial"/>
                <w:sz w:val="4"/>
                <w:szCs w:val="4"/>
                <w:color w:val="FFFFFF"/>
              </w:rPr>
              <w:t>shown separately below)</w:t>
            </w:r>
          </w:p>
        </w:tc>
        <w:tc>
          <w:tcPr>
            <w:tcW w:w="960" w:type="dxa"/>
            <w:vAlign w:val="bottom"/>
          </w:tcPr>
          <w:p>
            <w:pPr>
              <w:spacing w:after="0"/>
              <w:rPr>
                <w:sz w:val="3"/>
                <w:szCs w:val="3"/>
                <w:color w:val="auto"/>
              </w:rPr>
            </w:pPr>
          </w:p>
        </w:tc>
        <w:tc>
          <w:tcPr>
            <w:tcW w:w="1000" w:type="dxa"/>
            <w:vAlign w:val="bottom"/>
            <w:gridSpan w:val="2"/>
            <w:vMerge w:val="restart"/>
          </w:tcPr>
          <w:p>
            <w:pPr>
              <w:spacing w:after="0" w:line="79" w:lineRule="exact"/>
              <w:rPr>
                <w:sz w:val="20"/>
                <w:szCs w:val="20"/>
                <w:color w:val="auto"/>
              </w:rPr>
            </w:pPr>
            <w:r>
              <w:rPr>
                <w:rFonts w:ascii="Arial" w:cs="Arial" w:eastAsia="Arial" w:hAnsi="Arial"/>
                <w:sz w:val="9"/>
                <w:szCs w:val="9"/>
                <w:color w:val="FFFFFF"/>
              </w:rPr>
              <w:t>$ 4.  $ 13.4 $ 14.7</w:t>
            </w: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760" w:type="dxa"/>
            <w:vAlign w:val="bottom"/>
            <w:gridSpan w:val="2"/>
          </w:tcPr>
          <w:p>
            <w:pPr>
              <w:spacing w:after="0" w:line="40" w:lineRule="exact"/>
              <w:rPr>
                <w:sz w:val="20"/>
                <w:szCs w:val="20"/>
                <w:color w:val="auto"/>
              </w:rPr>
            </w:pPr>
            <w:r>
              <w:rPr>
                <w:rFonts w:ascii="Arial" w:cs="Arial" w:eastAsia="Arial" w:hAnsi="Arial"/>
                <w:sz w:val="4"/>
                <w:szCs w:val="4"/>
                <w:color w:val="FFFFFF"/>
              </w:rPr>
              <w:t>Selling, general and administrative $ 12.3 $ 13.8 $ 2.8 $ 3.3 $ 3.4 $ 3.8</w:t>
            </w:r>
          </w:p>
        </w:tc>
        <w:tc>
          <w:tcPr>
            <w:tcW w:w="10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760" w:type="dxa"/>
            <w:vAlign w:val="bottom"/>
            <w:gridSpan w:val="4"/>
          </w:tcPr>
          <w:p>
            <w:pPr>
              <w:spacing w:after="0" w:line="40" w:lineRule="exact"/>
              <w:rPr>
                <w:sz w:val="20"/>
                <w:szCs w:val="20"/>
                <w:color w:val="auto"/>
              </w:rPr>
            </w:pPr>
            <w:r>
              <w:rPr>
                <w:rFonts w:ascii="Arial" w:cs="Arial" w:eastAsia="Arial" w:hAnsi="Arial"/>
                <w:sz w:val="4"/>
                <w:szCs w:val="4"/>
                <w:color w:val="FFFFFF"/>
              </w:rPr>
              <w:t>Depreciation and amortization $ 13.6 $ 16.7 $ 3.6 $ 4.2 $ 4.5 $ 4.9 $ 5.0 $ 17.2 $ 18.5</w:t>
            </w: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0" w:type="dxa"/>
            <w:vAlign w:val="bottom"/>
          </w:tcPr>
          <w:p>
            <w:pPr>
              <w:ind w:left="120"/>
              <w:spacing w:after="0" w:line="40" w:lineRule="exact"/>
              <w:rPr>
                <w:sz w:val="20"/>
                <w:szCs w:val="20"/>
                <w:color w:val="auto"/>
              </w:rPr>
            </w:pPr>
            <w:r>
              <w:rPr>
                <w:rFonts w:ascii="Arial" w:cs="Arial" w:eastAsia="Arial" w:hAnsi="Arial"/>
                <w:sz w:val="4"/>
                <w:szCs w:val="4"/>
                <w:color w:val="FFFFFF"/>
              </w:rPr>
              <w:t>come from operations $ 5.5 $ 15.9 $ 4.5 $ 4.5 $ 5.3</w:t>
            </w:r>
          </w:p>
        </w:tc>
        <w:tc>
          <w:tcPr>
            <w:tcW w:w="960" w:type="dxa"/>
            <w:vAlign w:val="bottom"/>
          </w:tcPr>
          <w:p>
            <w:pPr>
              <w:jc w:val="right"/>
              <w:spacing w:after="0" w:line="40" w:lineRule="exact"/>
              <w:rPr>
                <w:sz w:val="20"/>
                <w:szCs w:val="20"/>
                <w:color w:val="auto"/>
              </w:rPr>
            </w:pPr>
            <w:r>
              <w:rPr>
                <w:rFonts w:ascii="Arial" w:cs="Arial" w:eastAsia="Arial" w:hAnsi="Arial"/>
                <w:sz w:val="4"/>
                <w:szCs w:val="4"/>
                <w:color w:val="FFFFFF"/>
              </w:rPr>
              <w:t>$ 5.0 $ 6.1 $ 19.3</w:t>
            </w:r>
          </w:p>
        </w:tc>
        <w:tc>
          <w:tcPr>
            <w:tcW w:w="480" w:type="dxa"/>
            <w:vAlign w:val="bottom"/>
          </w:tcPr>
          <w:p>
            <w:pPr>
              <w:jc w:val="right"/>
              <w:ind w:right="91"/>
              <w:spacing w:after="0" w:line="40" w:lineRule="exact"/>
              <w:rPr>
                <w:sz w:val="20"/>
                <w:szCs w:val="20"/>
                <w:color w:val="auto"/>
              </w:rPr>
            </w:pPr>
            <w:r>
              <w:rPr>
                <w:rFonts w:ascii="Arial" w:cs="Arial" w:eastAsia="Arial" w:hAnsi="Arial"/>
                <w:sz w:val="4"/>
                <w:szCs w:val="4"/>
                <w:color w:val="FFFFFF"/>
              </w:rPr>
              <w:t>$ 20.9</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760" w:type="dxa"/>
            <w:vAlign w:val="bottom"/>
            <w:gridSpan w:val="2"/>
          </w:tcPr>
          <w:p>
            <w:pPr>
              <w:spacing w:after="0" w:line="40" w:lineRule="exact"/>
              <w:rPr>
                <w:sz w:val="20"/>
                <w:szCs w:val="20"/>
                <w:color w:val="auto"/>
              </w:rPr>
            </w:pPr>
            <w:r>
              <w:rPr>
                <w:rFonts w:ascii="Arial" w:cs="Arial" w:eastAsia="Arial" w:hAnsi="Arial"/>
                <w:sz w:val="4"/>
                <w:szCs w:val="4"/>
                <w:color w:val="FFFFFF"/>
              </w:rPr>
              <w:t>Interest expense $ 2.0 $ 2.7 $ 0.7 $ 0.7 $ 0.7 $ 0.8 $ 0.7 $ 2.9 $ 2.9</w:t>
            </w: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760" w:type="dxa"/>
            <w:vAlign w:val="bottom"/>
            <w:gridSpan w:val="2"/>
          </w:tcPr>
          <w:p>
            <w:pPr>
              <w:spacing w:after="0" w:line="40" w:lineRule="exact"/>
              <w:rPr>
                <w:sz w:val="20"/>
                <w:szCs w:val="20"/>
                <w:color w:val="auto"/>
              </w:rPr>
            </w:pPr>
            <w:r>
              <w:rPr>
                <w:rFonts w:ascii="Arial" w:cs="Arial" w:eastAsia="Arial" w:hAnsi="Arial"/>
                <w:sz w:val="4"/>
                <w:szCs w:val="4"/>
                <w:color w:val="FFFFFF"/>
              </w:rPr>
              <w:t>Other expense $ 0.2 $ 0.5 $ 0.2 $ 0.2 $ 0.1 $ 0.0 $ 0.1 $ 0.5 $ 0.4</w:t>
            </w: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760" w:type="dxa"/>
            <w:vAlign w:val="bottom"/>
            <w:gridSpan w:val="4"/>
          </w:tcPr>
          <w:p>
            <w:pPr>
              <w:spacing w:after="0" w:line="40" w:lineRule="exact"/>
              <w:rPr>
                <w:sz w:val="20"/>
                <w:szCs w:val="20"/>
                <w:color w:val="auto"/>
              </w:rPr>
            </w:pPr>
            <w:r>
              <w:rPr>
                <w:rFonts w:ascii="Arial" w:cs="Arial" w:eastAsia="Arial" w:hAnsi="Arial"/>
                <w:sz w:val="4"/>
                <w:szCs w:val="4"/>
                <w:color w:val="FFFFFF"/>
              </w:rPr>
              <w:t>Income before income taxes $ 3.2 $ 12.7 $ 3.6 $ 3.5 $ 4.5 $ 4.  $ 5.3 $ 15.9 $ 17.6</w:t>
            </w: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2800" w:type="dxa"/>
            <w:vAlign w:val="bottom"/>
          </w:tcPr>
          <w:p>
            <w:pPr>
              <w:spacing w:after="0" w:line="38" w:lineRule="exact"/>
              <w:rPr>
                <w:sz w:val="20"/>
                <w:szCs w:val="20"/>
                <w:color w:val="auto"/>
              </w:rPr>
            </w:pPr>
            <w:r>
              <w:rPr>
                <w:rFonts w:ascii="Arial" w:cs="Arial" w:eastAsia="Arial" w:hAnsi="Arial"/>
                <w:sz w:val="4"/>
                <w:szCs w:val="4"/>
                <w:color w:val="FFFFFF"/>
              </w:rPr>
              <w:t>Capital spending $ 36.2 $ 29.8 $ 8.5 $ 7.6 $ 6.1 $ 4.1</w:t>
            </w:r>
          </w:p>
        </w:tc>
        <w:tc>
          <w:tcPr>
            <w:tcW w:w="1440" w:type="dxa"/>
            <w:vAlign w:val="bottom"/>
            <w:gridSpan w:val="2"/>
          </w:tcPr>
          <w:p>
            <w:pPr>
              <w:ind w:left="20"/>
              <w:spacing w:after="0" w:line="38" w:lineRule="exact"/>
              <w:rPr>
                <w:sz w:val="20"/>
                <w:szCs w:val="20"/>
                <w:color w:val="auto"/>
              </w:rPr>
            </w:pPr>
            <w:r>
              <w:rPr>
                <w:rFonts w:ascii="Arial" w:cs="Arial" w:eastAsia="Arial" w:hAnsi="Arial"/>
                <w:sz w:val="4"/>
                <w:szCs w:val="4"/>
                <w:color w:val="FFFFFF"/>
              </w:rPr>
              <w:t>$ 6.0 $ 26.3 $ 23.8</w:t>
            </w: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rPr>
          <w:sz w:val="20"/>
          <w:szCs w:val="20"/>
          <w:color w:val="auto"/>
        </w:rPr>
      </w:pPr>
      <w:r>
        <w:rPr>
          <w:rFonts w:ascii="Arial" w:cs="Arial" w:eastAsia="Arial" w:hAnsi="Arial"/>
          <w:sz w:val="4"/>
          <w:szCs w:val="4"/>
          <w:color w:val="FFFFFF"/>
        </w:rPr>
        <w:t>* The above information was prepared by NN, Inc. based on unaudited and unreviewed Autocam Corporation internal reports provided to NN, Inc. by Autocam. Autocam Corporation has not reviewed or endorsed this data as presented above. This data should be considered as forward-looking estimates and as such actual results could differ materially from the data presented herein. Please see the cautionary note regarding forward-looking statements on slide 2 of this presentation. NN does not intend, and undertakes no obligation, to update this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FFFFFF"/>
        </w:rPr>
        <w:t>10</w:t>
      </w:r>
    </w:p>
    <w:p>
      <w:pPr>
        <w:sectPr>
          <w:pgSz w:w="11900" w:h="16838" w:orient="portrait"/>
          <w:cols w:equalWidth="0" w:num="1">
            <w:col w:w="11400"/>
          </w:cols>
          <w:pgMar w:left="240" w:top="1440" w:right="2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gridSpan w:val="2"/>
          </w:tcPr>
          <w:p>
            <w:pPr>
              <w:spacing w:after="0"/>
              <w:rPr>
                <w:sz w:val="20"/>
                <w:szCs w:val="20"/>
                <w:color w:val="auto"/>
              </w:rPr>
            </w:pPr>
            <w:r>
              <w:rPr>
                <w:rFonts w:ascii="Arial" w:cs="Arial" w:eastAsia="Arial" w:hAnsi="Arial"/>
                <w:sz w:val="13"/>
                <w:szCs w:val="13"/>
                <w:color w:val="FFFFFF"/>
              </w:rPr>
              <w:t>Autocam Recent Historical Data*</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360" w:type="dxa"/>
            <w:vAlign w:val="bottom"/>
            <w:gridSpan w:val="7"/>
          </w:tcPr>
          <w:p>
            <w:pPr>
              <w:spacing w:after="0" w:line="40" w:lineRule="exact"/>
              <w:rPr>
                <w:sz w:val="20"/>
                <w:szCs w:val="20"/>
                <w:color w:val="auto"/>
              </w:rPr>
            </w:pPr>
            <w:r>
              <w:rPr>
                <w:rFonts w:ascii="Arial" w:cs="Arial" w:eastAsia="Arial" w:hAnsi="Arial"/>
                <w:sz w:val="4"/>
                <w:szCs w:val="4"/>
                <w:color w:val="FFFFFF"/>
              </w:rPr>
              <w:t>EBITDA Calculation Years Ending 12/31 Q2 13 Q3   Q4 13 Q1   Q2   LTM LTM</w:t>
            </w:r>
          </w:p>
        </w:tc>
        <w:tc>
          <w:tcPr>
            <w:tcW w:w="0" w:type="dxa"/>
            <w:vAlign w:val="bottom"/>
          </w:tcPr>
          <w:p>
            <w:pPr>
              <w:spacing w:after="0" w:line="20" w:lineRule="exact"/>
              <w:rPr>
                <w:sz w:val="1"/>
                <w:szCs w:val="1"/>
                <w:color w:val="auto"/>
              </w:rPr>
            </w:pPr>
          </w:p>
        </w:tc>
      </w:tr>
      <w:tr>
        <w:trPr>
          <w:trHeight w:val="39"/>
        </w:trPr>
        <w:tc>
          <w:tcPr>
            <w:tcW w:w="2480" w:type="dxa"/>
            <w:vAlign w:val="bottom"/>
            <w:gridSpan w:val="4"/>
          </w:tcPr>
          <w:p>
            <w:pPr>
              <w:spacing w:after="0" w:line="40" w:lineRule="exact"/>
              <w:rPr>
                <w:sz w:val="20"/>
                <w:szCs w:val="20"/>
                <w:color w:val="auto"/>
              </w:rPr>
            </w:pPr>
            <w:r>
              <w:rPr>
                <w:rFonts w:ascii="Arial" w:cs="Arial" w:eastAsia="Arial" w:hAnsi="Arial"/>
                <w:sz w:val="4"/>
                <w:szCs w:val="4"/>
                <w:color w:val="FFFFFF"/>
              </w:rPr>
              <w:t>($ in millions) 2012 2013 9/29/2013 9/30/2013</w:t>
            </w:r>
          </w:p>
        </w:tc>
        <w:tc>
          <w:tcPr>
            <w:tcW w:w="17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12/31/2013 3/31/2014 6/30/2014</w:t>
            </w:r>
          </w:p>
        </w:tc>
        <w:tc>
          <w:tcPr>
            <w:tcW w:w="1120" w:type="dxa"/>
            <w:vAlign w:val="bottom"/>
          </w:tcPr>
          <w:p>
            <w:pPr>
              <w:jc w:val="right"/>
              <w:spacing w:after="0" w:line="40" w:lineRule="exact"/>
              <w:rPr>
                <w:sz w:val="20"/>
                <w:szCs w:val="20"/>
                <w:color w:val="auto"/>
              </w:rPr>
            </w:pPr>
            <w:r>
              <w:rPr>
                <w:rFonts w:ascii="Arial" w:cs="Arial" w:eastAsia="Arial" w:hAnsi="Arial"/>
                <w:sz w:val="4"/>
                <w:szCs w:val="4"/>
                <w:color w:val="FFFFFF"/>
              </w:rPr>
              <w:t>3/31/2014 6/30/2014</w:t>
            </w:r>
          </w:p>
        </w:tc>
        <w:tc>
          <w:tcPr>
            <w:tcW w:w="0" w:type="dxa"/>
            <w:vAlign w:val="bottom"/>
          </w:tcPr>
          <w:p>
            <w:pPr>
              <w:spacing w:after="0" w:line="20" w:lineRule="exact"/>
              <w:rPr>
                <w:sz w:val="1"/>
                <w:szCs w:val="1"/>
                <w:color w:val="auto"/>
              </w:rPr>
            </w:pPr>
          </w:p>
        </w:tc>
      </w:tr>
      <w:tr>
        <w:trPr>
          <w:trHeight w:val="39"/>
        </w:trPr>
        <w:tc>
          <w:tcPr>
            <w:tcW w:w="1740" w:type="dxa"/>
            <w:vAlign w:val="bottom"/>
          </w:tcPr>
          <w:p>
            <w:pPr>
              <w:spacing w:after="0" w:line="40" w:lineRule="exact"/>
              <w:rPr>
                <w:sz w:val="20"/>
                <w:szCs w:val="20"/>
                <w:color w:val="auto"/>
              </w:rPr>
            </w:pPr>
            <w:r>
              <w:rPr>
                <w:rFonts w:ascii="Arial" w:cs="Arial" w:eastAsia="Arial" w:hAnsi="Arial"/>
                <w:sz w:val="4"/>
                <w:szCs w:val="4"/>
                <w:color w:val="FFFFFF"/>
              </w:rPr>
              <w:t>Income before income taxes</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vMerge w:val="restart"/>
          </w:tcPr>
          <w:p>
            <w:pPr>
              <w:ind w:left="20"/>
              <w:spacing w:after="0" w:line="79" w:lineRule="exact"/>
              <w:rPr>
                <w:sz w:val="20"/>
                <w:szCs w:val="20"/>
                <w:color w:val="auto"/>
              </w:rPr>
            </w:pPr>
            <w:r>
              <w:rPr>
                <w:rFonts w:ascii="Arial" w:cs="Arial" w:eastAsia="Arial" w:hAnsi="Arial"/>
                <w:sz w:val="9"/>
                <w:szCs w:val="9"/>
                <w:color w:val="FFFFFF"/>
              </w:rPr>
              <w:t>$ 17.6</w:t>
            </w: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480" w:type="dxa"/>
            <w:vAlign w:val="bottom"/>
            <w:gridSpan w:val="4"/>
          </w:tcPr>
          <w:p>
            <w:pPr>
              <w:spacing w:after="0" w:line="40" w:lineRule="exact"/>
              <w:rPr>
                <w:sz w:val="20"/>
                <w:szCs w:val="20"/>
                <w:color w:val="auto"/>
              </w:rPr>
            </w:pPr>
            <w:r>
              <w:rPr>
                <w:rFonts w:ascii="Arial" w:cs="Arial" w:eastAsia="Arial" w:hAnsi="Arial"/>
                <w:sz w:val="4"/>
                <w:szCs w:val="4"/>
                <w:color w:val="FFFFFF"/>
              </w:rPr>
              <w:t>$ 3.2 $ 12.7 $ 3.6 $ 3.5 $ 4.5 $ 4.2 $ 5.3 $ 15.9</w:t>
            </w:r>
          </w:p>
        </w:tc>
        <w:tc>
          <w:tcPr>
            <w:tcW w:w="500" w:type="dxa"/>
            <w:vAlign w:val="bottom"/>
            <w:vMerge w:val="continue"/>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40" w:type="dxa"/>
            <w:vAlign w:val="bottom"/>
          </w:tcPr>
          <w:p>
            <w:pPr>
              <w:spacing w:after="0" w:line="40" w:lineRule="exact"/>
              <w:rPr>
                <w:sz w:val="20"/>
                <w:szCs w:val="20"/>
                <w:color w:val="auto"/>
              </w:rPr>
            </w:pPr>
            <w:r>
              <w:rPr>
                <w:rFonts w:ascii="Arial" w:cs="Arial" w:eastAsia="Arial" w:hAnsi="Arial"/>
                <w:sz w:val="4"/>
                <w:szCs w:val="4"/>
                <w:color w:val="FFFFFF"/>
              </w:rPr>
              <w:t>Depreciation and amortization</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980" w:type="dxa"/>
            <w:vAlign w:val="bottom"/>
            <w:gridSpan w:val="5"/>
          </w:tcPr>
          <w:p>
            <w:pPr>
              <w:spacing w:after="0" w:line="40" w:lineRule="exact"/>
              <w:rPr>
                <w:sz w:val="20"/>
                <w:szCs w:val="20"/>
                <w:color w:val="auto"/>
              </w:rPr>
            </w:pPr>
            <w:r>
              <w:rPr>
                <w:rFonts w:ascii="Arial" w:cs="Arial" w:eastAsia="Arial" w:hAnsi="Arial"/>
                <w:sz w:val="4"/>
                <w:szCs w:val="4"/>
                <w:color w:val="FFFFFF"/>
              </w:rPr>
              <w:t>$ 13.6 $ 16.7 $ 3.6 $ 4.2 $ 4.5 $ 4.9 $ 5.0 $ 17.2 $ 18.5</w:t>
            </w: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40" w:type="dxa"/>
            <w:vAlign w:val="bottom"/>
          </w:tcPr>
          <w:p>
            <w:pPr>
              <w:spacing w:after="0" w:line="40" w:lineRule="exact"/>
              <w:rPr>
                <w:sz w:val="20"/>
                <w:szCs w:val="20"/>
                <w:color w:val="auto"/>
              </w:rPr>
            </w:pPr>
            <w:r>
              <w:rPr>
                <w:rFonts w:ascii="Arial" w:cs="Arial" w:eastAsia="Arial" w:hAnsi="Arial"/>
                <w:sz w:val="4"/>
                <w:szCs w:val="4"/>
                <w:color w:val="FFFFFF"/>
              </w:rPr>
              <w:t>Interest expense</w:t>
            </w:r>
          </w:p>
        </w:tc>
        <w:tc>
          <w:tcPr>
            <w:tcW w:w="30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$ 0.7</w:t>
            </w:r>
          </w:p>
        </w:tc>
        <w:tc>
          <w:tcPr>
            <w:tcW w:w="30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$ 2.9</w:t>
            </w:r>
          </w:p>
        </w:tc>
        <w:tc>
          <w:tcPr>
            <w:tcW w:w="640" w:type="dxa"/>
            <w:vAlign w:val="bottom"/>
            <w:gridSpan w:val="2"/>
            <w:vMerge w:val="restart"/>
          </w:tcPr>
          <w:p>
            <w:pPr>
              <w:jc w:val="center"/>
              <w:ind w:right="307"/>
              <w:spacing w:after="0" w:line="79" w:lineRule="exact"/>
              <w:rPr>
                <w:sz w:val="20"/>
                <w:szCs w:val="20"/>
                <w:color w:val="auto"/>
              </w:rPr>
            </w:pPr>
            <w:r>
              <w:rPr>
                <w:rFonts w:ascii="Arial" w:cs="Arial" w:eastAsia="Arial" w:hAnsi="Arial"/>
                <w:sz w:val="9"/>
                <w:szCs w:val="9"/>
                <w:color w:val="FFFFFF"/>
              </w:rPr>
              <w:t>$ 2.9</w:t>
            </w: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40" w:type="dxa"/>
            <w:vAlign w:val="bottom"/>
          </w:tcPr>
          <w:p>
            <w:pPr>
              <w:spacing w:after="0" w:line="40" w:lineRule="exact"/>
              <w:rPr>
                <w:sz w:val="20"/>
                <w:szCs w:val="20"/>
                <w:color w:val="auto"/>
              </w:rPr>
            </w:pPr>
            <w:r>
              <w:rPr>
                <w:rFonts w:ascii="Arial" w:cs="Arial" w:eastAsia="Arial" w:hAnsi="Arial"/>
                <w:sz w:val="4"/>
                <w:szCs w:val="4"/>
                <w:color w:val="FFFFFF"/>
              </w:rPr>
              <w:t>$ 2.0 $ 2.7 $ 0.7 $ 0.7 $ 0.7 $ 0.8</w:t>
            </w:r>
          </w:p>
        </w:tc>
        <w:tc>
          <w:tcPr>
            <w:tcW w:w="3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40" w:type="dxa"/>
            <w:vAlign w:val="bottom"/>
          </w:tcPr>
          <w:p>
            <w:pPr>
              <w:spacing w:after="0" w:line="40" w:lineRule="exact"/>
              <w:rPr>
                <w:sz w:val="20"/>
                <w:szCs w:val="20"/>
                <w:color w:val="auto"/>
              </w:rPr>
            </w:pPr>
            <w:r>
              <w:rPr>
                <w:rFonts w:ascii="Arial" w:cs="Arial" w:eastAsia="Arial" w:hAnsi="Arial"/>
                <w:sz w:val="4"/>
                <w:szCs w:val="4"/>
                <w:color w:val="FFFFFF"/>
              </w:rPr>
              <w:t>China JV dividends received</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340" w:type="dxa"/>
            <w:vAlign w:val="bottom"/>
            <w:gridSpan w:val="3"/>
          </w:tcPr>
          <w:p>
            <w:pPr>
              <w:spacing w:after="0" w:line="40" w:lineRule="exact"/>
              <w:rPr>
                <w:sz w:val="20"/>
                <w:szCs w:val="20"/>
                <w:color w:val="auto"/>
              </w:rPr>
            </w:pPr>
            <w:r>
              <w:rPr>
                <w:rFonts w:ascii="Arial" w:cs="Arial" w:eastAsia="Arial" w:hAnsi="Arial"/>
                <w:sz w:val="4"/>
                <w:szCs w:val="4"/>
                <w:color w:val="FFFFFF"/>
              </w:rPr>
              <w:t>$ 1.8 $ 1.5 $ - $ 1.5 $ - $ - $ - $ 1.5 $ 1.5</w:t>
            </w: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40" w:type="dxa"/>
            <w:vAlign w:val="bottom"/>
          </w:tcPr>
          <w:p>
            <w:pPr>
              <w:spacing w:after="0" w:line="40" w:lineRule="exact"/>
              <w:rPr>
                <w:sz w:val="20"/>
                <w:szCs w:val="20"/>
                <w:color w:val="auto"/>
              </w:rPr>
            </w:pPr>
            <w:r>
              <w:rPr>
                <w:rFonts w:ascii="Arial" w:cs="Arial" w:eastAsia="Arial" w:hAnsi="Arial"/>
                <w:sz w:val="4"/>
                <w:szCs w:val="4"/>
                <w:color w:val="FFFFFF"/>
              </w:rPr>
              <w:t>Divestiture costs</w:t>
            </w: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40" w:type="dxa"/>
            <w:vAlign w:val="bottom"/>
            <w:gridSpan w:val="2"/>
          </w:tcPr>
          <w:p>
            <w:pPr>
              <w:spacing w:after="0" w:line="40" w:lineRule="exact"/>
              <w:rPr>
                <w:sz w:val="20"/>
                <w:szCs w:val="20"/>
                <w:color w:val="auto"/>
              </w:rPr>
            </w:pPr>
            <w:r>
              <w:rPr>
                <w:rFonts w:ascii="Arial" w:cs="Arial" w:eastAsia="Arial" w:hAnsi="Arial"/>
                <w:sz w:val="4"/>
                <w:szCs w:val="4"/>
                <w:color w:val="FFFFFF"/>
              </w:rPr>
              <w:t>$ - $ - $ - $ - $ - $ - $ 0.2 $ - $ 0.2</w:t>
            </w: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40" w:type="dxa"/>
            <w:vAlign w:val="bottom"/>
          </w:tcPr>
          <w:p>
            <w:pPr>
              <w:spacing w:after="0" w:line="40" w:lineRule="exact"/>
              <w:rPr>
                <w:sz w:val="20"/>
                <w:szCs w:val="20"/>
                <w:color w:val="auto"/>
              </w:rPr>
            </w:pPr>
            <w:r>
              <w:rPr>
                <w:rFonts w:ascii="Arial" w:cs="Arial" w:eastAsia="Arial" w:hAnsi="Arial"/>
                <w:sz w:val="4"/>
                <w:szCs w:val="4"/>
                <w:color w:val="FFFFFF"/>
              </w:rPr>
              <w:t>Other excludable losses (gains)</w:t>
            </w:r>
          </w:p>
        </w:tc>
        <w:tc>
          <w:tcPr>
            <w:tcW w:w="30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$ 0.1</w:t>
            </w:r>
          </w:p>
        </w:tc>
        <w:tc>
          <w:tcPr>
            <w:tcW w:w="300" w:type="dxa"/>
            <w:vAlign w:val="bottom"/>
            <w:vMerge w:val="restart"/>
          </w:tcPr>
          <w:p>
            <w:pPr>
              <w:jc w:val="right"/>
              <w:spacing w:after="0" w:line="79" w:lineRule="exact"/>
              <w:rPr>
                <w:sz w:val="20"/>
                <w:szCs w:val="20"/>
                <w:color w:val="auto"/>
              </w:rPr>
            </w:pPr>
            <w:r>
              <w:rPr>
                <w:rFonts w:ascii="Arial" w:cs="Arial" w:eastAsia="Arial" w:hAnsi="Arial"/>
                <w:sz w:val="9"/>
                <w:szCs w:val="9"/>
                <w:color w:val="FFFFFF"/>
              </w:rPr>
              <w:t>$ 2.2</w:t>
            </w:r>
          </w:p>
        </w:tc>
        <w:tc>
          <w:tcPr>
            <w:tcW w:w="640" w:type="dxa"/>
            <w:vAlign w:val="bottom"/>
            <w:gridSpan w:val="2"/>
            <w:vMerge w:val="restart"/>
          </w:tcPr>
          <w:p>
            <w:pPr>
              <w:jc w:val="center"/>
              <w:ind w:right="307"/>
              <w:spacing w:after="0" w:line="79" w:lineRule="exact"/>
              <w:rPr>
                <w:sz w:val="20"/>
                <w:szCs w:val="20"/>
                <w:color w:val="auto"/>
              </w:rPr>
            </w:pPr>
            <w:r>
              <w:rPr>
                <w:rFonts w:ascii="Arial" w:cs="Arial" w:eastAsia="Arial" w:hAnsi="Arial"/>
                <w:sz w:val="9"/>
                <w:szCs w:val="9"/>
                <w:color w:val="FFFFFF"/>
              </w:rPr>
              <w:t>$ 0.5</w:t>
            </w: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40" w:type="dxa"/>
            <w:vAlign w:val="bottom"/>
          </w:tcPr>
          <w:p>
            <w:pPr>
              <w:spacing w:after="0" w:line="40" w:lineRule="exact"/>
              <w:rPr>
                <w:sz w:val="20"/>
                <w:szCs w:val="20"/>
                <w:color w:val="auto"/>
              </w:rPr>
            </w:pPr>
            <w:r>
              <w:rPr>
                <w:rFonts w:ascii="Arial" w:cs="Arial" w:eastAsia="Arial" w:hAnsi="Arial"/>
                <w:sz w:val="4"/>
                <w:szCs w:val="4"/>
                <w:color w:val="FFFFFF"/>
              </w:rPr>
              <w:t>$ 0.6 $ 0.4 $ 1.7 $ 0.3 $ 0.1 $ 0.1</w:t>
            </w:r>
          </w:p>
        </w:tc>
        <w:tc>
          <w:tcPr>
            <w:tcW w:w="3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260" w:type="dxa"/>
            <w:vAlign w:val="bottom"/>
            <w:vMerge w:val="restart"/>
          </w:tcPr>
          <w:p>
            <w:pPr>
              <w:jc w:val="right"/>
              <w:ind w:right="195"/>
              <w:spacing w:after="0" w:line="2" w:lineRule="exact"/>
              <w:rPr>
                <w:sz w:val="20"/>
                <w:szCs w:val="20"/>
                <w:color w:val="auto"/>
              </w:rPr>
            </w:pPr>
            <w:r>
              <w:rPr>
                <w:rFonts w:ascii="Arial" w:cs="Arial" w:eastAsia="Arial" w:hAnsi="Arial"/>
                <w:sz w:val="1"/>
                <w:szCs w:val="1"/>
                <w:color w:val="FFFFFF"/>
              </w:rPr>
              <w:t>$ 11.4 $ 39.7 $ 41.3</w:t>
            </w: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1740" w:type="dxa"/>
            <w:vAlign w:val="bottom"/>
          </w:tcPr>
          <w:p>
            <w:pPr>
              <w:spacing w:after="0" w:line="38" w:lineRule="exact"/>
              <w:rPr>
                <w:sz w:val="20"/>
                <w:szCs w:val="20"/>
                <w:color w:val="auto"/>
              </w:rPr>
            </w:pPr>
            <w:r>
              <w:rPr>
                <w:rFonts w:ascii="Arial" w:cs="Arial" w:eastAsia="Arial" w:hAnsi="Arial"/>
                <w:sz w:val="4"/>
                <w:szCs w:val="4"/>
                <w:color w:val="FFFFFF"/>
              </w:rPr>
              <w:t>Adjusted EBITDA $ 21.2 $ 34.1</w:t>
            </w:r>
          </w:p>
        </w:tc>
        <w:tc>
          <w:tcPr>
            <w:tcW w:w="300" w:type="dxa"/>
            <w:vAlign w:val="bottom"/>
          </w:tcPr>
          <w:p>
            <w:pPr>
              <w:jc w:val="right"/>
              <w:ind w:right="4"/>
              <w:spacing w:after="0" w:line="38" w:lineRule="exact"/>
              <w:rPr>
                <w:sz w:val="20"/>
                <w:szCs w:val="20"/>
                <w:color w:val="auto"/>
              </w:rPr>
            </w:pPr>
            <w:r>
              <w:rPr>
                <w:rFonts w:ascii="Arial" w:cs="Arial" w:eastAsia="Arial" w:hAnsi="Arial"/>
                <w:sz w:val="4"/>
                <w:szCs w:val="4"/>
                <w:color w:val="FFFFFF"/>
              </w:rPr>
              <w:t>$ 9.7</w:t>
            </w:r>
          </w:p>
        </w:tc>
        <w:tc>
          <w:tcPr>
            <w:tcW w:w="940" w:type="dxa"/>
            <w:vAlign w:val="bottom"/>
            <w:gridSpan w:val="3"/>
          </w:tcPr>
          <w:p>
            <w:pPr>
              <w:jc w:val="center"/>
              <w:spacing w:after="0" w:line="38" w:lineRule="exact"/>
              <w:rPr>
                <w:sz w:val="20"/>
                <w:szCs w:val="20"/>
                <w:color w:val="auto"/>
              </w:rPr>
            </w:pPr>
            <w:r>
              <w:rPr>
                <w:rFonts w:ascii="Arial" w:cs="Arial" w:eastAsia="Arial" w:hAnsi="Arial"/>
                <w:sz w:val="4"/>
                <w:szCs w:val="4"/>
                <w:color w:val="FFFFFF"/>
              </w:rPr>
              <w:t>$ 10.3 $ 9.8 $ 9.9</w:t>
            </w:r>
          </w:p>
        </w:tc>
        <w:tc>
          <w:tcPr>
            <w:tcW w:w="126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rPr>
          <w:sz w:val="20"/>
          <w:szCs w:val="20"/>
          <w:color w:val="auto"/>
        </w:rPr>
      </w:pPr>
      <w:r>
        <w:rPr>
          <w:rFonts w:ascii="Arial" w:cs="Arial" w:eastAsia="Arial" w:hAnsi="Arial"/>
          <w:sz w:val="4"/>
          <w:szCs w:val="4"/>
          <w:color w:val="FFFFFF"/>
        </w:rPr>
        <w:t>* The above information was prepared by NN, Inc. based on unaudited and unreviewed Autocam Corporation internal reports provided to NN, Inc. by Autocam. Autocam Corporation has not reviewed or endorsed this data as presented above. This data should be considered as forward-looking estimates and as such actual results could differ materially from the data presented herein. Please see the cautionary note regarding forward-looking statements on slide 2 of this presentation. NN does not intend, and undertakes no obligation, to update this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FFFFFF"/>
        </w:rPr>
        <w:t>11</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2019-12-06T10:12:23Z</dcterms:created>
  <dcterms:modified xsi:type="dcterms:W3CDTF">2019-12-06T10:12:23Z</dcterms:modified>
</cp:coreProperties>
</file>