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620395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——————————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left="2920" w:right="1819"/>
        <w:spacing w:after="0" w:line="2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 xml:space="preserve">Proxy Statement Pursuant to Section 14(a) of the Securities Exchange Act of 1934 </w:t>
      </w:r>
      <w:r>
        <w:rPr>
          <w:rFonts w:ascii="Times New Roman" w:cs="Times New Roman" w:eastAsia="Times New Roman" w:hAnsi="Times New Roman"/>
          <w:sz w:val="25"/>
          <w:szCs w:val="25"/>
          <w:color w:val="auto"/>
        </w:rPr>
        <w:t>——————————</w:t>
      </w:r>
    </w:p>
    <w:p>
      <w:pPr>
        <w:sectPr>
          <w:pgSz w:w="11900" w:h="16838" w:orient="portrait"/>
          <w:cols w:equalWidth="0" w:num="1">
            <w:col w:w="10139"/>
          </w:cols>
          <w:pgMar w:left="320" w:top="1299" w:right="1440" w:bottom="1440" w:gutter="0" w:footer="0" w:header="0"/>
        </w:sectPr>
      </w:pP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 w:line="12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1860" w:space="720"/>
            <w:col w:w="2360" w:space="80"/>
            <w:col w:w="5119"/>
          </w:cols>
          <w:pgMar w:left="320" w:top="1299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1299" w:right="1440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107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under §240.14a-12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NN,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box):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materials.</w:t>
      </w:r>
    </w:p>
    <w:p>
      <w:pPr>
        <w:spacing w:after="0" w:line="244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480" w:hanging="45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1052195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941070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299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500380</wp:posOffset>
            </wp:positionV>
            <wp:extent cx="6172200" cy="754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54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500380</wp:posOffset>
            </wp:positionV>
            <wp:extent cx="6172200" cy="8049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0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2025-03-31T14:52:56Z</dcterms:created>
  <dcterms:modified xsi:type="dcterms:W3CDTF">2025-03-31T14:52:56Z</dcterms:modified>
</cp:coreProperties>
</file>