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3"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UNITED STATES SECURITIES AND EXCHANGE COMMISSION</w:t>
      </w:r>
    </w:p>
    <w:p>
      <w:pPr>
        <w:spacing w:after="0" w:line="27"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spacing w:after="0" w:line="332"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sectPr>
          <w:pgSz w:w="11900" w:h="16838" w:orient="portrait"/>
          <w:cols w:equalWidth="0" w:num="1">
            <w:col w:w="10223"/>
          </w:cols>
          <w:pgMar w:left="236" w:top="751" w:right="1440" w:bottom="1440" w:gutter="0" w:footer="0" w:header="0"/>
        </w:sectPr>
      </w:pP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right="2719"/>
        <w:spacing w:after="0" w:line="348"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5" w:lineRule="exact"/>
        <w:rPr>
          <w:sz w:val="24"/>
          <w:szCs w:val="24"/>
          <w:color w:val="auto"/>
        </w:rPr>
      </w:pPr>
    </w:p>
    <w:p>
      <w:pPr>
        <w:sectPr>
          <w:pgSz w:w="11900" w:h="16838" w:orient="portrait"/>
          <w:cols w:equalWidth="0" w:num="2">
            <w:col w:w="584" w:space="720"/>
            <w:col w:w="8919"/>
          </w:cols>
          <w:pgMar w:left="236" w:top="751" w:right="1440" w:bottom="1440" w:gutter="0" w:footer="0" w:header="0"/>
          <w:type w:val="continuous"/>
        </w:sectPr>
      </w:pPr>
    </w:p>
    <w:p>
      <w:pPr>
        <w:jc w:val="right"/>
        <w:ind w:right="4399"/>
        <w:spacing w:after="0"/>
        <w:rPr>
          <w:sz w:val="20"/>
          <w:szCs w:val="20"/>
          <w:color w:val="auto"/>
        </w:rPr>
      </w:pPr>
      <w:r>
        <w:rPr>
          <w:rFonts w:ascii="Courier New" w:cs="Courier New" w:eastAsia="Courier New" w:hAnsi="Courier New"/>
          <w:sz w:val="15"/>
          <w:szCs w:val="15"/>
          <w:color w:val="auto"/>
        </w:rPr>
        <w:t>For the quarterly period ended JUNE 30, 1999</w:t>
      </w:r>
    </w:p>
    <w:p>
      <w:pPr>
        <w:spacing w:after="0" w:line="38" w:lineRule="exact"/>
        <w:rPr>
          <w:sz w:val="24"/>
          <w:szCs w:val="24"/>
          <w:color w:val="auto"/>
        </w:rPr>
      </w:pPr>
    </w:p>
    <w:p>
      <w:pPr>
        <w:jc w:val="right"/>
        <w:ind w:right="4399"/>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3"/>
          </w:cols>
          <w:pgMar w:left="236" w:top="751" w:right="1440" w:bottom="1440" w:gutter="0" w:footer="0" w:header="0"/>
          <w:type w:val="continuous"/>
        </w:sectPr>
      </w:pP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ind w:right="3659"/>
        <w:spacing w:after="0" w:line="348"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15" w:lineRule="exact"/>
        <w:rPr>
          <w:sz w:val="24"/>
          <w:szCs w:val="24"/>
          <w:color w:val="auto"/>
        </w:rPr>
      </w:pPr>
    </w:p>
    <w:p>
      <w:pPr>
        <w:sectPr>
          <w:pgSz w:w="11900" w:h="16838" w:orient="portrait"/>
          <w:cols w:equalWidth="0" w:num="2">
            <w:col w:w="584" w:space="720"/>
            <w:col w:w="8919"/>
          </w:cols>
          <w:pgMar w:left="236" w:top="751" w:right="1440" w:bottom="1440" w:gutter="0" w:footer="0" w:header="0"/>
          <w:type w:val="continuous"/>
        </w:sectPr>
      </w:pPr>
    </w:p>
    <w:p>
      <w:pPr>
        <w:ind w:left="1304"/>
        <w:spacing w:after="0"/>
        <w:rPr>
          <w:sz w:val="20"/>
          <w:szCs w:val="20"/>
          <w:color w:val="auto"/>
        </w:rPr>
      </w:pPr>
      <w:r>
        <w:rPr>
          <w:rFonts w:ascii="Courier New" w:cs="Courier New" w:eastAsia="Courier New" w:hAnsi="Courier New"/>
          <w:sz w:val="15"/>
          <w:szCs w:val="15"/>
          <w:color w:val="auto"/>
        </w:rPr>
        <w:t>For the transition period from _________ to _________</w:t>
      </w:r>
    </w:p>
    <w:p>
      <w:pPr>
        <w:spacing w:after="0" w:line="371" w:lineRule="exact"/>
        <w:rPr>
          <w:sz w:val="24"/>
          <w:szCs w:val="24"/>
          <w:color w:val="auto"/>
        </w:rPr>
      </w:pPr>
    </w:p>
    <w:p>
      <w:pPr>
        <w:ind w:left="2344"/>
        <w:spacing w:after="0"/>
        <w:rPr>
          <w:sz w:val="20"/>
          <w:szCs w:val="20"/>
          <w:color w:val="auto"/>
        </w:rPr>
      </w:pPr>
      <w:r>
        <w:rPr>
          <w:rFonts w:ascii="Courier New" w:cs="Courier New" w:eastAsia="Courier New" w:hAnsi="Courier New"/>
          <w:sz w:val="16"/>
          <w:szCs w:val="16"/>
          <w:color w:val="auto"/>
        </w:rPr>
        <w:t>Commission File Number 0-23486</w:t>
      </w:r>
    </w:p>
    <w:p>
      <w:pPr>
        <w:spacing w:after="0" w:line="360"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NN BALL &amp; ROLLER, INC.</w:t>
      </w:r>
    </w:p>
    <w:p>
      <w:pPr>
        <w:spacing w:after="0" w:line="27"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3"/>
          </w:cols>
          <w:pgMar w:left="236" w:top="751" w:right="1440" w:bottom="144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ind w:left="1304"/>
        <w:spacing w:after="0"/>
        <w:rPr>
          <w:sz w:val="20"/>
          <w:szCs w:val="20"/>
          <w:color w:val="auto"/>
        </w:rPr>
      </w:pPr>
      <w:r>
        <w:rPr>
          <w:rFonts w:ascii="Courier New" w:cs="Courier New" w:eastAsia="Courier New" w:hAnsi="Courier New"/>
          <w:sz w:val="16"/>
          <w:szCs w:val="16"/>
          <w:color w:val="auto"/>
        </w:rPr>
        <w:t>DELAWARE</w:t>
      </w:r>
    </w:p>
    <w:p>
      <w:pPr>
        <w:spacing w:after="0" w:line="27" w:lineRule="exact"/>
        <w:rPr>
          <w:sz w:val="24"/>
          <w:szCs w:val="24"/>
          <w:color w:val="auto"/>
        </w:rPr>
      </w:pPr>
    </w:p>
    <w:p>
      <w:pPr>
        <w:ind w:left="284"/>
        <w:spacing w:after="0"/>
        <w:rPr>
          <w:sz w:val="20"/>
          <w:szCs w:val="20"/>
          <w:color w:val="auto"/>
        </w:rPr>
      </w:pPr>
      <w:r>
        <w:rPr>
          <w:rFonts w:ascii="Courier New" w:cs="Courier New" w:eastAsia="Courier New" w:hAnsi="Courier New"/>
          <w:sz w:val="15"/>
          <w:szCs w:val="15"/>
          <w:color w:val="auto"/>
        </w:rPr>
        <w:t>(State or other jurisdiction of</w:t>
      </w:r>
    </w:p>
    <w:p>
      <w:pPr>
        <w:spacing w:after="0" w:line="10" w:lineRule="exact"/>
        <w:rPr>
          <w:sz w:val="24"/>
          <w:szCs w:val="24"/>
          <w:color w:val="auto"/>
        </w:rPr>
      </w:pPr>
    </w:p>
    <w:p>
      <w:pPr>
        <w:ind w:left="384"/>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62-1096725</w:t>
      </w:r>
    </w:p>
    <w:p>
      <w:pPr>
        <w:spacing w:after="0" w:line="26" w:lineRule="exact"/>
        <w:rPr>
          <w:sz w:val="24"/>
          <w:szCs w:val="24"/>
          <w:color w:val="auto"/>
        </w:rPr>
      </w:pPr>
    </w:p>
    <w:p>
      <w:pPr>
        <w:ind w:left="180"/>
        <w:spacing w:after="0"/>
        <w:rPr>
          <w:sz w:val="20"/>
          <w:szCs w:val="20"/>
          <w:color w:val="auto"/>
        </w:rPr>
      </w:pPr>
      <w:r>
        <w:rPr>
          <w:rFonts w:ascii="Courier New" w:cs="Courier New" w:eastAsia="Courier New" w:hAnsi="Courier New"/>
          <w:sz w:val="16"/>
          <w:szCs w:val="16"/>
          <w:color w:val="auto"/>
        </w:rPr>
        <w:t>(I.R.S. Employer</w:t>
      </w: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63" w:lineRule="exact"/>
        <w:rPr>
          <w:sz w:val="24"/>
          <w:szCs w:val="24"/>
          <w:color w:val="auto"/>
        </w:rPr>
      </w:pPr>
    </w:p>
    <w:p>
      <w:pPr>
        <w:sectPr>
          <w:pgSz w:w="11900" w:h="16838" w:orient="portrait"/>
          <w:cols w:equalWidth="0" w:num="2">
            <w:col w:w="4164" w:space="720"/>
            <w:col w:w="5339"/>
          </w:cols>
          <w:pgMar w:left="236" w:top="751" w:right="1440" w:bottom="1440" w:gutter="0" w:footer="0" w:header="0"/>
          <w:type w:val="continuous"/>
        </w:sectPr>
      </w:pPr>
    </w:p>
    <w:p>
      <w:pPr>
        <w:jc w:val="center"/>
        <w:ind w:right="2715"/>
        <w:spacing w:after="0"/>
        <w:rPr>
          <w:sz w:val="20"/>
          <w:szCs w:val="20"/>
          <w:color w:val="auto"/>
        </w:rPr>
      </w:pPr>
      <w:r>
        <w:rPr>
          <w:rFonts w:ascii="Courier New" w:cs="Courier New" w:eastAsia="Courier New" w:hAnsi="Courier New"/>
          <w:sz w:val="16"/>
          <w:szCs w:val="16"/>
          <w:color w:val="auto"/>
        </w:rPr>
        <w:t>800 TENNESSEE ROAD</w:t>
      </w:r>
    </w:p>
    <w:p>
      <w:pPr>
        <w:spacing w:after="0" w:line="26"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ERWIN, TENNESSEE 37650</w:t>
      </w:r>
    </w:p>
    <w:p>
      <w:pPr>
        <w:jc w:val="center"/>
        <w:ind w:right="2715"/>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51"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(423) 743-9151</w:t>
      </w:r>
    </w:p>
    <w:p>
      <w:pPr>
        <w:spacing w:after="0" w:line="27"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332" w:lineRule="exact"/>
        <w:rPr>
          <w:sz w:val="24"/>
          <w:szCs w:val="24"/>
          <w:color w:val="auto"/>
        </w:rPr>
      </w:pPr>
    </w:p>
    <w:p>
      <w:pPr>
        <w:ind w:left="4" w:right="2719"/>
        <w:spacing w:after="0" w:line="284"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ectPr>
          <w:pgSz w:w="11900" w:h="16838" w:orient="portrait"/>
          <w:cols w:equalWidth="0" w:num="1">
            <w:col w:w="10223"/>
          </w:cols>
          <w:pgMar w:left="236" w:top="751" w:right="1440" w:bottom="1440" w:gutter="0" w:footer="0" w:header="0"/>
          <w:type w:val="continuous"/>
        </w:sectPr>
      </w:pPr>
    </w:p>
    <w:p>
      <w:pPr>
        <w:ind w:left="4"/>
        <w:spacing w:after="0" w:line="204" w:lineRule="auto"/>
        <w:tabs>
          <w:tab w:leader="none" w:pos="4003" w:val="left"/>
        </w:tabs>
        <w:rPr>
          <w:sz w:val="20"/>
          <w:szCs w:val="20"/>
          <w:color w:val="auto"/>
        </w:rPr>
      </w:pPr>
      <w:r>
        <w:rPr>
          <w:rFonts w:ascii="Courier New" w:cs="Courier New" w:eastAsia="Courier New" w:hAnsi="Courier New"/>
          <w:sz w:val="13"/>
          <w:szCs w:val="13"/>
          <w:color w:val="auto"/>
        </w:rPr>
        <w:t>requirements for the past 90 days. Yes X</w:t>
      </w:r>
      <w:r>
        <w:rPr>
          <w:sz w:val="20"/>
          <w:szCs w:val="20"/>
          <w:color w:val="auto"/>
        </w:rPr>
        <w:tab/>
      </w:r>
      <w:r>
        <w:rPr>
          <w:rFonts w:ascii="Courier New" w:cs="Courier New" w:eastAsia="Courier New" w:hAnsi="Courier New"/>
          <w:sz w:val="13"/>
          <w:szCs w:val="13"/>
          <w:color w:val="auto"/>
        </w:rPr>
        <w:t>No</w:t>
      </w:r>
    </w:p>
    <w:p>
      <w:pPr>
        <w:ind w:left="3564"/>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0" w:lineRule="exact"/>
        <w:rPr>
          <w:sz w:val="24"/>
          <w:szCs w:val="24"/>
          <w:color w:val="auto"/>
        </w:rPr>
      </w:pPr>
    </w:p>
    <w:p>
      <w:pPr>
        <w:sectPr>
          <w:pgSz w:w="11900" w:h="16838" w:orient="portrait"/>
          <w:cols w:equalWidth="0" w:num="2">
            <w:col w:w="4224" w:space="0"/>
            <w:col w:w="5999"/>
          </w:cols>
          <w:pgMar w:left="236" w:top="751" w:right="1440" w:bottom="1440" w:gutter="0" w:footer="0" w:header="0"/>
          <w:type w:val="continuous"/>
        </w:sectPr>
      </w:pPr>
    </w:p>
    <w:p>
      <w:pPr>
        <w:ind w:left="4" w:right="2999"/>
        <w:spacing w:after="0" w:line="348" w:lineRule="auto"/>
        <w:rPr>
          <w:sz w:val="20"/>
          <w:szCs w:val="20"/>
          <w:color w:val="auto"/>
        </w:rPr>
      </w:pPr>
      <w:r>
        <w:rPr>
          <w:rFonts w:ascii="Courier New" w:cs="Courier New" w:eastAsia="Courier New" w:hAnsi="Courier New"/>
          <w:sz w:val="16"/>
          <w:szCs w:val="16"/>
          <w:color w:val="auto"/>
        </w:rPr>
        <w:t>As of August 12, 1999 there were 15,244,308 shares of the registrant's common stock, par value $0.01 per share, outstanding.</w:t>
      </w:r>
    </w:p>
    <w:p>
      <w:pPr>
        <w:spacing w:after="0" w:line="196"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3"/>
          </w:cols>
          <w:pgMar w:left="236" w:top="751" w:right="1440" w:bottom="1440" w:gutter="0" w:footer="0" w:header="0"/>
          <w:type w:val="continuous"/>
        </w:sectPr>
      </w:pPr>
    </w:p>
    <w:bookmarkStart w:id="1" w:name="page2"/>
    <w:bookmarkEnd w:id="1"/>
    <w:p>
      <w:pPr>
        <w:ind w:left="2720"/>
        <w:spacing w:after="0"/>
        <w:rPr>
          <w:sz w:val="20"/>
          <w:szCs w:val="20"/>
          <w:color w:val="auto"/>
        </w:rPr>
      </w:pPr>
      <w:r>
        <w:rPr>
          <w:rFonts w:ascii="Courier New" w:cs="Courier New" w:eastAsia="Courier New" w:hAnsi="Courier New"/>
          <w:sz w:val="16"/>
          <w:szCs w:val="16"/>
          <w:color w:val="auto"/>
        </w:rPr>
        <w:t>NN BALL &amp; ROLLER, INC.</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6"/>
          <w:szCs w:val="16"/>
          <w:color w:val="auto"/>
        </w:rPr>
        <w:t>Page No.</w:t>
      </w:r>
    </w:p>
    <w:p>
      <w:pPr>
        <w:spacing w:after="0" w:line="27" w:lineRule="exact"/>
        <w:rPr>
          <w:sz w:val="20"/>
          <w:szCs w:val="20"/>
          <w:color w:val="auto"/>
        </w:rPr>
      </w:pPr>
    </w:p>
    <w:p>
      <w:pPr>
        <w:jc w:val="right"/>
        <w:ind w:right="179"/>
        <w:spacing w:after="0"/>
        <w:rPr>
          <w:sz w:val="20"/>
          <w:szCs w:val="20"/>
          <w:color w:val="auto"/>
        </w:rPr>
      </w:pPr>
      <w:r>
        <w:rPr>
          <w:rFonts w:ascii="Courier New" w:cs="Courier New" w:eastAsia="Courier New" w:hAnsi="Courier New"/>
          <w:sz w:val="16"/>
          <w:szCs w:val="16"/>
          <w:color w:val="auto"/>
        </w:rPr>
        <w:t>--------</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 FINANCIAL INFORMATION</w:t>
      </w:r>
    </w:p>
    <w:p>
      <w:pPr>
        <w:spacing w:after="0" w:line="17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Condensed Statements of Income and Comprehensive Income for the</w:t>
      </w:r>
    </w:p>
    <w:p>
      <w:pPr>
        <w:spacing w:after="0" w:line="27" w:lineRule="exact"/>
        <w:rPr>
          <w:sz w:val="20"/>
          <w:szCs w:val="20"/>
          <w:color w:val="auto"/>
        </w:rPr>
      </w:pPr>
    </w:p>
    <w:p>
      <w:pPr>
        <w:ind w:left="1960"/>
        <w:spacing w:after="0"/>
        <w:tabs>
          <w:tab w:leader="none" w:pos="9440" w:val="left"/>
        </w:tabs>
        <w:rPr>
          <w:sz w:val="20"/>
          <w:szCs w:val="20"/>
          <w:color w:val="auto"/>
        </w:rPr>
      </w:pPr>
      <w:r>
        <w:rPr>
          <w:rFonts w:ascii="Courier New" w:cs="Courier New" w:eastAsia="Courier New" w:hAnsi="Courier New"/>
          <w:sz w:val="16"/>
          <w:szCs w:val="16"/>
          <w:color w:val="auto"/>
        </w:rPr>
        <w:t>three and six months ended June 30, 1999 and 1998</w:t>
      </w:r>
      <w:r>
        <w:rPr>
          <w:sz w:val="20"/>
          <w:szCs w:val="20"/>
          <w:color w:val="auto"/>
        </w:rPr>
        <w:tab/>
      </w:r>
      <w:r>
        <w:rPr>
          <w:rFonts w:ascii="Courier New" w:cs="Courier New" w:eastAsia="Courier New" w:hAnsi="Courier New"/>
          <w:sz w:val="16"/>
          <w:szCs w:val="16"/>
          <w:color w:val="auto"/>
        </w:rPr>
        <w:t>2</w:t>
      </w:r>
    </w:p>
    <w:p>
      <w:pPr>
        <w:spacing w:after="0" w:line="151" w:lineRule="exact"/>
        <w:rPr>
          <w:sz w:val="20"/>
          <w:szCs w:val="20"/>
          <w:color w:val="auto"/>
        </w:rPr>
      </w:pPr>
    </w:p>
    <w:p>
      <w:pPr>
        <w:ind w:left="1680"/>
        <w:spacing w:after="0"/>
        <w:tabs>
          <w:tab w:leader="none" w:pos="9440" w:val="left"/>
        </w:tabs>
        <w:rPr>
          <w:sz w:val="20"/>
          <w:szCs w:val="20"/>
          <w:color w:val="auto"/>
        </w:rPr>
      </w:pPr>
      <w:r>
        <w:rPr>
          <w:rFonts w:ascii="Courier New" w:cs="Courier New" w:eastAsia="Courier New" w:hAnsi="Courier New"/>
          <w:sz w:val="16"/>
          <w:szCs w:val="16"/>
          <w:color w:val="auto"/>
        </w:rPr>
        <w:t>Condensed Balance Sheets at June 30, 1999 and December 31, 1998</w:t>
      </w:r>
      <w:r>
        <w:rPr>
          <w:sz w:val="20"/>
          <w:szCs w:val="20"/>
          <w:color w:val="auto"/>
        </w:rPr>
        <w:tab/>
      </w:r>
      <w:r>
        <w:rPr>
          <w:rFonts w:ascii="Courier New" w:cs="Courier New" w:eastAsia="Courier New" w:hAnsi="Courier New"/>
          <w:sz w:val="16"/>
          <w:szCs w:val="16"/>
          <w:color w:val="auto"/>
        </w:rPr>
        <w:t>3</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spacing w:after="0" w:line="27" w:lineRule="exact"/>
        <w:rPr>
          <w:sz w:val="20"/>
          <w:szCs w:val="20"/>
          <w:color w:val="auto"/>
        </w:rPr>
      </w:pPr>
    </w:p>
    <w:p>
      <w:pPr>
        <w:ind w:left="1960"/>
        <w:spacing w:after="0"/>
        <w:tabs>
          <w:tab w:leader="none" w:pos="9440" w:val="left"/>
        </w:tabs>
        <w:rPr>
          <w:sz w:val="20"/>
          <w:szCs w:val="20"/>
          <w:color w:val="auto"/>
        </w:rPr>
      </w:pPr>
      <w:r>
        <w:rPr>
          <w:rFonts w:ascii="Courier New" w:cs="Courier New" w:eastAsia="Courier New" w:hAnsi="Courier New"/>
          <w:sz w:val="16"/>
          <w:szCs w:val="16"/>
          <w:color w:val="auto"/>
        </w:rPr>
        <w:t>for the six months ended June 30, 1999 and 1998</w:t>
      </w:r>
      <w:r>
        <w:rPr>
          <w:sz w:val="20"/>
          <w:szCs w:val="20"/>
          <w:color w:val="auto"/>
        </w:rPr>
        <w:tab/>
      </w:r>
      <w:r>
        <w:rPr>
          <w:rFonts w:ascii="Courier New" w:cs="Courier New" w:eastAsia="Courier New" w:hAnsi="Courier New"/>
          <w:sz w:val="16"/>
          <w:szCs w:val="16"/>
          <w:color w:val="auto"/>
        </w:rPr>
        <w:t>4</w:t>
      </w:r>
    </w:p>
    <w:p>
      <w:pPr>
        <w:spacing w:after="0" w:line="151"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Condensed Statements of Cash Flows for the six months</w:t>
      </w:r>
    </w:p>
    <w:p>
      <w:pPr>
        <w:spacing w:after="0" w:line="27" w:lineRule="exact"/>
        <w:rPr>
          <w:sz w:val="20"/>
          <w:szCs w:val="20"/>
          <w:color w:val="auto"/>
        </w:rPr>
      </w:pPr>
    </w:p>
    <w:p>
      <w:pPr>
        <w:ind w:left="1960"/>
        <w:spacing w:after="0"/>
        <w:tabs>
          <w:tab w:leader="none" w:pos="9440" w:val="left"/>
        </w:tabs>
        <w:rPr>
          <w:sz w:val="20"/>
          <w:szCs w:val="20"/>
          <w:color w:val="auto"/>
        </w:rPr>
      </w:pPr>
      <w:r>
        <w:rPr>
          <w:rFonts w:ascii="Courier New" w:cs="Courier New" w:eastAsia="Courier New" w:hAnsi="Courier New"/>
          <w:sz w:val="16"/>
          <w:szCs w:val="16"/>
          <w:color w:val="auto"/>
        </w:rPr>
        <w:t>ended June 30, 1999 and 1998</w:t>
      </w:r>
      <w:r>
        <w:rPr>
          <w:sz w:val="20"/>
          <w:szCs w:val="20"/>
          <w:color w:val="auto"/>
        </w:rPr>
        <w:tab/>
      </w:r>
      <w:r>
        <w:rPr>
          <w:rFonts w:ascii="Courier New" w:cs="Courier New" w:eastAsia="Courier New" w:hAnsi="Courier New"/>
          <w:sz w:val="16"/>
          <w:szCs w:val="16"/>
          <w:color w:val="auto"/>
        </w:rPr>
        <w:t>5</w:t>
      </w:r>
    </w:p>
    <w:p>
      <w:pPr>
        <w:spacing w:after="0" w:line="151" w:lineRule="exact"/>
        <w:rPr>
          <w:sz w:val="20"/>
          <w:szCs w:val="20"/>
          <w:color w:val="auto"/>
        </w:rPr>
      </w:pPr>
    </w:p>
    <w:p>
      <w:pPr>
        <w:ind w:left="1680"/>
        <w:spacing w:after="0"/>
        <w:tabs>
          <w:tab w:leader="none" w:pos="9440" w:val="left"/>
        </w:tabs>
        <w:rPr>
          <w:sz w:val="20"/>
          <w:szCs w:val="20"/>
          <w:color w:val="auto"/>
        </w:rPr>
      </w:pPr>
      <w:r>
        <w:rPr>
          <w:rFonts w:ascii="Courier New" w:cs="Courier New" w:eastAsia="Courier New" w:hAnsi="Courier New"/>
          <w:sz w:val="16"/>
          <w:szCs w:val="16"/>
          <w:color w:val="auto"/>
        </w:rPr>
        <w:t>Notes to Condensed Financial Statements</w:t>
      </w:r>
      <w:r>
        <w:rPr>
          <w:sz w:val="20"/>
          <w:szCs w:val="20"/>
          <w:color w:val="auto"/>
        </w:rPr>
        <w:tab/>
      </w:r>
      <w:r>
        <w:rPr>
          <w:rFonts w:ascii="Courier New" w:cs="Courier New" w:eastAsia="Courier New" w:hAnsi="Courier New"/>
          <w:sz w:val="16"/>
          <w:szCs w:val="16"/>
          <w:color w:val="auto"/>
        </w:rPr>
        <w:t>6</w:t>
      </w:r>
    </w:p>
    <w:p>
      <w:pPr>
        <w:spacing w:after="0" w:line="179"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w:t>
      </w:r>
    </w:p>
    <w:p>
      <w:pPr>
        <w:spacing w:after="0" w:line="27" w:lineRule="exact"/>
        <w:rPr>
          <w:sz w:val="20"/>
          <w:szCs w:val="20"/>
          <w:color w:val="auto"/>
        </w:rPr>
      </w:pPr>
    </w:p>
    <w:p>
      <w:pPr>
        <w:ind w:left="1960"/>
        <w:spacing w:after="0"/>
        <w:tabs>
          <w:tab w:leader="none" w:pos="944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6"/>
          <w:szCs w:val="16"/>
          <w:color w:val="auto"/>
        </w:rPr>
        <w:t>9</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79" w:lineRule="exact"/>
        <w:rPr>
          <w:sz w:val="20"/>
          <w:szCs w:val="20"/>
          <w:color w:val="auto"/>
        </w:rPr>
      </w:pPr>
    </w:p>
    <w:p>
      <w:pPr>
        <w:spacing w:after="0"/>
        <w:tabs>
          <w:tab w:leader="none" w:pos="1660" w:val="left"/>
          <w:tab w:leader="none" w:pos="93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r>
        <w:rPr>
          <w:sz w:val="20"/>
          <w:szCs w:val="20"/>
          <w:color w:val="auto"/>
        </w:rPr>
        <w:tab/>
      </w:r>
      <w:r>
        <w:rPr>
          <w:rFonts w:ascii="Courier New" w:cs="Courier New" w:eastAsia="Courier New" w:hAnsi="Courier New"/>
          <w:sz w:val="15"/>
          <w:szCs w:val="15"/>
          <w:color w:val="auto"/>
        </w:rPr>
        <w:t>14</w:t>
      </w:r>
    </w:p>
    <w:p>
      <w:pPr>
        <w:spacing w:after="0" w:line="179" w:lineRule="exact"/>
        <w:rPr>
          <w:sz w:val="20"/>
          <w:szCs w:val="20"/>
          <w:color w:val="auto"/>
        </w:rPr>
      </w:pPr>
    </w:p>
    <w:p>
      <w:pPr>
        <w:spacing w:after="0"/>
        <w:tabs>
          <w:tab w:leader="none" w:pos="1660" w:val="left"/>
          <w:tab w:leader="none" w:pos="93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Other Information</w:t>
      </w:r>
      <w:r>
        <w:rPr>
          <w:sz w:val="20"/>
          <w:szCs w:val="20"/>
          <w:color w:val="auto"/>
        </w:rPr>
        <w:tab/>
      </w:r>
      <w:r>
        <w:rPr>
          <w:rFonts w:ascii="Courier New" w:cs="Courier New" w:eastAsia="Courier New" w:hAnsi="Courier New"/>
          <w:sz w:val="15"/>
          <w:szCs w:val="15"/>
          <w:color w:val="auto"/>
        </w:rPr>
        <w:t>14</w:t>
      </w:r>
    </w:p>
    <w:p>
      <w:pPr>
        <w:spacing w:after="0" w:line="179" w:lineRule="exact"/>
        <w:rPr>
          <w:sz w:val="20"/>
          <w:szCs w:val="20"/>
          <w:color w:val="auto"/>
        </w:rPr>
      </w:pPr>
    </w:p>
    <w:p>
      <w:pPr>
        <w:spacing w:after="0"/>
        <w:tabs>
          <w:tab w:leader="none" w:pos="1660" w:val="left"/>
          <w:tab w:leader="none" w:pos="93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5"/>
          <w:szCs w:val="15"/>
          <w:color w:val="auto"/>
        </w:rPr>
        <w:t>14</w:t>
      </w:r>
    </w:p>
    <w:p>
      <w:pPr>
        <w:spacing w:after="0" w:line="179" w:lineRule="exact"/>
        <w:rPr>
          <w:sz w:val="20"/>
          <w:szCs w:val="20"/>
          <w:color w:val="auto"/>
        </w:rPr>
      </w:pPr>
    </w:p>
    <w:p>
      <w:pPr>
        <w:spacing w:after="0"/>
        <w:tabs>
          <w:tab w:leader="none" w:pos="936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5"/>
          <w:szCs w:val="15"/>
          <w:color w:val="auto"/>
        </w:rPr>
        <w:t>15</w:t>
      </w:r>
    </w:p>
    <w:p>
      <w:pPr>
        <w:spacing w:after="0" w:line="179" w:lineRule="exact"/>
        <w:rPr>
          <w:sz w:val="20"/>
          <w:szCs w:val="20"/>
          <w:color w:val="auto"/>
        </w:rPr>
      </w:pPr>
    </w:p>
    <w:p>
      <w:pPr>
        <w:spacing w:after="0"/>
        <w:tabs>
          <w:tab w:leader="none" w:pos="9360" w:val="left"/>
        </w:tabs>
        <w:rPr>
          <w:sz w:val="20"/>
          <w:szCs w:val="20"/>
          <w:color w:val="auto"/>
        </w:rPr>
      </w:pPr>
      <w:r>
        <w:rPr>
          <w:rFonts w:ascii="Courier New" w:cs="Courier New" w:eastAsia="Courier New" w:hAnsi="Courier New"/>
          <w:sz w:val="16"/>
          <w:szCs w:val="16"/>
          <w:color w:val="auto"/>
        </w:rPr>
        <w:t>Index To Exhibits</w:t>
      </w:r>
      <w:r>
        <w:rPr>
          <w:sz w:val="20"/>
          <w:szCs w:val="20"/>
          <w:color w:val="auto"/>
        </w:rPr>
        <w:tab/>
      </w:r>
      <w:r>
        <w:rPr>
          <w:rFonts w:ascii="Courier New" w:cs="Courier New" w:eastAsia="Courier New" w:hAnsi="Courier New"/>
          <w:sz w:val="15"/>
          <w:szCs w:val="15"/>
          <w:color w:val="auto"/>
        </w:rPr>
        <w:t>16</w:t>
      </w:r>
    </w:p>
    <w:p>
      <w:pPr>
        <w:sectPr>
          <w:pgSz w:w="11900" w:h="16838" w:orient="portrait"/>
          <w:cols w:equalWidth="0" w:num="1">
            <w:col w:w="10219"/>
          </w:cols>
          <w:pgMar w:left="240" w:top="811" w:right="1440"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6"/>
          <w:szCs w:val="16"/>
          <w:color w:val="auto"/>
        </w:rPr>
        <w:t>PART I. FINANCIAL INFORMATION</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NN BALL &amp; ROLLER, INC.</w:t>
      </w:r>
    </w:p>
    <w:p>
      <w:pPr>
        <w:spacing w:after="0" w:line="2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CONDENSED STATEMENTS OF INCOME AND COMPREHENSIVE INCOME</w:t>
      </w:r>
    </w:p>
    <w:p>
      <w:pPr>
        <w:jc w:val="center"/>
        <w:ind w:right="2619"/>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268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THREE MONTHS ENDED</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MONTHS ENDED</w:t>
            </w:r>
          </w:p>
        </w:tc>
        <w:tc>
          <w:tcPr>
            <w:tcW w:w="0" w:type="dxa"/>
            <w:vAlign w:val="bottom"/>
          </w:tcPr>
          <w:p>
            <w:pPr>
              <w:spacing w:after="0"/>
              <w:rPr>
                <w:sz w:val="1"/>
                <w:szCs w:val="1"/>
                <w:color w:val="auto"/>
              </w:rPr>
            </w:pPr>
          </w:p>
        </w:tc>
      </w:tr>
      <w:tr>
        <w:trPr>
          <w:trHeight w:val="180"/>
        </w:trPr>
        <w:tc>
          <w:tcPr>
            <w:tcW w:w="4540" w:type="dxa"/>
            <w:vAlign w:val="bottom"/>
            <w:vMerge w:val="restart"/>
          </w:tcPr>
          <w:p>
            <w:pPr>
              <w:spacing w:after="0"/>
              <w:rPr>
                <w:sz w:val="20"/>
                <w:szCs w:val="20"/>
                <w:color w:val="auto"/>
              </w:rPr>
            </w:pPr>
            <w:r>
              <w:rPr>
                <w:rFonts w:ascii="Courier New" w:cs="Courier New" w:eastAsia="Courier New" w:hAnsi="Courier New"/>
                <w:sz w:val="16"/>
                <w:szCs w:val="16"/>
                <w:color w:val="auto"/>
              </w:rPr>
              <w:t>THOUSANDS OF  DOLLARS, EXCEPT PER SHARE DATA</w:t>
            </w:r>
          </w:p>
        </w:tc>
        <w:tc>
          <w:tcPr>
            <w:tcW w:w="9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1999</w:t>
            </w:r>
          </w:p>
        </w:tc>
        <w:tc>
          <w:tcPr>
            <w:tcW w:w="17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JUNE 30,</w:t>
            </w:r>
          </w:p>
        </w:tc>
        <w:tc>
          <w:tcPr>
            <w:tcW w:w="8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1999</w:t>
            </w:r>
          </w:p>
        </w:tc>
        <w:tc>
          <w:tcPr>
            <w:tcW w:w="14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208"/>
        </w:trPr>
        <w:tc>
          <w:tcPr>
            <w:tcW w:w="454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7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1998</w:t>
            </w:r>
          </w:p>
        </w:tc>
        <w:tc>
          <w:tcPr>
            <w:tcW w:w="88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52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17,475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19,674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35,387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40,560</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52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12,591</w:t>
            </w:r>
          </w:p>
        </w:tc>
        <w:tc>
          <w:tcPr>
            <w:tcW w:w="28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13,563</w:t>
            </w:r>
          </w:p>
        </w:tc>
        <w:tc>
          <w:tcPr>
            <w:tcW w:w="2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25,114</w:t>
            </w:r>
          </w:p>
        </w:tc>
        <w:tc>
          <w:tcPr>
            <w:tcW w:w="2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27,740</w:t>
            </w:r>
          </w:p>
        </w:tc>
        <w:tc>
          <w:tcPr>
            <w:tcW w:w="0" w:type="dxa"/>
            <w:vAlign w:val="bottom"/>
          </w:tcPr>
          <w:p>
            <w:pPr>
              <w:spacing w:after="0"/>
              <w:rPr>
                <w:sz w:val="1"/>
                <w:szCs w:val="1"/>
                <w:color w:val="auto"/>
              </w:rPr>
            </w:pPr>
          </w:p>
        </w:tc>
      </w:tr>
      <w:tr>
        <w:trPr>
          <w:trHeight w:val="180"/>
        </w:trPr>
        <w:tc>
          <w:tcPr>
            <w:tcW w:w="408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Gross profit</w:t>
            </w:r>
          </w:p>
        </w:tc>
        <w:tc>
          <w:tcPr>
            <w:tcW w:w="520" w:type="dxa"/>
            <w:vAlign w:val="bottom"/>
          </w:tcPr>
          <w:p>
            <w:pPr>
              <w:ind w:left="320"/>
              <w:spacing w:after="0"/>
              <w:rPr>
                <w:sz w:val="20"/>
                <w:szCs w:val="20"/>
                <w:color w:val="auto"/>
              </w:rPr>
            </w:pPr>
            <w:r>
              <w:rPr>
                <w:rFonts w:ascii="Courier New" w:cs="Courier New" w:eastAsia="Courier New" w:hAnsi="Courier New"/>
                <w:sz w:val="3"/>
                <w:szCs w:val="3"/>
                <w:color w:val="auto"/>
                <w:w w:val="83"/>
              </w:rPr>
              <w:t>------------</w:t>
            </w: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4,884</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6,111</w:t>
            </w:r>
          </w:p>
        </w:tc>
        <w:tc>
          <w:tcPr>
            <w:tcW w:w="280" w:type="dxa"/>
            <w:vAlign w:val="bottom"/>
          </w:tcPr>
          <w:p>
            <w:pPr>
              <w:spacing w:after="0"/>
              <w:rPr>
                <w:sz w:val="22"/>
                <w:szCs w:val="22"/>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10,273</w:t>
            </w:r>
          </w:p>
        </w:tc>
        <w:tc>
          <w:tcPr>
            <w:tcW w:w="2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12,820</w:t>
            </w:r>
          </w:p>
        </w:tc>
        <w:tc>
          <w:tcPr>
            <w:tcW w:w="0" w:type="dxa"/>
            <w:vAlign w:val="bottom"/>
          </w:tcPr>
          <w:p>
            <w:pPr>
              <w:spacing w:after="0"/>
              <w:rPr>
                <w:sz w:val="1"/>
                <w:szCs w:val="1"/>
                <w:color w:val="auto"/>
              </w:rPr>
            </w:pPr>
          </w:p>
        </w:tc>
      </w:tr>
      <w:tr>
        <w:trPr>
          <w:trHeight w:val="277"/>
        </w:trPr>
        <w:tc>
          <w:tcPr>
            <w:tcW w:w="40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520" w:type="dxa"/>
            <w:vAlign w:val="bottom"/>
          </w:tcPr>
          <w:p>
            <w:pPr>
              <w:spacing w:after="0"/>
              <w:rPr>
                <w:sz w:val="24"/>
                <w:szCs w:val="24"/>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1,027</w:t>
            </w:r>
          </w:p>
        </w:tc>
        <w:tc>
          <w:tcPr>
            <w:tcW w:w="280" w:type="dxa"/>
            <w:vAlign w:val="bottom"/>
          </w:tcPr>
          <w:p>
            <w:pPr>
              <w:spacing w:after="0"/>
              <w:rPr>
                <w:sz w:val="24"/>
                <w:szCs w:val="24"/>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1,530</w:t>
            </w:r>
          </w:p>
        </w:tc>
        <w:tc>
          <w:tcPr>
            <w:tcW w:w="280" w:type="dxa"/>
            <w:vAlign w:val="bottom"/>
          </w:tcPr>
          <w:p>
            <w:pPr>
              <w:spacing w:after="0"/>
              <w:rPr>
                <w:sz w:val="24"/>
                <w:szCs w:val="24"/>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2,245</w:t>
            </w:r>
          </w:p>
        </w:tc>
        <w:tc>
          <w:tcPr>
            <w:tcW w:w="28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2,834</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Depreciation</w:t>
            </w:r>
          </w:p>
        </w:tc>
        <w:tc>
          <w:tcPr>
            <w:tcW w:w="52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1,231</w:t>
            </w:r>
          </w:p>
        </w:tc>
        <w:tc>
          <w:tcPr>
            <w:tcW w:w="28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1,179</w:t>
            </w:r>
          </w:p>
        </w:tc>
        <w:tc>
          <w:tcPr>
            <w:tcW w:w="2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2,475</w:t>
            </w:r>
          </w:p>
        </w:tc>
        <w:tc>
          <w:tcPr>
            <w:tcW w:w="2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2,338</w:t>
            </w:r>
          </w:p>
        </w:tc>
        <w:tc>
          <w:tcPr>
            <w:tcW w:w="0" w:type="dxa"/>
            <w:vAlign w:val="bottom"/>
          </w:tcPr>
          <w:p>
            <w:pPr>
              <w:spacing w:after="0"/>
              <w:rPr>
                <w:sz w:val="1"/>
                <w:szCs w:val="1"/>
                <w:color w:val="auto"/>
              </w:rPr>
            </w:pPr>
          </w:p>
        </w:tc>
      </w:tr>
      <w:tr>
        <w:trPr>
          <w:trHeight w:val="180"/>
        </w:trPr>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Income from operations</w:t>
            </w:r>
          </w:p>
        </w:tc>
        <w:tc>
          <w:tcPr>
            <w:tcW w:w="520" w:type="dxa"/>
            <w:vAlign w:val="bottom"/>
          </w:tcPr>
          <w:p>
            <w:pPr>
              <w:ind w:left="320"/>
              <w:spacing w:after="0"/>
              <w:rPr>
                <w:sz w:val="20"/>
                <w:szCs w:val="20"/>
                <w:color w:val="auto"/>
              </w:rPr>
            </w:pPr>
            <w:r>
              <w:rPr>
                <w:rFonts w:ascii="Courier New" w:cs="Courier New" w:eastAsia="Courier New" w:hAnsi="Courier New"/>
                <w:sz w:val="3"/>
                <w:szCs w:val="3"/>
                <w:color w:val="auto"/>
                <w:w w:val="83"/>
              </w:rPr>
              <w:t>------------</w:t>
            </w: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2,626</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3,402</w:t>
            </w:r>
          </w:p>
        </w:tc>
        <w:tc>
          <w:tcPr>
            <w:tcW w:w="280" w:type="dxa"/>
            <w:vAlign w:val="bottom"/>
          </w:tcPr>
          <w:p>
            <w:pPr>
              <w:spacing w:after="0"/>
              <w:rPr>
                <w:sz w:val="22"/>
                <w:szCs w:val="22"/>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5,553</w:t>
            </w:r>
          </w:p>
        </w:tc>
        <w:tc>
          <w:tcPr>
            <w:tcW w:w="280" w:type="dxa"/>
            <w:vAlign w:val="bottom"/>
          </w:tcPr>
          <w:p>
            <w:pPr>
              <w:spacing w:after="0"/>
              <w:rPr>
                <w:sz w:val="22"/>
                <w:szCs w:val="22"/>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7,648</w:t>
            </w:r>
          </w:p>
        </w:tc>
        <w:tc>
          <w:tcPr>
            <w:tcW w:w="0" w:type="dxa"/>
            <w:vAlign w:val="bottom"/>
          </w:tcPr>
          <w:p>
            <w:pPr>
              <w:spacing w:after="0"/>
              <w:rPr>
                <w:sz w:val="1"/>
                <w:szCs w:val="1"/>
                <w:color w:val="auto"/>
              </w:rPr>
            </w:pPr>
          </w:p>
        </w:tc>
      </w:tr>
      <w:tr>
        <w:trPr>
          <w:trHeight w:val="277"/>
        </w:trPr>
        <w:tc>
          <w:tcPr>
            <w:tcW w:w="40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520" w:type="dxa"/>
            <w:vAlign w:val="bottom"/>
          </w:tcPr>
          <w:p>
            <w:pPr>
              <w:spacing w:after="0"/>
              <w:rPr>
                <w:sz w:val="24"/>
                <w:szCs w:val="24"/>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w:t>
            </w:r>
          </w:p>
        </w:tc>
        <w:tc>
          <w:tcPr>
            <w:tcW w:w="280" w:type="dxa"/>
            <w:vAlign w:val="bottom"/>
          </w:tcPr>
          <w:p>
            <w:pPr>
              <w:spacing w:after="0"/>
              <w:rPr>
                <w:sz w:val="24"/>
                <w:szCs w:val="24"/>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w:t>
            </w:r>
          </w:p>
        </w:tc>
        <w:tc>
          <w:tcPr>
            <w:tcW w:w="280" w:type="dxa"/>
            <w:vAlign w:val="bottom"/>
          </w:tcPr>
          <w:p>
            <w:pPr>
              <w:spacing w:after="0"/>
              <w:rPr>
                <w:sz w:val="24"/>
                <w:szCs w:val="24"/>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9</w:t>
            </w:r>
          </w:p>
        </w:tc>
        <w:tc>
          <w:tcPr>
            <w:tcW w:w="28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0"/>
        </w:trPr>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Income before provision for income taxes</w:t>
            </w:r>
          </w:p>
        </w:tc>
        <w:tc>
          <w:tcPr>
            <w:tcW w:w="520" w:type="dxa"/>
            <w:vAlign w:val="bottom"/>
          </w:tcPr>
          <w:p>
            <w:pPr>
              <w:ind w:left="320"/>
              <w:spacing w:after="0"/>
              <w:rPr>
                <w:sz w:val="20"/>
                <w:szCs w:val="20"/>
                <w:color w:val="auto"/>
              </w:rPr>
            </w:pPr>
            <w:r>
              <w:rPr>
                <w:rFonts w:ascii="Courier New" w:cs="Courier New" w:eastAsia="Courier New" w:hAnsi="Courier New"/>
                <w:sz w:val="3"/>
                <w:szCs w:val="3"/>
                <w:color w:val="auto"/>
                <w:w w:val="83"/>
              </w:rPr>
              <w:t>------------</w:t>
            </w: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2,618</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3,384</w:t>
            </w:r>
          </w:p>
        </w:tc>
        <w:tc>
          <w:tcPr>
            <w:tcW w:w="2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5,544</w:t>
            </w:r>
          </w:p>
        </w:tc>
        <w:tc>
          <w:tcPr>
            <w:tcW w:w="2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7,615</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52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903</w:t>
            </w:r>
          </w:p>
        </w:tc>
        <w:tc>
          <w:tcPr>
            <w:tcW w:w="28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1,060</w:t>
            </w:r>
          </w:p>
        </w:tc>
        <w:tc>
          <w:tcPr>
            <w:tcW w:w="280" w:type="dxa"/>
            <w:vAlign w:val="bottom"/>
          </w:tcPr>
          <w:p>
            <w:pPr>
              <w:spacing w:after="0"/>
              <w:rPr>
                <w:sz w:val="15"/>
                <w:szCs w:val="15"/>
                <w:color w:val="auto"/>
              </w:rPr>
            </w:pP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1,867</w:t>
            </w:r>
          </w:p>
        </w:tc>
        <w:tc>
          <w:tcPr>
            <w:tcW w:w="28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2,624</w:t>
            </w:r>
          </w:p>
        </w:tc>
        <w:tc>
          <w:tcPr>
            <w:tcW w:w="0" w:type="dxa"/>
            <w:vAlign w:val="bottom"/>
          </w:tcPr>
          <w:p>
            <w:pPr>
              <w:spacing w:after="0"/>
              <w:rPr>
                <w:sz w:val="1"/>
                <w:szCs w:val="1"/>
                <w:color w:val="auto"/>
              </w:rPr>
            </w:pPr>
          </w:p>
        </w:tc>
      </w:tr>
      <w:tr>
        <w:trPr>
          <w:trHeight w:val="180"/>
        </w:trPr>
        <w:tc>
          <w:tcPr>
            <w:tcW w:w="408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Net income</w:t>
            </w:r>
          </w:p>
        </w:tc>
        <w:tc>
          <w:tcPr>
            <w:tcW w:w="520" w:type="dxa"/>
            <w:vAlign w:val="bottom"/>
            <w:vMerge w:val="restart"/>
          </w:tcPr>
          <w:p>
            <w:pPr>
              <w:ind w:left="320"/>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1,715</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4080" w:type="dxa"/>
            <w:vAlign w:val="bottom"/>
            <w:vMerge w:val="continue"/>
          </w:tcPr>
          <w:p>
            <w:pPr>
              <w:spacing w:after="0"/>
              <w:rPr>
                <w:sz w:val="24"/>
                <w:szCs w:val="24"/>
                <w:color w:val="auto"/>
              </w:rPr>
            </w:pPr>
          </w:p>
        </w:tc>
        <w:tc>
          <w:tcPr>
            <w:tcW w:w="5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2,324</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3,677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4,991</w:t>
            </w:r>
          </w:p>
        </w:tc>
        <w:tc>
          <w:tcPr>
            <w:tcW w:w="0" w:type="dxa"/>
            <w:vAlign w:val="bottom"/>
          </w:tcPr>
          <w:p>
            <w:pPr>
              <w:spacing w:after="0"/>
              <w:rPr>
                <w:sz w:val="1"/>
                <w:szCs w:val="1"/>
                <w:color w:val="auto"/>
              </w:rPr>
            </w:pPr>
          </w:p>
        </w:tc>
      </w:tr>
      <w:tr>
        <w:trPr>
          <w:trHeight w:val="262"/>
        </w:trPr>
        <w:tc>
          <w:tcPr>
            <w:tcW w:w="4080" w:type="dxa"/>
            <w:vAlign w:val="bottom"/>
          </w:tcPr>
          <w:p>
            <w:pPr>
              <w:spacing w:after="0"/>
              <w:rPr>
                <w:sz w:val="20"/>
                <w:szCs w:val="20"/>
                <w:color w:val="auto"/>
              </w:rPr>
            </w:pPr>
            <w:r>
              <w:rPr>
                <w:rFonts w:ascii="Courier New" w:cs="Courier New" w:eastAsia="Courier New" w:hAnsi="Courier New"/>
                <w:sz w:val="16"/>
                <w:szCs w:val="16"/>
                <w:color w:val="auto"/>
              </w:rPr>
              <w:t>Other comprehensive income:</w:t>
            </w:r>
          </w:p>
        </w:tc>
        <w:tc>
          <w:tcPr>
            <w:tcW w:w="520" w:type="dxa"/>
            <w:vAlign w:val="bottom"/>
          </w:tcPr>
          <w:p>
            <w:pPr>
              <w:spacing w:after="0"/>
              <w:rPr>
                <w:sz w:val="22"/>
                <w:szCs w:val="22"/>
                <w:color w:val="auto"/>
              </w:rPr>
            </w:pP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(426)</w:t>
            </w:r>
          </w:p>
        </w:tc>
        <w:tc>
          <w:tcPr>
            <w:tcW w:w="280" w:type="dxa"/>
            <w:vAlign w:val="bottom"/>
          </w:tcPr>
          <w:p>
            <w:pPr>
              <w:spacing w:after="0"/>
              <w:rPr>
                <w:sz w:val="22"/>
                <w:szCs w:val="22"/>
                <w:color w:val="auto"/>
              </w:rPr>
            </w:pPr>
          </w:p>
        </w:tc>
        <w:tc>
          <w:tcPr>
            <w:tcW w:w="11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72</w:t>
            </w:r>
          </w:p>
        </w:tc>
        <w:tc>
          <w:tcPr>
            <w:tcW w:w="280" w:type="dxa"/>
            <w:vAlign w:val="bottom"/>
          </w:tcPr>
          <w:p>
            <w:pPr>
              <w:spacing w:after="0"/>
              <w:rPr>
                <w:sz w:val="22"/>
                <w:szCs w:val="22"/>
                <w:color w:val="auto"/>
              </w:rPr>
            </w:pPr>
          </w:p>
        </w:tc>
        <w:tc>
          <w:tcPr>
            <w:tcW w:w="12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(1,287)</w:t>
            </w:r>
          </w:p>
        </w:tc>
        <w:tc>
          <w:tcPr>
            <w:tcW w:w="28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(189)</w:t>
            </w:r>
          </w:p>
        </w:tc>
        <w:tc>
          <w:tcPr>
            <w:tcW w:w="0" w:type="dxa"/>
            <w:vAlign w:val="bottom"/>
          </w:tcPr>
          <w:p>
            <w:pPr>
              <w:spacing w:after="0"/>
              <w:rPr>
                <w:sz w:val="1"/>
                <w:szCs w:val="1"/>
                <w:color w:val="auto"/>
              </w:rPr>
            </w:pPr>
          </w:p>
        </w:tc>
      </w:tr>
      <w:tr>
        <w:trPr>
          <w:trHeight w:val="180"/>
        </w:trPr>
        <w:tc>
          <w:tcPr>
            <w:tcW w:w="4080" w:type="dxa"/>
            <w:vAlign w:val="bottom"/>
          </w:tcPr>
          <w:p>
            <w:pPr>
              <w:ind w:left="460"/>
              <w:spacing w:after="0"/>
              <w:rPr>
                <w:sz w:val="20"/>
                <w:szCs w:val="20"/>
                <w:color w:val="auto"/>
              </w:rPr>
            </w:pPr>
            <w:r>
              <w:rPr>
                <w:rFonts w:ascii="Courier New" w:cs="Courier New" w:eastAsia="Courier New" w:hAnsi="Courier New"/>
                <w:sz w:val="16"/>
                <w:szCs w:val="16"/>
                <w:color w:val="auto"/>
              </w:rPr>
              <w:t>Foreign currency translation</w:t>
            </w:r>
          </w:p>
        </w:tc>
        <w:tc>
          <w:tcPr>
            <w:tcW w:w="5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Other comprehensive income</w:t>
            </w:r>
          </w:p>
        </w:tc>
        <w:tc>
          <w:tcPr>
            <w:tcW w:w="520" w:type="dxa"/>
            <w:vAlign w:val="bottom"/>
          </w:tcPr>
          <w:p>
            <w:pPr>
              <w:ind w:left="320"/>
              <w:spacing w:after="0"/>
              <w:rPr>
                <w:sz w:val="20"/>
                <w:szCs w:val="20"/>
                <w:color w:val="auto"/>
              </w:rPr>
            </w:pPr>
            <w:r>
              <w:rPr>
                <w:rFonts w:ascii="Courier New" w:cs="Courier New" w:eastAsia="Courier New" w:hAnsi="Courier New"/>
                <w:sz w:val="3"/>
                <w:szCs w:val="3"/>
                <w:color w:val="auto"/>
                <w:w w:val="83"/>
              </w:rPr>
              <w:t>------------</w:t>
            </w:r>
          </w:p>
        </w:tc>
        <w:tc>
          <w:tcPr>
            <w:tcW w:w="116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(426)</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0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72</w:t>
            </w:r>
          </w:p>
        </w:tc>
        <w:tc>
          <w:tcPr>
            <w:tcW w:w="280" w:type="dxa"/>
            <w:vAlign w:val="bottom"/>
          </w:tcPr>
          <w:p>
            <w:pPr>
              <w:spacing w:after="0"/>
              <w:rPr>
                <w:sz w:val="15"/>
                <w:szCs w:val="15"/>
                <w:color w:val="auto"/>
              </w:rPr>
            </w:pP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(1,287)</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08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Comprehensive income</w:t>
            </w:r>
          </w:p>
        </w:tc>
        <w:tc>
          <w:tcPr>
            <w:tcW w:w="520" w:type="dxa"/>
            <w:vAlign w:val="bottom"/>
            <w:vMerge w:val="restart"/>
          </w:tcPr>
          <w:p>
            <w:pPr>
              <w:ind w:left="320"/>
              <w:spacing w:after="0"/>
              <w:rPr>
                <w:sz w:val="20"/>
                <w:szCs w:val="20"/>
                <w:color w:val="auto"/>
              </w:rPr>
            </w:pPr>
            <w:r>
              <w:rPr>
                <w:rFonts w:ascii="Courier New" w:cs="Courier New" w:eastAsia="Courier New" w:hAnsi="Courier New"/>
                <w:sz w:val="6"/>
                <w:szCs w:val="6"/>
                <w:color w:val="auto"/>
                <w:w w:val="74"/>
                <w:vertAlign w:val="subscript"/>
              </w:rPr>
              <w:t>$</w:t>
            </w:r>
            <w:r>
              <w:rPr>
                <w:rFonts w:ascii="Courier New" w:cs="Courier New" w:eastAsia="Courier New" w:hAnsi="Courier New"/>
                <w:sz w:val="3"/>
                <w:szCs w:val="3"/>
                <w:color w:val="auto"/>
                <w:w w:val="74"/>
              </w:rPr>
              <w:t>------------</w:t>
            </w: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rPr>
              <w:t>1,289</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2,396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2,390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4,802</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Net income per common share</w:t>
            </w:r>
          </w:p>
        </w:tc>
        <w:tc>
          <w:tcPr>
            <w:tcW w:w="520" w:type="dxa"/>
            <w:vAlign w:val="bottom"/>
          </w:tcPr>
          <w:p>
            <w:pPr>
              <w:ind w:left="32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0.12</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0.16</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0.25</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0.34</w:t>
            </w: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08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520" w:type="dxa"/>
            <w:vAlign w:val="bottom"/>
          </w:tcPr>
          <w:p>
            <w:pPr>
              <w:spacing w:after="0"/>
              <w:rPr>
                <w:sz w:val="24"/>
                <w:szCs w:val="24"/>
                <w:color w:val="auto"/>
              </w:rPr>
            </w:pPr>
          </w:p>
        </w:tc>
        <w:tc>
          <w:tcPr>
            <w:tcW w:w="1160" w:type="dxa"/>
            <w:vAlign w:val="bottom"/>
            <w:vMerge w:val="restart"/>
          </w:tcPr>
          <w:p>
            <w:pPr>
              <w:jc w:val="right"/>
              <w:ind w:right="142"/>
              <w:spacing w:after="0"/>
              <w:rPr>
                <w:sz w:val="20"/>
                <w:szCs w:val="20"/>
                <w:color w:val="auto"/>
              </w:rPr>
            </w:pPr>
            <w:r>
              <w:rPr>
                <w:rFonts w:ascii="Courier New" w:cs="Courier New" w:eastAsia="Courier New" w:hAnsi="Courier New"/>
                <w:sz w:val="16"/>
                <w:szCs w:val="16"/>
                <w:color w:val="auto"/>
                <w:w w:val="95"/>
              </w:rPr>
              <w:t>14,807,850</w:t>
            </w:r>
          </w:p>
        </w:tc>
        <w:tc>
          <w:tcPr>
            <w:tcW w:w="280" w:type="dxa"/>
            <w:vAlign w:val="bottom"/>
          </w:tcPr>
          <w:p>
            <w:pPr>
              <w:spacing w:after="0"/>
              <w:rPr>
                <w:sz w:val="24"/>
                <w:szCs w:val="24"/>
                <w:color w:val="auto"/>
              </w:rPr>
            </w:pPr>
          </w:p>
        </w:tc>
        <w:tc>
          <w:tcPr>
            <w:tcW w:w="114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14,827,626</w:t>
            </w:r>
          </w:p>
        </w:tc>
        <w:tc>
          <w:tcPr>
            <w:tcW w:w="280" w:type="dxa"/>
            <w:vAlign w:val="bottom"/>
          </w:tcPr>
          <w:p>
            <w:pPr>
              <w:spacing w:after="0"/>
              <w:rPr>
                <w:sz w:val="24"/>
                <w:szCs w:val="24"/>
                <w:color w:val="auto"/>
              </w:rPr>
            </w:pPr>
          </w:p>
        </w:tc>
        <w:tc>
          <w:tcPr>
            <w:tcW w:w="12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w w:val="99"/>
              </w:rPr>
              <w:t>14,805,688</w:t>
            </w:r>
          </w:p>
        </w:tc>
        <w:tc>
          <w:tcPr>
            <w:tcW w:w="280" w:type="dxa"/>
            <w:vAlign w:val="bottom"/>
          </w:tcPr>
          <w:p>
            <w:pPr>
              <w:spacing w:after="0"/>
              <w:rPr>
                <w:sz w:val="24"/>
                <w:szCs w:val="24"/>
                <w:color w:val="auto"/>
              </w:rPr>
            </w:pPr>
          </w:p>
        </w:tc>
        <w:tc>
          <w:tcPr>
            <w:tcW w:w="108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9"/>
              </w:rPr>
              <w:t>14,810,770</w:t>
            </w:r>
          </w:p>
        </w:tc>
        <w:tc>
          <w:tcPr>
            <w:tcW w:w="0" w:type="dxa"/>
            <w:vAlign w:val="bottom"/>
          </w:tcPr>
          <w:p>
            <w:pPr>
              <w:spacing w:after="0"/>
              <w:rPr>
                <w:sz w:val="1"/>
                <w:szCs w:val="1"/>
                <w:color w:val="auto"/>
              </w:rPr>
            </w:pPr>
          </w:p>
        </w:tc>
      </w:tr>
      <w:tr>
        <w:trPr>
          <w:trHeight w:val="180"/>
        </w:trPr>
        <w:tc>
          <w:tcPr>
            <w:tcW w:w="4080" w:type="dxa"/>
            <w:vAlign w:val="bottom"/>
          </w:tcPr>
          <w:p>
            <w:pPr>
              <w:ind w:left="180"/>
              <w:spacing w:after="0"/>
              <w:rPr>
                <w:sz w:val="20"/>
                <w:szCs w:val="20"/>
                <w:color w:val="auto"/>
              </w:rPr>
            </w:pPr>
            <w:r>
              <w:rPr>
                <w:rFonts w:ascii="Courier New" w:cs="Courier New" w:eastAsia="Courier New" w:hAnsi="Courier New"/>
                <w:sz w:val="16"/>
                <w:szCs w:val="16"/>
                <w:color w:val="auto"/>
              </w:rPr>
              <w:t>shares outstanding</w:t>
            </w:r>
          </w:p>
        </w:tc>
        <w:tc>
          <w:tcPr>
            <w:tcW w:w="5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80" w:type="dxa"/>
            <w:vAlign w:val="bottom"/>
          </w:tcPr>
          <w:p>
            <w:pPr>
              <w:spacing w:after="0"/>
              <w:rPr>
                <w:sz w:val="15"/>
                <w:szCs w:val="15"/>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168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11" w:right="1440" w:bottom="1440" w:gutter="0" w:footer="0" w:header="0"/>
        </w:sectPr>
      </w:pPr>
    </w:p>
    <w:bookmarkStart w:id="3" w:name="page4"/>
    <w:bookmarkEnd w:id="3"/>
    <w:p>
      <w:pPr>
        <w:jc w:val="center"/>
        <w:ind w:right="2719"/>
        <w:spacing w:after="0"/>
        <w:rPr>
          <w:sz w:val="20"/>
          <w:szCs w:val="20"/>
          <w:color w:val="auto"/>
        </w:rPr>
      </w:pPr>
      <w:r>
        <w:rPr>
          <w:rFonts w:ascii="Courier New" w:cs="Courier New" w:eastAsia="Courier New" w:hAnsi="Courier New"/>
          <w:sz w:val="16"/>
          <w:szCs w:val="16"/>
          <w:color w:val="auto"/>
        </w:rPr>
        <w:t>NN BALL &amp; ROLLER, INC.</w:t>
      </w:r>
    </w:p>
    <w:p>
      <w:pPr>
        <w:spacing w:after="0" w:line="27"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CONDENSED BALANCE SHEETS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30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JUNE 30,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THOUSANDS OF  DOLLARS</w:t>
            </w:r>
          </w:p>
        </w:tc>
        <w:tc>
          <w:tcPr>
            <w:tcW w:w="30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740" w:type="dxa"/>
            <w:vAlign w:val="bottom"/>
            <w:vMerge w:val="continue"/>
          </w:tcPr>
          <w:p>
            <w:pPr>
              <w:spacing w:after="0"/>
              <w:rPr>
                <w:sz w:val="18"/>
                <w:szCs w:val="18"/>
                <w:color w:val="auto"/>
              </w:rPr>
            </w:pPr>
          </w:p>
        </w:tc>
        <w:tc>
          <w:tcPr>
            <w:tcW w:w="30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(UNAUDITED)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6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$ 5,449</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$ 1,430</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Cash and cash equivalents</w:t>
            </w:r>
          </w:p>
        </w:tc>
        <w:tc>
          <w:tcPr>
            <w:tcW w:w="16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Accounts receivable, net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13,946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11,643</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Inventories, net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10,371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14,425</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assets</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1,248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1,073</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16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w w:val="87"/>
              </w:rPr>
              <w:t>-------</w:t>
            </w:r>
            <w:r>
              <w:rPr>
                <w:rFonts w:ascii="Courier New" w:cs="Courier New" w:eastAsia="Courier New" w:hAnsi="Courier New"/>
                <w:sz w:val="31"/>
                <w:szCs w:val="31"/>
                <w:color w:val="auto"/>
                <w:w w:val="87"/>
                <w:vertAlign w:val="subscript"/>
              </w:rPr>
              <w:t>31,014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502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28,571</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36,010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38,289</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assets</w:t>
            </w:r>
          </w:p>
        </w:tc>
        <w:tc>
          <w:tcPr>
            <w:tcW w:w="1680" w:type="dxa"/>
            <w:vAlign w:val="bottom"/>
            <w:vMerge w:val="restart"/>
          </w:tcPr>
          <w:p>
            <w:pPr>
              <w:jc w:val="right"/>
              <w:ind w:right="342"/>
              <w:spacing w:after="0"/>
              <w:rPr>
                <w:sz w:val="20"/>
                <w:szCs w:val="20"/>
                <w:color w:val="auto"/>
              </w:rPr>
            </w:pPr>
            <w:r>
              <w:rPr>
                <w:rFonts w:ascii="Courier New" w:cs="Courier New" w:eastAsia="Courier New" w:hAnsi="Courier New"/>
                <w:sz w:val="31"/>
                <w:szCs w:val="31"/>
                <w:color w:val="auto"/>
                <w:w w:val="80"/>
                <w:vertAlign w:val="subscript"/>
              </w:rPr>
              <w:t>$</w:t>
            </w:r>
            <w:r>
              <w:rPr>
                <w:rFonts w:ascii="Courier New" w:cs="Courier New" w:eastAsia="Courier New" w:hAnsi="Courier New"/>
                <w:sz w:val="16"/>
                <w:szCs w:val="16"/>
                <w:color w:val="auto"/>
                <w:w w:val="80"/>
              </w:rPr>
              <w:t>-------</w:t>
            </w:r>
            <w:r>
              <w:rPr>
                <w:rFonts w:ascii="Courier New" w:cs="Courier New" w:eastAsia="Courier New" w:hAnsi="Courier New"/>
                <w:sz w:val="31"/>
                <w:szCs w:val="31"/>
                <w:color w:val="auto"/>
                <w:w w:val="80"/>
                <w:vertAlign w:val="subscript"/>
              </w:rPr>
              <w:t>67,024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5020" w:type="dxa"/>
            <w:vAlign w:val="bottom"/>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$66,860</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0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0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6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$ 4,050</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$ 4,451</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Accounts payable</w:t>
            </w:r>
          </w:p>
        </w:tc>
        <w:tc>
          <w:tcPr>
            <w:tcW w:w="16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Accrued vacation expense</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662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431</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705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828</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Income taxes payable</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334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786</w:t>
            </w:r>
          </w:p>
        </w:tc>
        <w:tc>
          <w:tcPr>
            <w:tcW w:w="0" w:type="dxa"/>
            <w:vAlign w:val="bottom"/>
          </w:tcPr>
          <w:p>
            <w:pPr>
              <w:spacing w:after="0"/>
              <w:rPr>
                <w:sz w:val="1"/>
                <w:szCs w:val="1"/>
                <w:color w:val="auto"/>
              </w:rPr>
            </w:pPr>
          </w:p>
        </w:tc>
      </w:tr>
      <w:tr>
        <w:trPr>
          <w:trHeight w:val="180"/>
        </w:trPr>
        <w:tc>
          <w:tcPr>
            <w:tcW w:w="5020" w:type="dxa"/>
            <w:vAlign w:val="bottom"/>
          </w:tcPr>
          <w:p>
            <w:pPr>
              <w:ind w:left="180"/>
              <w:spacing w:after="0"/>
              <w:rPr>
                <w:sz w:val="20"/>
                <w:szCs w:val="20"/>
                <w:color w:val="auto"/>
              </w:rPr>
            </w:pPr>
            <w:r>
              <w:rPr>
                <w:rFonts w:ascii="Courier New" w:cs="Courier New" w:eastAsia="Courier New" w:hAnsi="Courier New"/>
                <w:sz w:val="16"/>
                <w:szCs w:val="16"/>
                <w:color w:val="auto"/>
              </w:rPr>
              <w:t>Other current liabilities</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2,029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1,142</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16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w w:val="95"/>
              </w:rPr>
              <w:t>-------</w:t>
            </w:r>
            <w:r>
              <w:rPr>
                <w:rFonts w:ascii="Courier New" w:cs="Courier New" w:eastAsia="Courier New" w:hAnsi="Courier New"/>
                <w:sz w:val="31"/>
                <w:szCs w:val="31"/>
                <w:color w:val="auto"/>
                <w:w w:val="95"/>
                <w:vertAlign w:val="subscript"/>
              </w:rPr>
              <w:t>7,780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502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7,638</w:t>
            </w:r>
          </w:p>
        </w:tc>
        <w:tc>
          <w:tcPr>
            <w:tcW w:w="0" w:type="dxa"/>
            <w:vAlign w:val="bottom"/>
          </w:tcPr>
          <w:p>
            <w:pPr>
              <w:spacing w:after="0"/>
              <w:rPr>
                <w:sz w:val="1"/>
                <w:szCs w:val="1"/>
                <w:color w:val="auto"/>
              </w:rPr>
            </w:pPr>
          </w:p>
        </w:tc>
      </w:tr>
      <w:tr>
        <w:trPr>
          <w:trHeight w:val="262"/>
        </w:trPr>
        <w:tc>
          <w:tcPr>
            <w:tcW w:w="502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2,980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2,980</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16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w w:val="87"/>
              </w:rPr>
              <w:t>-------</w:t>
            </w:r>
            <w:r>
              <w:rPr>
                <w:rFonts w:ascii="Courier New" w:cs="Courier New" w:eastAsia="Courier New" w:hAnsi="Courier New"/>
                <w:sz w:val="31"/>
                <w:szCs w:val="31"/>
                <w:color w:val="auto"/>
                <w:w w:val="87"/>
                <w:vertAlign w:val="subscript"/>
              </w:rPr>
              <w:t>10,760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9"/>
        </w:trPr>
        <w:tc>
          <w:tcPr>
            <w:tcW w:w="502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10,618</w:t>
            </w:r>
          </w:p>
        </w:tc>
        <w:tc>
          <w:tcPr>
            <w:tcW w:w="0" w:type="dxa"/>
            <w:vAlign w:val="bottom"/>
          </w:tcPr>
          <w:p>
            <w:pPr>
              <w:spacing w:after="0"/>
              <w:rPr>
                <w:sz w:val="1"/>
                <w:szCs w:val="1"/>
                <w:color w:val="auto"/>
              </w:rPr>
            </w:pPr>
          </w:p>
        </w:tc>
      </w:tr>
      <w:tr>
        <w:trPr>
          <w:trHeight w:val="262"/>
        </w:trPr>
        <w:tc>
          <w:tcPr>
            <w:tcW w:w="5020" w:type="dxa"/>
            <w:vAlign w:val="bottom"/>
          </w:tcPr>
          <w:p>
            <w:pPr>
              <w:ind w:left="460"/>
              <w:spacing w:after="0"/>
              <w:rPr>
                <w:sz w:val="20"/>
                <w:szCs w:val="20"/>
                <w:color w:val="auto"/>
              </w:rPr>
            </w:pPr>
            <w:r>
              <w:rPr>
                <w:rFonts w:ascii="Courier New" w:cs="Courier New" w:eastAsia="Courier New" w:hAnsi="Courier New"/>
                <w:sz w:val="16"/>
                <w:szCs w:val="16"/>
                <w:color w:val="auto"/>
              </w:rPr>
              <w:t>Total stockholders' equity</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56,264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56,242</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5020" w:type="dxa"/>
            <w:vAlign w:val="bottom"/>
          </w:tcPr>
          <w:p>
            <w:pPr>
              <w:ind w:left="46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$67,024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$66,860</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5020" w:type="dxa"/>
            <w:vAlign w:val="bottom"/>
          </w:tcPr>
          <w:p>
            <w:pPr>
              <w:spacing w:after="0"/>
              <w:rPr>
                <w:sz w:val="22"/>
                <w:szCs w:val="22"/>
                <w:color w:val="auto"/>
              </w:rPr>
            </w:pPr>
          </w:p>
        </w:tc>
        <w:tc>
          <w:tcPr>
            <w:tcW w:w="16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11" w:right="1440" w:bottom="1440" w:gutter="0" w:footer="0" w:header="0"/>
        </w:sectPr>
      </w:pPr>
    </w:p>
    <w:bookmarkStart w:id="4" w:name="page5"/>
    <w:bookmarkEnd w:id="4"/>
    <w:p>
      <w:pPr>
        <w:jc w:val="center"/>
        <w:ind w:right="4020"/>
        <w:spacing w:after="0"/>
        <w:rPr>
          <w:sz w:val="20"/>
          <w:szCs w:val="20"/>
          <w:color w:val="auto"/>
        </w:rPr>
      </w:pPr>
      <w:r>
        <w:rPr>
          <w:rFonts w:ascii="Courier New" w:cs="Courier New" w:eastAsia="Courier New" w:hAnsi="Courier New"/>
          <w:sz w:val="16"/>
          <w:szCs w:val="16"/>
          <w:color w:val="auto"/>
        </w:rPr>
        <w:t>NN BALL &amp; ROLLER, INC.</w:t>
      </w:r>
    </w:p>
    <w:p>
      <w:pPr>
        <w:spacing w:after="0" w:line="26"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6"/>
          <w:szCs w:val="16"/>
          <w:color w:val="auto"/>
        </w:rPr>
        <w:t>CONDENSED STATEMENTS OF CHANGES IN STOCKHOLDERS' EQUITY</w:t>
      </w:r>
    </w:p>
    <w:p>
      <w:pPr>
        <w:jc w:val="center"/>
        <w:ind w:right="392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15"/>
                <w:szCs w:val="15"/>
                <w:color w:val="auto"/>
              </w:rPr>
            </w:pPr>
          </w:p>
        </w:tc>
        <w:tc>
          <w:tcPr>
            <w:tcW w:w="3180" w:type="dxa"/>
            <w:vAlign w:val="bottom"/>
            <w:gridSpan w:val="2"/>
            <w:vMerge w:val="restart"/>
          </w:tcPr>
          <w:p>
            <w:pPr>
              <w:ind w:left="1460"/>
              <w:spacing w:after="0"/>
              <w:rPr>
                <w:sz w:val="20"/>
                <w:szCs w:val="20"/>
                <w:color w:val="auto"/>
              </w:rPr>
            </w:pPr>
            <w:r>
              <w:rPr>
                <w:rFonts w:ascii="Courier New" w:cs="Courier New" w:eastAsia="Courier New" w:hAnsi="Courier New"/>
                <w:sz w:val="16"/>
                <w:szCs w:val="16"/>
                <w:color w:val="auto"/>
              </w:rPr>
              <w:t>COMMON STOCK</w:t>
            </w:r>
          </w:p>
        </w:tc>
        <w:tc>
          <w:tcPr>
            <w:tcW w:w="146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ADDITIONAL</w:t>
            </w:r>
          </w:p>
        </w:tc>
        <w:tc>
          <w:tcPr>
            <w:tcW w:w="13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RETAINED</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6"/>
              </w:rPr>
              <w:t>ACCUMULATED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tcPr>
          <w:p>
            <w:pPr>
              <w:spacing w:after="0"/>
              <w:rPr>
                <w:sz w:val="15"/>
                <w:szCs w:val="15"/>
                <w:color w:val="auto"/>
              </w:rPr>
            </w:pPr>
          </w:p>
        </w:tc>
        <w:tc>
          <w:tcPr>
            <w:tcW w:w="3180" w:type="dxa"/>
            <w:vAlign w:val="bottom"/>
            <w:gridSpan w:val="2"/>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5"/>
              </w:rPr>
              <w:t>OTHER</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60" w:type="dxa"/>
            <w:vAlign w:val="bottom"/>
            <w:vMerge w:val="restart"/>
          </w:tcPr>
          <w:p>
            <w:pPr>
              <w:spacing w:after="0"/>
              <w:rPr>
                <w:sz w:val="20"/>
                <w:szCs w:val="20"/>
                <w:color w:val="auto"/>
              </w:rPr>
            </w:pPr>
            <w:r>
              <w:rPr>
                <w:rFonts w:ascii="Courier New" w:cs="Courier New" w:eastAsia="Courier New" w:hAnsi="Courier New"/>
                <w:sz w:val="16"/>
                <w:szCs w:val="16"/>
                <w:color w:val="auto"/>
              </w:rPr>
              <w:t>THOUSANDS OF DOLLARS</w:t>
            </w:r>
          </w:p>
        </w:tc>
        <w:tc>
          <w:tcPr>
            <w:tcW w:w="2160" w:type="dxa"/>
            <w:vAlign w:val="bottom"/>
          </w:tcPr>
          <w:p>
            <w:pPr>
              <w:ind w:left="1080"/>
              <w:spacing w:after="0"/>
              <w:rPr>
                <w:sz w:val="20"/>
                <w:szCs w:val="20"/>
                <w:color w:val="auto"/>
              </w:rPr>
            </w:pPr>
            <w:r>
              <w:rPr>
                <w:rFonts w:ascii="Courier New" w:cs="Courier New" w:eastAsia="Courier New" w:hAnsi="Courier New"/>
                <w:sz w:val="16"/>
                <w:szCs w:val="16"/>
                <w:color w:val="auto"/>
              </w:rPr>
              <w:t>NUMBER</w:t>
            </w:r>
          </w:p>
        </w:tc>
        <w:tc>
          <w:tcPr>
            <w:tcW w:w="10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PAR</w:t>
            </w:r>
          </w:p>
        </w:tc>
        <w:tc>
          <w:tcPr>
            <w:tcW w:w="1460" w:type="dxa"/>
            <w:vAlign w:val="bottom"/>
          </w:tcPr>
          <w:p>
            <w:pPr>
              <w:ind w:left="340"/>
              <w:spacing w:after="0"/>
              <w:rPr>
                <w:sz w:val="20"/>
                <w:szCs w:val="20"/>
                <w:color w:val="auto"/>
              </w:rPr>
            </w:pPr>
            <w:r>
              <w:rPr>
                <w:rFonts w:ascii="Courier New" w:cs="Courier New" w:eastAsia="Courier New" w:hAnsi="Courier New"/>
                <w:sz w:val="16"/>
                <w:szCs w:val="16"/>
                <w:color w:val="auto"/>
              </w:rPr>
              <w:t>PAID IN</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EARNINGS</w:t>
            </w:r>
          </w:p>
        </w:tc>
        <w:tc>
          <w:tcPr>
            <w:tcW w:w="1580" w:type="dxa"/>
            <w:vAlign w:val="bottom"/>
          </w:tcPr>
          <w:p>
            <w:pPr>
              <w:jc w:val="center"/>
              <w:spacing w:after="0"/>
              <w:rPr>
                <w:sz w:val="20"/>
                <w:szCs w:val="20"/>
                <w:color w:val="auto"/>
              </w:rPr>
            </w:pPr>
            <w:r>
              <w:rPr>
                <w:rFonts w:ascii="Courier New" w:cs="Courier New" w:eastAsia="Courier New" w:hAnsi="Courier New"/>
                <w:sz w:val="16"/>
                <w:szCs w:val="16"/>
                <w:color w:val="auto"/>
                <w:w w:val="97"/>
              </w:rPr>
              <w:t>COMPREHENSIVE</w:t>
            </w:r>
          </w:p>
        </w:tc>
        <w:tc>
          <w:tcPr>
            <w:tcW w:w="6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w w:val="91"/>
              </w:rPr>
              <w:t>TOTAL</w:t>
            </w:r>
          </w:p>
        </w:tc>
        <w:tc>
          <w:tcPr>
            <w:tcW w:w="0" w:type="dxa"/>
            <w:vAlign w:val="bottom"/>
          </w:tcPr>
          <w:p>
            <w:pPr>
              <w:spacing w:after="0"/>
              <w:rPr>
                <w:sz w:val="1"/>
                <w:szCs w:val="1"/>
                <w:color w:val="auto"/>
              </w:rPr>
            </w:pPr>
          </w:p>
        </w:tc>
      </w:tr>
      <w:tr>
        <w:trPr>
          <w:trHeight w:val="208"/>
        </w:trPr>
        <w:tc>
          <w:tcPr>
            <w:tcW w:w="2860" w:type="dxa"/>
            <w:vAlign w:val="bottom"/>
            <w:vMerge w:val="continue"/>
          </w:tcPr>
          <w:p>
            <w:pPr>
              <w:spacing w:after="0"/>
              <w:rPr>
                <w:sz w:val="18"/>
                <w:szCs w:val="18"/>
                <w:color w:val="auto"/>
              </w:rPr>
            </w:pPr>
          </w:p>
        </w:tc>
        <w:tc>
          <w:tcPr>
            <w:tcW w:w="2160" w:type="dxa"/>
            <w:vAlign w:val="bottom"/>
          </w:tcPr>
          <w:p>
            <w:pPr>
              <w:ind w:left="980"/>
              <w:spacing w:after="0"/>
              <w:rPr>
                <w:sz w:val="20"/>
                <w:szCs w:val="20"/>
                <w:color w:val="auto"/>
              </w:rPr>
            </w:pPr>
            <w:r>
              <w:rPr>
                <w:rFonts w:ascii="Courier New" w:cs="Courier New" w:eastAsia="Courier New" w:hAnsi="Courier New"/>
                <w:sz w:val="16"/>
                <w:szCs w:val="16"/>
                <w:color w:val="auto"/>
              </w:rPr>
              <w:t>OF SHARES</w:t>
            </w:r>
          </w:p>
        </w:tc>
        <w:tc>
          <w:tcPr>
            <w:tcW w:w="102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9"/>
              </w:rPr>
              <w:t>VALUE</w:t>
            </w:r>
          </w:p>
        </w:tc>
        <w:tc>
          <w:tcPr>
            <w:tcW w:w="1460" w:type="dxa"/>
            <w:vAlign w:val="bottom"/>
          </w:tcPr>
          <w:p>
            <w:pPr>
              <w:ind w:left="340"/>
              <w:spacing w:after="0"/>
              <w:rPr>
                <w:sz w:val="20"/>
                <w:szCs w:val="20"/>
                <w:color w:val="auto"/>
              </w:rPr>
            </w:pPr>
            <w:r>
              <w:rPr>
                <w:rFonts w:ascii="Courier New" w:cs="Courier New" w:eastAsia="Courier New" w:hAnsi="Courier New"/>
                <w:sz w:val="16"/>
                <w:szCs w:val="16"/>
                <w:color w:val="auto"/>
              </w:rPr>
              <w:t>CAPITAL</w:t>
            </w:r>
          </w:p>
        </w:tc>
        <w:tc>
          <w:tcPr>
            <w:tcW w:w="1320" w:type="dxa"/>
            <w:vAlign w:val="bottom"/>
          </w:tcPr>
          <w:p>
            <w:pPr>
              <w:ind w:left="280"/>
              <w:spacing w:after="0"/>
              <w:rPr>
                <w:sz w:val="20"/>
                <w:szCs w:val="20"/>
                <w:color w:val="auto"/>
              </w:rPr>
            </w:pPr>
            <w:r>
              <w:rPr>
                <w:rFonts w:ascii="Courier New" w:cs="Courier New" w:eastAsia="Courier New" w:hAnsi="Courier New"/>
                <w:sz w:val="16"/>
                <w:szCs w:val="16"/>
                <w:color w:val="auto"/>
              </w:rPr>
              <w:t>(DEFICIT)</w:t>
            </w:r>
          </w:p>
        </w:tc>
        <w:tc>
          <w:tcPr>
            <w:tcW w:w="1580" w:type="dxa"/>
            <w:vAlign w:val="bottom"/>
          </w:tcPr>
          <w:p>
            <w:pPr>
              <w:ind w:left="560"/>
              <w:spacing w:after="0"/>
              <w:rPr>
                <w:sz w:val="20"/>
                <w:szCs w:val="20"/>
                <w:color w:val="auto"/>
              </w:rPr>
            </w:pPr>
            <w:r>
              <w:rPr>
                <w:rFonts w:ascii="Courier New" w:cs="Courier New" w:eastAsia="Courier New" w:hAnsi="Courier New"/>
                <w:sz w:val="16"/>
                <w:szCs w:val="16"/>
                <w:color w:val="auto"/>
              </w:rPr>
              <w:t>INCOME</w:t>
            </w: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Balance, January 1, 1998</w:t>
            </w: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14,804</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$149</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$27,902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$25,387</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$(467)</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$52,971</w:t>
            </w:r>
          </w:p>
        </w:tc>
        <w:tc>
          <w:tcPr>
            <w:tcW w:w="0" w:type="dxa"/>
            <w:vAlign w:val="bottom"/>
          </w:tcPr>
          <w:p>
            <w:pPr>
              <w:spacing w:after="0"/>
              <w:rPr>
                <w:sz w:val="1"/>
                <w:szCs w:val="1"/>
                <w:color w:val="auto"/>
              </w:rPr>
            </w:pPr>
          </w:p>
        </w:tc>
      </w:tr>
      <w:tr>
        <w:trPr>
          <w:trHeight w:val="180"/>
        </w:trPr>
        <w:tc>
          <w:tcPr>
            <w:tcW w:w="3380" w:type="dxa"/>
            <w:vAlign w:val="bottom"/>
          </w:tcPr>
          <w:p>
            <w:pPr>
              <w:ind w:left="280"/>
              <w:spacing w:after="0"/>
              <w:rPr>
                <w:sz w:val="20"/>
                <w:szCs w:val="20"/>
                <w:color w:val="auto"/>
              </w:rPr>
            </w:pPr>
            <w:r>
              <w:rPr>
                <w:rFonts w:ascii="Courier New" w:cs="Courier New" w:eastAsia="Courier New" w:hAnsi="Courier New"/>
                <w:sz w:val="16"/>
                <w:szCs w:val="16"/>
                <w:color w:val="auto"/>
              </w:rPr>
              <w:t>Net income</w:t>
            </w: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4,991</w:t>
            </w:r>
          </w:p>
        </w:tc>
        <w:tc>
          <w:tcPr>
            <w:tcW w:w="13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4,991</w:t>
            </w:r>
          </w:p>
        </w:tc>
        <w:tc>
          <w:tcPr>
            <w:tcW w:w="0" w:type="dxa"/>
            <w:vAlign w:val="bottom"/>
          </w:tcPr>
          <w:p>
            <w:pPr>
              <w:spacing w:after="0"/>
              <w:rPr>
                <w:sz w:val="1"/>
                <w:szCs w:val="1"/>
                <w:color w:val="auto"/>
              </w:rPr>
            </w:pPr>
          </w:p>
        </w:tc>
      </w:tr>
      <w:tr>
        <w:trPr>
          <w:trHeight w:val="180"/>
        </w:trPr>
        <w:tc>
          <w:tcPr>
            <w:tcW w:w="3380" w:type="dxa"/>
            <w:vAlign w:val="bottom"/>
          </w:tcPr>
          <w:p>
            <w:pPr>
              <w:ind w:left="280"/>
              <w:spacing w:after="0"/>
              <w:rPr>
                <w:sz w:val="20"/>
                <w:szCs w:val="20"/>
                <w:color w:val="auto"/>
              </w:rPr>
            </w:pPr>
            <w:r>
              <w:rPr>
                <w:rFonts w:ascii="Courier New" w:cs="Courier New" w:eastAsia="Courier New" w:hAnsi="Courier New"/>
                <w:sz w:val="16"/>
                <w:szCs w:val="16"/>
                <w:color w:val="auto"/>
              </w:rPr>
              <w:t>Dividends</w:t>
            </w: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(2,369)</w:t>
            </w:r>
          </w:p>
        </w:tc>
        <w:tc>
          <w:tcPr>
            <w:tcW w:w="136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(189)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(2,369)</w:t>
            </w:r>
          </w:p>
        </w:tc>
        <w:tc>
          <w:tcPr>
            <w:tcW w:w="0" w:type="dxa"/>
            <w:vAlign w:val="bottom"/>
          </w:tcPr>
          <w:p>
            <w:pPr>
              <w:spacing w:after="0"/>
              <w:rPr>
                <w:sz w:val="1"/>
                <w:szCs w:val="1"/>
                <w:color w:val="auto"/>
              </w:rPr>
            </w:pPr>
          </w:p>
        </w:tc>
      </w:tr>
      <w:tr>
        <w:trPr>
          <w:trHeight w:val="180"/>
        </w:trPr>
        <w:tc>
          <w:tcPr>
            <w:tcW w:w="3380" w:type="dxa"/>
            <w:vAlign w:val="bottom"/>
          </w:tcPr>
          <w:p>
            <w:pPr>
              <w:ind w:left="280"/>
              <w:spacing w:after="0"/>
              <w:rPr>
                <w:sz w:val="20"/>
                <w:szCs w:val="20"/>
                <w:color w:val="auto"/>
              </w:rPr>
            </w:pPr>
            <w:r>
              <w:rPr>
                <w:rFonts w:ascii="Courier New" w:cs="Courier New" w:eastAsia="Courier New" w:hAnsi="Courier New"/>
                <w:sz w:val="16"/>
                <w:szCs w:val="16"/>
                <w:color w:val="auto"/>
              </w:rPr>
              <w:t>Other comprehensive income</w:t>
            </w:r>
          </w:p>
        </w:tc>
        <w:tc>
          <w:tcPr>
            <w:tcW w:w="1640" w:type="dxa"/>
            <w:vAlign w:val="bottom"/>
          </w:tcPr>
          <w:p>
            <w:pPr>
              <w:spacing w:after="0"/>
              <w:rPr>
                <w:sz w:val="15"/>
                <w:szCs w:val="15"/>
                <w:color w:val="auto"/>
              </w:rPr>
            </w:pP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0" w:type="dxa"/>
            <w:vAlign w:val="bottom"/>
          </w:tcPr>
          <w:p>
            <w:pPr>
              <w:spacing w:after="0"/>
              <w:rPr>
                <w:sz w:val="1"/>
                <w:szCs w:val="1"/>
                <w:color w:val="auto"/>
              </w:rPr>
            </w:pPr>
          </w:p>
        </w:tc>
      </w:tr>
      <w:tr>
        <w:trPr>
          <w:trHeight w:val="180"/>
        </w:trPr>
        <w:tc>
          <w:tcPr>
            <w:tcW w:w="3380" w:type="dxa"/>
            <w:vAlign w:val="bottom"/>
            <w:vMerge w:val="restart"/>
          </w:tcPr>
          <w:p>
            <w:pPr>
              <w:spacing w:after="0"/>
              <w:rPr>
                <w:sz w:val="20"/>
                <w:szCs w:val="20"/>
                <w:color w:val="auto"/>
              </w:rPr>
            </w:pPr>
            <w:r>
              <w:rPr>
                <w:rFonts w:ascii="Courier New" w:cs="Courier New" w:eastAsia="Courier New" w:hAnsi="Courier New"/>
                <w:sz w:val="16"/>
                <w:szCs w:val="16"/>
                <w:color w:val="auto"/>
              </w:rPr>
              <w:t>Balance, June 30, 1998</w:t>
            </w:r>
          </w:p>
        </w:tc>
        <w:tc>
          <w:tcPr>
            <w:tcW w:w="1640" w:type="dxa"/>
            <w:vAlign w:val="bottom"/>
            <w:vMerge w:val="restart"/>
          </w:tcPr>
          <w:p>
            <w:pPr>
              <w:jc w:val="right"/>
              <w:ind w:right="342"/>
              <w:spacing w:after="0"/>
              <w:rPr>
                <w:sz w:val="20"/>
                <w:szCs w:val="20"/>
                <w:color w:val="auto"/>
              </w:rPr>
            </w:pPr>
            <w:r>
              <w:rPr>
                <w:rFonts w:ascii="Courier New" w:cs="Courier New" w:eastAsia="Courier New" w:hAnsi="Courier New"/>
                <w:sz w:val="31"/>
                <w:szCs w:val="31"/>
                <w:color w:val="auto"/>
                <w:w w:val="90"/>
                <w:vertAlign w:val="subscript"/>
              </w:rPr>
              <w:t>14,804</w:t>
            </w:r>
            <w:r>
              <w:rPr>
                <w:rFonts w:ascii="Courier New" w:cs="Courier New" w:eastAsia="Courier New" w:hAnsi="Courier New"/>
                <w:sz w:val="16"/>
                <w:szCs w:val="16"/>
                <w:color w:val="auto"/>
                <w:w w:val="90"/>
              </w:rPr>
              <w:t>------</w:t>
            </w:r>
          </w:p>
        </w:tc>
        <w:tc>
          <w:tcPr>
            <w:tcW w:w="11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$149</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$27,902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$28,009</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$(656)</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$55,404</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380" w:type="dxa"/>
            <w:vAlign w:val="bottom"/>
          </w:tcPr>
          <w:p>
            <w:pPr>
              <w:spacing w:after="0"/>
              <w:rPr>
                <w:sz w:val="20"/>
                <w:szCs w:val="20"/>
                <w:color w:val="auto"/>
              </w:rPr>
            </w:pPr>
            <w:r>
              <w:rPr>
                <w:rFonts w:ascii="Courier New" w:cs="Courier New" w:eastAsia="Courier New" w:hAnsi="Courier New"/>
                <w:sz w:val="16"/>
                <w:szCs w:val="16"/>
                <w:color w:val="auto"/>
              </w:rPr>
              <w:t>Balance, January 1, 1999</w:t>
            </w: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14,804</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$149</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$27,902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$28,306</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$(115)</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$56,242</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3,677</w:t>
            </w:r>
          </w:p>
        </w:tc>
        <w:tc>
          <w:tcPr>
            <w:tcW w:w="136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3,677</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Dividends</w:t>
            </w:r>
          </w:p>
        </w:tc>
        <w:tc>
          <w:tcPr>
            <w:tcW w:w="1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(2,368)</w:t>
            </w:r>
          </w:p>
        </w:tc>
        <w:tc>
          <w:tcPr>
            <w:tcW w:w="136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(1,287)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(2,368)</w:t>
            </w:r>
          </w:p>
        </w:tc>
        <w:tc>
          <w:tcPr>
            <w:tcW w:w="0" w:type="dxa"/>
            <w:vAlign w:val="bottom"/>
          </w:tcPr>
          <w:p>
            <w:pPr>
              <w:spacing w:after="0"/>
              <w:rPr>
                <w:sz w:val="1"/>
                <w:szCs w:val="1"/>
                <w:color w:val="auto"/>
              </w:rPr>
            </w:pPr>
          </w:p>
        </w:tc>
      </w:tr>
      <w:tr>
        <w:trPr>
          <w:trHeight w:val="180"/>
        </w:trPr>
        <w:tc>
          <w:tcPr>
            <w:tcW w:w="3380" w:type="dxa"/>
            <w:vAlign w:val="bottom"/>
          </w:tcPr>
          <w:p>
            <w:pPr>
              <w:ind w:left="180"/>
              <w:spacing w:after="0"/>
              <w:rPr>
                <w:sz w:val="20"/>
                <w:szCs w:val="20"/>
                <w:color w:val="auto"/>
              </w:rPr>
            </w:pPr>
            <w:r>
              <w:rPr>
                <w:rFonts w:ascii="Courier New" w:cs="Courier New" w:eastAsia="Courier New" w:hAnsi="Courier New"/>
                <w:sz w:val="16"/>
                <w:szCs w:val="16"/>
                <w:color w:val="auto"/>
              </w:rPr>
              <w:t>Other comprehensive income</w:t>
            </w:r>
          </w:p>
        </w:tc>
        <w:tc>
          <w:tcPr>
            <w:tcW w:w="1640" w:type="dxa"/>
            <w:vAlign w:val="bottom"/>
          </w:tcPr>
          <w:p>
            <w:pPr>
              <w:spacing w:after="0"/>
              <w:rPr>
                <w:sz w:val="15"/>
                <w:szCs w:val="15"/>
                <w:color w:val="auto"/>
              </w:rPr>
            </w:pPr>
          </w:p>
        </w:tc>
        <w:tc>
          <w:tcPr>
            <w:tcW w:w="11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60" w:type="dxa"/>
            <w:vAlign w:val="bottom"/>
            <w:vMerge w:val="continue"/>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(1,287)</w:t>
            </w:r>
          </w:p>
        </w:tc>
        <w:tc>
          <w:tcPr>
            <w:tcW w:w="0" w:type="dxa"/>
            <w:vAlign w:val="bottom"/>
          </w:tcPr>
          <w:p>
            <w:pPr>
              <w:spacing w:after="0"/>
              <w:rPr>
                <w:sz w:val="1"/>
                <w:szCs w:val="1"/>
                <w:color w:val="auto"/>
              </w:rPr>
            </w:pPr>
          </w:p>
        </w:tc>
      </w:tr>
      <w:tr>
        <w:trPr>
          <w:trHeight w:val="180"/>
        </w:trPr>
        <w:tc>
          <w:tcPr>
            <w:tcW w:w="3380" w:type="dxa"/>
            <w:vAlign w:val="bottom"/>
            <w:vMerge w:val="restart"/>
          </w:tcPr>
          <w:p>
            <w:pPr>
              <w:spacing w:after="0"/>
              <w:rPr>
                <w:sz w:val="20"/>
                <w:szCs w:val="20"/>
                <w:color w:val="auto"/>
              </w:rPr>
            </w:pPr>
            <w:r>
              <w:rPr>
                <w:rFonts w:ascii="Courier New" w:cs="Courier New" w:eastAsia="Courier New" w:hAnsi="Courier New"/>
                <w:sz w:val="16"/>
                <w:szCs w:val="16"/>
                <w:color w:val="auto"/>
              </w:rPr>
              <w:t>Balance, June 30, 1999</w:t>
            </w:r>
          </w:p>
        </w:tc>
        <w:tc>
          <w:tcPr>
            <w:tcW w:w="1640" w:type="dxa"/>
            <w:vAlign w:val="bottom"/>
            <w:vMerge w:val="restart"/>
          </w:tcPr>
          <w:p>
            <w:pPr>
              <w:jc w:val="right"/>
              <w:ind w:right="342"/>
              <w:spacing w:after="0"/>
              <w:rPr>
                <w:sz w:val="20"/>
                <w:szCs w:val="20"/>
                <w:color w:val="auto"/>
              </w:rPr>
            </w:pPr>
            <w:r>
              <w:rPr>
                <w:rFonts w:ascii="Courier New" w:cs="Courier New" w:eastAsia="Courier New" w:hAnsi="Courier New"/>
                <w:sz w:val="31"/>
                <w:szCs w:val="31"/>
                <w:color w:val="auto"/>
                <w:w w:val="90"/>
                <w:vertAlign w:val="subscript"/>
              </w:rPr>
              <w:t>14,804</w:t>
            </w:r>
            <w:r>
              <w:rPr>
                <w:rFonts w:ascii="Courier New" w:cs="Courier New" w:eastAsia="Courier New" w:hAnsi="Courier New"/>
                <w:sz w:val="16"/>
                <w:szCs w:val="16"/>
                <w:color w:val="auto"/>
                <w:w w:val="90"/>
              </w:rPr>
              <w:t>------</w:t>
            </w:r>
          </w:p>
        </w:tc>
        <w:tc>
          <w:tcPr>
            <w:tcW w:w="11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38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$149</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$27,902</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$29,615</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$(1,402)</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$56,264</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16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811" w:right="139" w:bottom="1440" w:gutter="0" w:footer="0" w:header="0"/>
        </w:sectPr>
      </w:pPr>
    </w:p>
    <w:bookmarkStart w:id="5" w:name="page6"/>
    <w:bookmarkEnd w:id="5"/>
    <w:p>
      <w:pPr>
        <w:jc w:val="center"/>
        <w:ind w:right="2820"/>
        <w:spacing w:after="0"/>
        <w:rPr>
          <w:sz w:val="20"/>
          <w:szCs w:val="20"/>
          <w:color w:val="auto"/>
        </w:rPr>
      </w:pPr>
      <w:r>
        <w:rPr>
          <w:rFonts w:ascii="Courier New" w:cs="Courier New" w:eastAsia="Courier New" w:hAnsi="Courier New"/>
          <w:sz w:val="16"/>
          <w:szCs w:val="16"/>
          <w:color w:val="auto"/>
        </w:rPr>
        <w:t>NN BALL &amp; ROLLER, INC.</w:t>
      </w:r>
    </w:p>
    <w:p>
      <w:pPr>
        <w:spacing w:after="0" w:line="26" w:lineRule="exact"/>
        <w:rPr>
          <w:sz w:val="20"/>
          <w:szCs w:val="20"/>
          <w:color w:val="auto"/>
        </w:rPr>
      </w:pPr>
    </w:p>
    <w:p>
      <w:pPr>
        <w:jc w:val="center"/>
        <w:ind w:right="2820"/>
        <w:spacing w:after="0"/>
        <w:rPr>
          <w:sz w:val="20"/>
          <w:szCs w:val="20"/>
          <w:color w:val="auto"/>
        </w:rPr>
      </w:pPr>
      <w:r>
        <w:rPr>
          <w:rFonts w:ascii="Courier New" w:cs="Courier New" w:eastAsia="Courier New" w:hAnsi="Courier New"/>
          <w:sz w:val="16"/>
          <w:szCs w:val="16"/>
          <w:color w:val="auto"/>
        </w:rPr>
        <w:t>CONDENSED STATEMENTS OF CASH FLOWS</w:t>
      </w:r>
    </w:p>
    <w:tbl>
      <w:tblPr>
        <w:tblLayout w:type="fixed"/>
        <w:tblInd w:w="0" w:type="dxa"/>
        <w:tblCellMar>
          <w:top w:w="0" w:type="dxa"/>
          <w:left w:w="0" w:type="dxa"/>
          <w:bottom w:w="0" w:type="dxa"/>
          <w:right w:w="0" w:type="dxa"/>
        </w:tblCellMar>
      </w:tblPr>
      <w:tr>
        <w:trPr>
          <w:trHeight w:val="264"/>
        </w:trPr>
        <w:tc>
          <w:tcPr>
            <w:tcW w:w="2620" w:type="dxa"/>
            <w:vAlign w:val="bottom"/>
          </w:tcPr>
          <w:p>
            <w:pPr>
              <w:spacing w:after="0"/>
              <w:rPr>
                <w:sz w:val="22"/>
                <w:szCs w:val="22"/>
                <w:color w:val="auto"/>
              </w:rPr>
            </w:pPr>
          </w:p>
        </w:tc>
        <w:tc>
          <w:tcPr>
            <w:tcW w:w="5860" w:type="dxa"/>
            <w:vAlign w:val="bottom"/>
          </w:tcPr>
          <w:p>
            <w:pPr>
              <w:ind w:left="660"/>
              <w:spacing w:after="0"/>
              <w:rPr>
                <w:sz w:val="20"/>
                <w:szCs w:val="20"/>
                <w:color w:val="auto"/>
              </w:rPr>
            </w:pPr>
            <w:r>
              <w:rPr>
                <w:rFonts w:ascii="Courier New" w:cs="Courier New" w:eastAsia="Courier New" w:hAnsi="Courier New"/>
                <w:sz w:val="16"/>
                <w:szCs w:val="16"/>
                <w:color w:val="auto"/>
              </w:rPr>
              <w:t>(UNAUDITED)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0"/>
        </w:trPr>
        <w:tc>
          <w:tcPr>
            <w:tcW w:w="2620" w:type="dxa"/>
            <w:vAlign w:val="bottom"/>
          </w:tcPr>
          <w:p>
            <w:pPr>
              <w:spacing w:after="0"/>
              <w:rPr>
                <w:sz w:val="24"/>
                <w:szCs w:val="24"/>
                <w:color w:val="auto"/>
              </w:rPr>
            </w:pPr>
          </w:p>
        </w:tc>
        <w:tc>
          <w:tcPr>
            <w:tcW w:w="7140" w:type="dxa"/>
            <w:vAlign w:val="bottom"/>
            <w:gridSpan w:val="2"/>
          </w:tcPr>
          <w:p>
            <w:pPr>
              <w:ind w:left="5440"/>
              <w:spacing w:after="0"/>
              <w:rPr>
                <w:sz w:val="20"/>
                <w:szCs w:val="20"/>
                <w:color w:val="auto"/>
              </w:rPr>
            </w:pPr>
            <w:r>
              <w:rPr>
                <w:rFonts w:ascii="Courier New" w:cs="Courier New" w:eastAsia="Courier New" w:hAnsi="Courier New"/>
                <w:sz w:val="16"/>
                <w:szCs w:val="16"/>
                <w:color w:val="auto"/>
              </w:rPr>
              <w:t>SIX MONTHS ENDED</w:t>
            </w:r>
          </w:p>
        </w:tc>
        <w:tc>
          <w:tcPr>
            <w:tcW w:w="0" w:type="dxa"/>
            <w:vAlign w:val="bottom"/>
          </w:tcPr>
          <w:p>
            <w:pPr>
              <w:spacing w:after="0"/>
              <w:rPr>
                <w:sz w:val="1"/>
                <w:szCs w:val="1"/>
                <w:color w:val="auto"/>
              </w:rPr>
            </w:pPr>
          </w:p>
        </w:tc>
      </w:tr>
      <w:tr>
        <w:trPr>
          <w:trHeight w:val="180"/>
        </w:trPr>
        <w:tc>
          <w:tcPr>
            <w:tcW w:w="2620" w:type="dxa"/>
            <w:vAlign w:val="bottom"/>
            <w:vMerge w:val="restart"/>
          </w:tcPr>
          <w:p>
            <w:pPr>
              <w:spacing w:after="0"/>
              <w:rPr>
                <w:sz w:val="20"/>
                <w:szCs w:val="20"/>
                <w:color w:val="auto"/>
              </w:rPr>
            </w:pPr>
            <w:r>
              <w:rPr>
                <w:rFonts w:ascii="Courier New" w:cs="Courier New" w:eastAsia="Courier New" w:hAnsi="Courier New"/>
                <w:sz w:val="16"/>
                <w:szCs w:val="16"/>
                <w:color w:val="auto"/>
              </w:rPr>
              <w:t>THOUSANDS OF  DOLLARS</w:t>
            </w:r>
          </w:p>
        </w:tc>
        <w:tc>
          <w:tcPr>
            <w:tcW w:w="5860" w:type="dxa"/>
            <w:vAlign w:val="bottom"/>
            <w:vMerge w:val="restart"/>
          </w:tcPr>
          <w:p>
            <w:pPr>
              <w:ind w:left="5440"/>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208"/>
        </w:trPr>
        <w:tc>
          <w:tcPr>
            <w:tcW w:w="2620" w:type="dxa"/>
            <w:vAlign w:val="bottom"/>
            <w:vMerge w:val="continue"/>
          </w:tcPr>
          <w:p>
            <w:pPr>
              <w:spacing w:after="0"/>
              <w:rPr>
                <w:sz w:val="18"/>
                <w:szCs w:val="18"/>
                <w:color w:val="auto"/>
              </w:rPr>
            </w:pPr>
          </w:p>
        </w:tc>
        <w:tc>
          <w:tcPr>
            <w:tcW w:w="5860" w:type="dxa"/>
            <w:vAlign w:val="bottom"/>
            <w:vMerge w:val="continue"/>
          </w:tcPr>
          <w:p>
            <w:pPr>
              <w:spacing w:after="0"/>
              <w:rPr>
                <w:sz w:val="18"/>
                <w:szCs w:val="18"/>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5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$3,677</w:t>
            </w:r>
          </w:p>
        </w:tc>
        <w:tc>
          <w:tcPr>
            <w:tcW w:w="11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$4,991</w:t>
            </w:r>
          </w:p>
        </w:tc>
        <w:tc>
          <w:tcPr>
            <w:tcW w:w="0" w:type="dxa"/>
            <w:vAlign w:val="bottom"/>
          </w:tcPr>
          <w:p>
            <w:pPr>
              <w:spacing w:after="0"/>
              <w:rPr>
                <w:sz w:val="1"/>
                <w:szCs w:val="1"/>
                <w:color w:val="auto"/>
              </w:rPr>
            </w:pPr>
          </w:p>
        </w:tc>
      </w:tr>
      <w:tr>
        <w:trPr>
          <w:trHeight w:val="180"/>
        </w:trPr>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24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ind w:left="180"/>
              <w:spacing w:after="0"/>
              <w:rPr>
                <w:sz w:val="20"/>
                <w:szCs w:val="20"/>
                <w:color w:val="auto"/>
              </w:rPr>
            </w:pPr>
            <w:r>
              <w:rPr>
                <w:rFonts w:ascii="Courier New" w:cs="Courier New" w:eastAsia="Courier New" w:hAnsi="Courier New"/>
                <w:sz w:val="16"/>
                <w:szCs w:val="16"/>
                <w:color w:val="auto"/>
              </w:rPr>
              <w:t>Adjustments to reconcile net income:</w:t>
            </w:r>
          </w:p>
        </w:tc>
        <w:tc>
          <w:tcPr>
            <w:tcW w:w="244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2,475</w:t>
            </w:r>
          </w:p>
        </w:tc>
        <w:tc>
          <w:tcPr>
            <w:tcW w:w="112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2,338</w:t>
            </w:r>
          </w:p>
        </w:tc>
        <w:tc>
          <w:tcPr>
            <w:tcW w:w="0" w:type="dxa"/>
            <w:vAlign w:val="bottom"/>
          </w:tcPr>
          <w:p>
            <w:pPr>
              <w:spacing w:after="0"/>
              <w:rPr>
                <w:sz w:val="1"/>
                <w:szCs w:val="1"/>
                <w:color w:val="auto"/>
              </w:rPr>
            </w:pP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Depreciation</w:t>
            </w:r>
          </w:p>
        </w:tc>
        <w:tc>
          <w:tcPr>
            <w:tcW w:w="24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ind w:left="3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2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(2,303)</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(4,373)</w:t>
            </w:r>
          </w:p>
        </w:tc>
        <w:tc>
          <w:tcPr>
            <w:tcW w:w="0" w:type="dxa"/>
            <w:vAlign w:val="bottom"/>
          </w:tcPr>
          <w:p>
            <w:pPr>
              <w:spacing w:after="0"/>
              <w:rPr>
                <w:sz w:val="1"/>
                <w:szCs w:val="1"/>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Accounts receivable</w:t>
            </w:r>
          </w:p>
        </w:tc>
        <w:tc>
          <w:tcPr>
            <w:tcW w:w="24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Inventories</w:t>
            </w: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4,054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(380)</w:t>
            </w:r>
          </w:p>
        </w:tc>
        <w:tc>
          <w:tcPr>
            <w:tcW w:w="0" w:type="dxa"/>
            <w:vAlign w:val="bottom"/>
          </w:tcPr>
          <w:p>
            <w:pPr>
              <w:spacing w:after="0"/>
              <w:rPr>
                <w:sz w:val="1"/>
                <w:szCs w:val="1"/>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Taxes refundable/payable</w:t>
            </w: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(452)</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c>
          <w:tcPr>
            <w:tcW w:w="0" w:type="dxa"/>
            <w:vAlign w:val="bottom"/>
          </w:tcPr>
          <w:p>
            <w:pPr>
              <w:spacing w:after="0"/>
              <w:rPr>
                <w:sz w:val="1"/>
                <w:szCs w:val="1"/>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Other current assets</w:t>
            </w: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394</w:t>
            </w:r>
          </w:p>
        </w:tc>
        <w:tc>
          <w:tcPr>
            <w:tcW w:w="0" w:type="dxa"/>
            <w:vAlign w:val="bottom"/>
          </w:tcPr>
          <w:p>
            <w:pPr>
              <w:spacing w:after="0"/>
              <w:rPr>
                <w:sz w:val="1"/>
                <w:szCs w:val="1"/>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Accounts payable</w:t>
            </w: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(401)</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1,551</w:t>
            </w:r>
          </w:p>
        </w:tc>
        <w:tc>
          <w:tcPr>
            <w:tcW w:w="0" w:type="dxa"/>
            <w:vAlign w:val="bottom"/>
          </w:tcPr>
          <w:p>
            <w:pPr>
              <w:spacing w:after="0"/>
              <w:rPr>
                <w:sz w:val="1"/>
                <w:szCs w:val="1"/>
                <w:color w:val="auto"/>
              </w:rPr>
            </w:pPr>
          </w:p>
        </w:tc>
      </w:tr>
      <w:tr>
        <w:trPr>
          <w:trHeight w:val="180"/>
        </w:trPr>
        <w:tc>
          <w:tcPr>
            <w:tcW w:w="6560" w:type="dxa"/>
            <w:vAlign w:val="bottom"/>
          </w:tcPr>
          <w:p>
            <w:pPr>
              <w:ind w:left="560"/>
              <w:spacing w:after="0"/>
              <w:rPr>
                <w:sz w:val="20"/>
                <w:szCs w:val="20"/>
                <w:color w:val="auto"/>
              </w:rPr>
            </w:pPr>
            <w:r>
              <w:rPr>
                <w:rFonts w:ascii="Courier New" w:cs="Courier New" w:eastAsia="Courier New" w:hAnsi="Courier New"/>
                <w:sz w:val="16"/>
                <w:szCs w:val="16"/>
                <w:color w:val="auto"/>
              </w:rPr>
              <w:t>Other liabilities</w:t>
            </w: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995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564</w:t>
            </w:r>
          </w:p>
        </w:tc>
        <w:tc>
          <w:tcPr>
            <w:tcW w:w="0" w:type="dxa"/>
            <w:vAlign w:val="bottom"/>
          </w:tcPr>
          <w:p>
            <w:pPr>
              <w:spacing w:after="0"/>
              <w:rPr>
                <w:sz w:val="1"/>
                <w:szCs w:val="1"/>
                <w:color w:val="auto"/>
              </w:rPr>
            </w:pPr>
          </w:p>
        </w:tc>
      </w:tr>
      <w:tr>
        <w:trPr>
          <w:trHeight w:val="180"/>
        </w:trPr>
        <w:tc>
          <w:tcPr>
            <w:tcW w:w="656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Net cash provided by operating activities</w:t>
            </w:r>
          </w:p>
        </w:tc>
        <w:tc>
          <w:tcPr>
            <w:tcW w:w="2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7,870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4,864</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5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(261)</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(2,626)</w:t>
            </w:r>
          </w:p>
        </w:tc>
        <w:tc>
          <w:tcPr>
            <w:tcW w:w="0" w:type="dxa"/>
            <w:vAlign w:val="bottom"/>
          </w:tcPr>
          <w:p>
            <w:pPr>
              <w:spacing w:after="0"/>
              <w:rPr>
                <w:sz w:val="1"/>
                <w:szCs w:val="1"/>
                <w:color w:val="auto"/>
              </w:rPr>
            </w:pPr>
          </w:p>
        </w:tc>
      </w:tr>
      <w:tr>
        <w:trPr>
          <w:trHeight w:val="180"/>
        </w:trPr>
        <w:tc>
          <w:tcPr>
            <w:tcW w:w="6560" w:type="dxa"/>
            <w:vAlign w:val="bottom"/>
          </w:tcPr>
          <w:p>
            <w:pPr>
              <w:ind w:left="100"/>
              <w:spacing w:after="0"/>
              <w:rPr>
                <w:sz w:val="20"/>
                <w:szCs w:val="20"/>
                <w:color w:val="auto"/>
              </w:rPr>
            </w:pPr>
            <w:r>
              <w:rPr>
                <w:rFonts w:ascii="Courier New" w:cs="Courier New" w:eastAsia="Courier New" w:hAnsi="Courier New"/>
                <w:sz w:val="16"/>
                <w:szCs w:val="16"/>
                <w:color w:val="auto"/>
              </w:rPr>
              <w:t>Acquisition of plant, property, and equipment</w:t>
            </w:r>
          </w:p>
        </w:tc>
        <w:tc>
          <w:tcPr>
            <w:tcW w:w="24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disposals of property, plant and equipment</w:t>
            </w: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65</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Net cash used by investing activities</w:t>
            </w:r>
          </w:p>
        </w:tc>
        <w:tc>
          <w:tcPr>
            <w:tcW w:w="2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(196)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(2,626)</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5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4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1,170</w:t>
            </w:r>
          </w:p>
        </w:tc>
        <w:tc>
          <w:tcPr>
            <w:tcW w:w="0" w:type="dxa"/>
            <w:vAlign w:val="bottom"/>
          </w:tcPr>
          <w:p>
            <w:pPr>
              <w:spacing w:after="0"/>
              <w:rPr>
                <w:sz w:val="1"/>
                <w:szCs w:val="1"/>
                <w:color w:val="auto"/>
              </w:rPr>
            </w:pPr>
          </w:p>
        </w:tc>
      </w:tr>
      <w:tr>
        <w:trPr>
          <w:trHeight w:val="180"/>
        </w:trPr>
        <w:tc>
          <w:tcPr>
            <w:tcW w:w="6560" w:type="dxa"/>
            <w:vAlign w:val="bottom"/>
          </w:tcPr>
          <w:p>
            <w:pPr>
              <w:ind w:left="100"/>
              <w:spacing w:after="0"/>
              <w:rPr>
                <w:sz w:val="20"/>
                <w:szCs w:val="20"/>
                <w:color w:val="auto"/>
              </w:rPr>
            </w:pPr>
            <w:r>
              <w:rPr>
                <w:rFonts w:ascii="Courier New" w:cs="Courier New" w:eastAsia="Courier New" w:hAnsi="Courier New"/>
                <w:sz w:val="16"/>
                <w:szCs w:val="16"/>
                <w:color w:val="auto"/>
              </w:rPr>
              <w:t>Proceeds under revolving credit facility</w:t>
            </w:r>
          </w:p>
        </w:tc>
        <w:tc>
          <w:tcPr>
            <w:tcW w:w="24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60" w:type="dxa"/>
            <w:vAlign w:val="bottom"/>
          </w:tcPr>
          <w:p>
            <w:pPr>
              <w:ind w:left="100"/>
              <w:spacing w:after="0"/>
              <w:rPr>
                <w:sz w:val="20"/>
                <w:szCs w:val="20"/>
                <w:color w:val="auto"/>
              </w:rPr>
            </w:pPr>
            <w:r>
              <w:rPr>
                <w:rFonts w:ascii="Courier New" w:cs="Courier New" w:eastAsia="Courier New" w:hAnsi="Courier New"/>
                <w:sz w:val="16"/>
                <w:szCs w:val="16"/>
                <w:color w:val="auto"/>
              </w:rPr>
              <w:t>Dividends</w:t>
            </w: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(2,368)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(2,369)</w:t>
            </w:r>
          </w:p>
        </w:tc>
        <w:tc>
          <w:tcPr>
            <w:tcW w:w="0" w:type="dxa"/>
            <w:vAlign w:val="bottom"/>
          </w:tcPr>
          <w:p>
            <w:pPr>
              <w:spacing w:after="0"/>
              <w:rPr>
                <w:sz w:val="1"/>
                <w:szCs w:val="1"/>
                <w:color w:val="auto"/>
              </w:rPr>
            </w:pPr>
          </w:p>
        </w:tc>
      </w:tr>
      <w:tr>
        <w:trPr>
          <w:trHeight w:val="180"/>
        </w:trPr>
        <w:tc>
          <w:tcPr>
            <w:tcW w:w="6560" w:type="dxa"/>
            <w:vAlign w:val="bottom"/>
          </w:tcPr>
          <w:p>
            <w:pPr>
              <w:ind w:left="100"/>
              <w:spacing w:after="0"/>
              <w:rPr>
                <w:sz w:val="20"/>
                <w:szCs w:val="20"/>
                <w:color w:val="auto"/>
              </w:rPr>
            </w:pPr>
            <w:r>
              <w:rPr>
                <w:rFonts w:ascii="Courier New" w:cs="Courier New" w:eastAsia="Courier New" w:hAnsi="Courier New"/>
                <w:sz w:val="16"/>
                <w:szCs w:val="16"/>
                <w:color w:val="auto"/>
              </w:rPr>
              <w:t>Effect of currency translation</w:t>
            </w: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(1,287)</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(189)</w:t>
            </w:r>
          </w:p>
        </w:tc>
        <w:tc>
          <w:tcPr>
            <w:tcW w:w="0" w:type="dxa"/>
            <w:vAlign w:val="bottom"/>
          </w:tcPr>
          <w:p>
            <w:pPr>
              <w:spacing w:after="0"/>
              <w:rPr>
                <w:sz w:val="1"/>
                <w:szCs w:val="1"/>
                <w:color w:val="auto"/>
              </w:rPr>
            </w:pPr>
          </w:p>
        </w:tc>
      </w:tr>
      <w:tr>
        <w:trPr>
          <w:trHeight w:val="180"/>
        </w:trPr>
        <w:tc>
          <w:tcPr>
            <w:tcW w:w="656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Net cash (used) by financing activities</w:t>
            </w:r>
          </w:p>
        </w:tc>
        <w:tc>
          <w:tcPr>
            <w:tcW w:w="2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(3,655)</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(1,388)</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56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4,019</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850</w:t>
            </w:r>
          </w:p>
        </w:tc>
        <w:tc>
          <w:tcPr>
            <w:tcW w:w="0" w:type="dxa"/>
            <w:vAlign w:val="bottom"/>
          </w:tcPr>
          <w:p>
            <w:pPr>
              <w:spacing w:after="0"/>
              <w:rPr>
                <w:sz w:val="1"/>
                <w:szCs w:val="1"/>
                <w:color w:val="auto"/>
              </w:rPr>
            </w:pPr>
          </w:p>
        </w:tc>
      </w:tr>
      <w:tr>
        <w:trPr>
          <w:trHeight w:val="180"/>
        </w:trPr>
        <w:tc>
          <w:tcPr>
            <w:tcW w:w="656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4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1,430</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366</w:t>
            </w:r>
          </w:p>
        </w:tc>
        <w:tc>
          <w:tcPr>
            <w:tcW w:w="0" w:type="dxa"/>
            <w:vAlign w:val="bottom"/>
          </w:tcPr>
          <w:p>
            <w:pPr>
              <w:spacing w:after="0"/>
              <w:rPr>
                <w:sz w:val="1"/>
                <w:szCs w:val="1"/>
                <w:color w:val="auto"/>
              </w:rPr>
            </w:pPr>
          </w:p>
        </w:tc>
      </w:tr>
      <w:tr>
        <w:trPr>
          <w:trHeight w:val="180"/>
        </w:trPr>
        <w:tc>
          <w:tcPr>
            <w:tcW w:w="656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4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$5,449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6560" w:type="dxa"/>
            <w:vAlign w:val="bottom"/>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$1,216</w:t>
            </w:r>
          </w:p>
        </w:tc>
        <w:tc>
          <w:tcPr>
            <w:tcW w:w="0" w:type="dxa"/>
            <w:vAlign w:val="bottom"/>
          </w:tcPr>
          <w:p>
            <w:pPr>
              <w:spacing w:after="0"/>
              <w:rPr>
                <w:sz w:val="1"/>
                <w:szCs w:val="1"/>
                <w:color w:val="auto"/>
              </w:rPr>
            </w:pPr>
          </w:p>
        </w:tc>
      </w:tr>
      <w:tr>
        <w:trPr>
          <w:trHeight w:val="180"/>
        </w:trPr>
        <w:tc>
          <w:tcPr>
            <w:tcW w:w="6560" w:type="dxa"/>
            <w:vAlign w:val="bottom"/>
          </w:tcPr>
          <w:p>
            <w:pPr>
              <w:spacing w:after="0"/>
              <w:rPr>
                <w:sz w:val="15"/>
                <w:szCs w:val="15"/>
                <w:color w:val="auto"/>
              </w:rPr>
            </w:pP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6560" w:type="dxa"/>
            <w:vAlign w:val="bottom"/>
          </w:tcPr>
          <w:p>
            <w:pPr>
              <w:spacing w:after="0"/>
              <w:rPr>
                <w:sz w:val="22"/>
                <w:szCs w:val="22"/>
                <w:color w:val="auto"/>
              </w:rPr>
            </w:pPr>
          </w:p>
        </w:tc>
        <w:tc>
          <w:tcPr>
            <w:tcW w:w="24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SEE ACCOMPANYING NOTES.</w:t>
      </w:r>
    </w:p>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320"/>
          </w:cols>
          <w:pgMar w:left="240" w:top="811" w:right="1339" w:bottom="1440" w:gutter="0" w:footer="0" w:header="0"/>
        </w:sectPr>
      </w:pPr>
    </w:p>
    <w:bookmarkStart w:id="6" w:name="page7"/>
    <w:bookmarkEnd w:id="6"/>
    <w:p>
      <w:pPr>
        <w:ind w:left="2720"/>
        <w:spacing w:after="0"/>
        <w:rPr>
          <w:sz w:val="20"/>
          <w:szCs w:val="20"/>
          <w:color w:val="auto"/>
        </w:rPr>
      </w:pPr>
      <w:r>
        <w:rPr>
          <w:rFonts w:ascii="Courier New" w:cs="Courier New" w:eastAsia="Courier New" w:hAnsi="Courier New"/>
          <w:sz w:val="16"/>
          <w:szCs w:val="16"/>
          <w:color w:val="auto"/>
        </w:rPr>
        <w:t>NN BALL &amp; ROLLER, INC.</w:t>
      </w:r>
    </w:p>
    <w:p>
      <w:pPr>
        <w:spacing w:after="0" w:line="27"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NOTES TO CONDENSED FINANCIAL STATEMENTS</w:t>
      </w:r>
    </w:p>
    <w:p>
      <w:pPr>
        <w:spacing w:after="0" w:line="200" w:lineRule="exact"/>
        <w:rPr>
          <w:sz w:val="20"/>
          <w:szCs w:val="20"/>
          <w:color w:val="auto"/>
        </w:rPr>
      </w:pPr>
    </w:p>
    <w:p>
      <w:pPr>
        <w:spacing w:after="0" w:line="31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INTERIM FINANCIAL STATEMENTS</w:t>
      </w:r>
    </w:p>
    <w:p>
      <w:pPr>
        <w:spacing w:after="0" w:line="179"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accompanying condensed financial statements of NN Ball &amp; Roller, Inc. have not been audited by independent accountants, except for the balance sheet at December 31, 1998. In the opinion of the Company's management, the financial statements reflect all adjustments necessary to present fairly the results of operations for the three and six month periods ended June 30, 1999 and 1998, the Company's financial position at June 30, 1999 and December 31, 1998, and the cash flows for the six month periods ended June 30, 1999 and 1998. These adjustments are of a normal recurring nature and are, in the opinion of management, necessary for fair presentation of the financial position and operating results for the interim periods.</w:t>
      </w:r>
    </w:p>
    <w:p>
      <w:pPr>
        <w:spacing w:after="0" w:line="89" w:lineRule="exact"/>
        <w:rPr>
          <w:sz w:val="20"/>
          <w:szCs w:val="20"/>
          <w:color w:val="auto"/>
        </w:rPr>
      </w:pPr>
    </w:p>
    <w:p>
      <w:pPr>
        <w:ind w:right="2819"/>
        <w:spacing w:after="0" w:line="275"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71" w:lineRule="exact"/>
        <w:rPr>
          <w:sz w:val="20"/>
          <w:szCs w:val="20"/>
          <w:color w:val="auto"/>
        </w:rPr>
      </w:pPr>
    </w:p>
    <w:p>
      <w:pPr>
        <w:ind w:right="3379"/>
        <w:spacing w:after="0" w:line="348" w:lineRule="auto"/>
        <w:rPr>
          <w:sz w:val="20"/>
          <w:szCs w:val="20"/>
          <w:color w:val="auto"/>
        </w:rPr>
      </w:pPr>
      <w:r>
        <w:rPr>
          <w:rFonts w:ascii="Courier New" w:cs="Courier New" w:eastAsia="Courier New" w:hAnsi="Courier New"/>
          <w:sz w:val="16"/>
          <w:szCs w:val="16"/>
          <w:color w:val="auto"/>
        </w:rPr>
        <w:t>The results for the first and second quarters of 1999 are not necessarily indicative of future results.</w:t>
      </w:r>
    </w:p>
    <w:p>
      <w:pPr>
        <w:spacing w:after="0" w:line="1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INVENTORIES</w:t>
      </w:r>
    </w:p>
    <w:p>
      <w:pPr>
        <w:spacing w:after="0" w:line="179" w:lineRule="exact"/>
        <w:rPr>
          <w:sz w:val="20"/>
          <w:szCs w:val="20"/>
          <w:color w:val="auto"/>
        </w:rPr>
      </w:pPr>
    </w:p>
    <w:p>
      <w:pPr>
        <w:ind w:right="3659"/>
        <w:spacing w:after="0" w:line="348" w:lineRule="auto"/>
        <w:rPr>
          <w:sz w:val="20"/>
          <w:szCs w:val="20"/>
          <w:color w:val="auto"/>
        </w:rPr>
      </w:pPr>
      <w:r>
        <w:rPr>
          <w:rFonts w:ascii="Courier New" w:cs="Courier New" w:eastAsia="Courier New" w:hAnsi="Courier New"/>
          <w:sz w:val="16"/>
          <w:szCs w:val="16"/>
          <w:color w:val="auto"/>
        </w:rPr>
        <w:t>Inventories are stated at the lower of cost or market, with cost being determined by the first-in, first-out method.</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tcPr>
          <w:p>
            <w:pPr>
              <w:spacing w:after="0"/>
              <w:rPr>
                <w:sz w:val="15"/>
                <w:szCs w:val="15"/>
                <w:color w:val="auto"/>
              </w:rPr>
            </w:pPr>
          </w:p>
        </w:tc>
        <w:tc>
          <w:tcPr>
            <w:tcW w:w="1780" w:type="dxa"/>
            <w:vAlign w:val="bottom"/>
            <w:gridSpan w:val="2"/>
          </w:tcPr>
          <w:p>
            <w:pPr>
              <w:jc w:val="right"/>
              <w:ind w:right="282"/>
              <w:spacing w:after="0"/>
              <w:rPr>
                <w:sz w:val="20"/>
                <w:szCs w:val="20"/>
                <w:color w:val="auto"/>
              </w:rPr>
            </w:pPr>
            <w:r>
              <w:rPr>
                <w:rFonts w:ascii="Courier New" w:cs="Courier New" w:eastAsia="Courier New" w:hAnsi="Courier New"/>
                <w:sz w:val="16"/>
                <w:szCs w:val="16"/>
                <w:color w:val="auto"/>
              </w:rPr>
              <w:t>JUNE 30,</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88"/>
              </w:rPr>
              <w:t>1999</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7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(UNAUDITED)</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4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860" w:type="dxa"/>
            <w:vAlign w:val="bottom"/>
          </w:tcPr>
          <w:p>
            <w:pPr>
              <w:ind w:left="76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2,581</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3,611</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86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1,755</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2,850</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86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6,095</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8,024</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860" w:type="dxa"/>
            <w:vAlign w:val="bottom"/>
          </w:tcPr>
          <w:p>
            <w:pPr>
              <w:ind w:left="480"/>
              <w:spacing w:after="0"/>
              <w:rPr>
                <w:sz w:val="20"/>
                <w:szCs w:val="20"/>
                <w:color w:val="auto"/>
              </w:rPr>
            </w:pPr>
            <w:r>
              <w:rPr>
                <w:rFonts w:ascii="Courier New" w:cs="Courier New" w:eastAsia="Courier New" w:hAnsi="Courier New"/>
                <w:sz w:val="7"/>
                <w:szCs w:val="7"/>
                <w:color w:val="auto"/>
                <w:w w:val="71"/>
              </w:rPr>
              <w:t>------------</w:t>
            </w:r>
          </w:p>
        </w:tc>
        <w:tc>
          <w:tcPr>
            <w:tcW w:w="9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10,431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960" w:type="dxa"/>
            <w:vAlign w:val="bottom"/>
            <w:vMerge w:val="restart"/>
          </w:tcPr>
          <w:p>
            <w:pPr>
              <w:spacing w:after="0"/>
              <w:rPr>
                <w:sz w:val="20"/>
                <w:szCs w:val="20"/>
                <w:color w:val="auto"/>
              </w:rPr>
            </w:pPr>
            <w:r>
              <w:rPr>
                <w:rFonts w:ascii="Courier New" w:cs="Courier New" w:eastAsia="Courier New" w:hAnsi="Courier New"/>
                <w:sz w:val="16"/>
                <w:szCs w:val="16"/>
                <w:color w:val="auto"/>
              </w:rPr>
              <w:t>Less - Reserve for excess and obsolete inventory</w:t>
            </w:r>
          </w:p>
        </w:tc>
        <w:tc>
          <w:tcPr>
            <w:tcW w:w="8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14,485</w:t>
            </w:r>
          </w:p>
        </w:tc>
        <w:tc>
          <w:tcPr>
            <w:tcW w:w="0" w:type="dxa"/>
            <w:vAlign w:val="bottom"/>
          </w:tcPr>
          <w:p>
            <w:pPr>
              <w:spacing w:after="0"/>
              <w:rPr>
                <w:sz w:val="1"/>
                <w:szCs w:val="1"/>
                <w:color w:val="auto"/>
              </w:rPr>
            </w:pPr>
          </w:p>
        </w:tc>
      </w:tr>
      <w:tr>
        <w:trPr>
          <w:trHeight w:val="180"/>
        </w:trPr>
        <w:tc>
          <w:tcPr>
            <w:tcW w:w="49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w:t>
            </w: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860" w:type="dxa"/>
            <w:vAlign w:val="bottom"/>
            <w:vMerge w:val="restart"/>
          </w:tcPr>
          <w:p>
            <w:pPr>
              <w:ind w:left="48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w:t>
            </w:r>
          </w:p>
        </w:tc>
        <w:tc>
          <w:tcPr>
            <w:tcW w:w="9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10,371</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4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$ 14,425</w:t>
            </w:r>
          </w:p>
        </w:tc>
        <w:tc>
          <w:tcPr>
            <w:tcW w:w="0" w:type="dxa"/>
            <w:vAlign w:val="bottom"/>
          </w:tcPr>
          <w:p>
            <w:pPr>
              <w:spacing w:after="0"/>
              <w:rPr>
                <w:sz w:val="1"/>
                <w:szCs w:val="1"/>
                <w:color w:val="auto"/>
              </w:rPr>
            </w:pPr>
          </w:p>
        </w:tc>
      </w:tr>
      <w:tr>
        <w:trPr>
          <w:trHeight w:val="180"/>
        </w:trPr>
        <w:tc>
          <w:tcPr>
            <w:tcW w:w="4960" w:type="dxa"/>
            <w:vAlign w:val="bottom"/>
          </w:tcPr>
          <w:p>
            <w:pPr>
              <w:spacing w:after="0"/>
              <w:rPr>
                <w:sz w:val="15"/>
                <w:szCs w:val="15"/>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4960" w:type="dxa"/>
            <w:vAlign w:val="bottom"/>
          </w:tcPr>
          <w:p>
            <w:pPr>
              <w:spacing w:after="0"/>
              <w:rPr>
                <w:sz w:val="22"/>
                <w:szCs w:val="22"/>
                <w:color w:val="auto"/>
              </w:rPr>
            </w:pPr>
          </w:p>
        </w:tc>
        <w:tc>
          <w:tcPr>
            <w:tcW w:w="178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1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4"/>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NOTE 3.  NET</w:t>
            </w:r>
          </w:p>
        </w:tc>
        <w:tc>
          <w:tcPr>
            <w:tcW w:w="1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 PER SHARE</w:t>
            </w:r>
          </w:p>
        </w:tc>
        <w:tc>
          <w:tcPr>
            <w:tcW w:w="238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8"/>
        </w:trPr>
        <w:tc>
          <w:tcPr>
            <w:tcW w:w="1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640" w:type="dxa"/>
            <w:vAlign w:val="bottom"/>
            <w:gridSpan w:val="2"/>
          </w:tcPr>
          <w:p>
            <w:pPr>
              <w:jc w:val="center"/>
              <w:ind w:left="882"/>
              <w:spacing w:after="0"/>
              <w:rPr>
                <w:sz w:val="20"/>
                <w:szCs w:val="20"/>
                <w:color w:val="auto"/>
              </w:rPr>
            </w:pPr>
            <w:r>
              <w:rPr>
                <w:rFonts w:ascii="Courier New" w:cs="Courier New" w:eastAsia="Courier New" w:hAnsi="Courier New"/>
                <w:sz w:val="16"/>
                <w:szCs w:val="16"/>
                <w:color w:val="auto"/>
                <w:w w:val="97"/>
              </w:rPr>
              <w:t>THREE MONTHS ENDED</w:t>
            </w:r>
          </w:p>
        </w:tc>
        <w:tc>
          <w:tcPr>
            <w:tcW w:w="248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SIX MONTHS ENDED</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8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2260" w:type="dxa"/>
            <w:vAlign w:val="bottom"/>
          </w:tcPr>
          <w:p>
            <w:pPr>
              <w:jc w:val="center"/>
              <w:ind w:right="1342"/>
              <w:spacing w:after="0"/>
              <w:rPr>
                <w:sz w:val="20"/>
                <w:szCs w:val="20"/>
                <w:color w:val="auto"/>
              </w:rPr>
            </w:pPr>
            <w:r>
              <w:rPr>
                <w:rFonts w:ascii="Courier New" w:cs="Courier New" w:eastAsia="Courier New" w:hAnsi="Courier New"/>
                <w:sz w:val="16"/>
                <w:szCs w:val="16"/>
                <w:color w:val="auto"/>
                <w:w w:val="98"/>
              </w:rPr>
              <w:t>JUNE 30,</w:t>
            </w:r>
          </w:p>
        </w:tc>
        <w:tc>
          <w:tcPr>
            <w:tcW w:w="1120" w:type="dxa"/>
            <w:vAlign w:val="bottom"/>
            <w:vMerge w:val="restart"/>
          </w:tcPr>
          <w:p>
            <w:pPr>
              <w:ind w:left="700"/>
              <w:spacing w:after="0"/>
              <w:rPr>
                <w:sz w:val="20"/>
                <w:szCs w:val="20"/>
                <w:color w:val="auto"/>
              </w:rPr>
            </w:pPr>
            <w:r>
              <w:rPr>
                <w:rFonts w:ascii="Courier New" w:cs="Courier New" w:eastAsia="Courier New" w:hAnsi="Courier New"/>
                <w:sz w:val="16"/>
                <w:szCs w:val="16"/>
                <w:color w:val="auto"/>
              </w:rPr>
              <w:t>1999</w:t>
            </w:r>
          </w:p>
        </w:tc>
        <w:tc>
          <w:tcPr>
            <w:tcW w:w="13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80"/>
        </w:trPr>
        <w:tc>
          <w:tcPr>
            <w:tcW w:w="1160" w:type="dxa"/>
            <w:vAlign w:val="bottom"/>
            <w:vMerge w:val="restart"/>
          </w:tcPr>
          <w:p>
            <w:pPr>
              <w:spacing w:after="0"/>
              <w:rPr>
                <w:sz w:val="20"/>
                <w:szCs w:val="20"/>
                <w:color w:val="auto"/>
              </w:rPr>
            </w:pPr>
            <w:r>
              <w:rPr>
                <w:rFonts w:ascii="Courier New" w:cs="Courier New" w:eastAsia="Courier New" w:hAnsi="Courier New"/>
                <w:sz w:val="16"/>
                <w:szCs w:val="16"/>
                <w:color w:val="auto"/>
                <w:w w:val="98"/>
              </w:rPr>
              <w:t>THOUSANDS OF</w:t>
            </w:r>
          </w:p>
        </w:tc>
        <w:tc>
          <w:tcPr>
            <w:tcW w:w="16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DOLLARS, EXCEPT</w:t>
            </w:r>
          </w:p>
        </w:tc>
        <w:tc>
          <w:tcPr>
            <w:tcW w:w="2380" w:type="dxa"/>
            <w:vAlign w:val="bottom"/>
            <w:vMerge w:val="continue"/>
          </w:tcPr>
          <w:p>
            <w:pPr>
              <w:spacing w:after="0"/>
              <w:rPr>
                <w:sz w:val="15"/>
                <w:szCs w:val="15"/>
                <w:color w:val="auto"/>
              </w:rPr>
            </w:pPr>
          </w:p>
        </w:tc>
        <w:tc>
          <w:tcPr>
            <w:tcW w:w="2260" w:type="dxa"/>
            <w:vAlign w:val="bottom"/>
          </w:tcPr>
          <w:p>
            <w:pPr>
              <w:jc w:val="right"/>
              <w:ind w:right="642"/>
              <w:spacing w:after="0"/>
              <w:rPr>
                <w:sz w:val="20"/>
                <w:szCs w:val="20"/>
                <w:color w:val="auto"/>
              </w:rPr>
            </w:pPr>
            <w:r>
              <w:rPr>
                <w:rFonts w:ascii="Courier New" w:cs="Courier New" w:eastAsia="Courier New" w:hAnsi="Courier New"/>
                <w:sz w:val="16"/>
                <w:szCs w:val="16"/>
                <w:color w:val="auto"/>
              </w:rPr>
              <w:t>1998</w:t>
            </w:r>
          </w:p>
        </w:tc>
        <w:tc>
          <w:tcPr>
            <w:tcW w:w="1120" w:type="dxa"/>
            <w:vAlign w:val="bottom"/>
            <w:vMerge w:val="continue"/>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08"/>
        </w:trPr>
        <w:tc>
          <w:tcPr>
            <w:tcW w:w="116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2380" w:type="dxa"/>
            <w:vAlign w:val="bottom"/>
          </w:tcPr>
          <w:p>
            <w:pPr>
              <w:jc w:val="right"/>
              <w:spacing w:after="0"/>
              <w:rPr>
                <w:sz w:val="20"/>
                <w:szCs w:val="20"/>
                <w:color w:val="auto"/>
              </w:rPr>
            </w:pPr>
            <w:r>
              <w:rPr>
                <w:rFonts w:ascii="Courier New" w:cs="Courier New" w:eastAsia="Courier New" w:hAnsi="Courier New"/>
                <w:sz w:val="16"/>
                <w:szCs w:val="16"/>
                <w:color w:val="auto"/>
              </w:rPr>
              <w:t>SHARE AND PER SHARE DATA</w:t>
            </w: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860" w:type="dxa"/>
            <w:vAlign w:val="bottom"/>
          </w:tcPr>
          <w:p>
            <w:pPr>
              <w:ind w:left="760"/>
              <w:spacing w:after="0"/>
              <w:rPr>
                <w:sz w:val="20"/>
                <w:szCs w:val="20"/>
                <w:color w:val="auto"/>
              </w:rPr>
            </w:pPr>
            <w:r>
              <w:rPr>
                <w:rFonts w:ascii="Courier New" w:cs="Courier New" w:eastAsia="Courier New" w:hAnsi="Courier New"/>
                <w:sz w:val="16"/>
                <w:szCs w:val="16"/>
                <w:color w:val="auto"/>
                <w:w w:val="82"/>
              </w:rPr>
              <w:t>$</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1,715</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2,324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3,677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4,991</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Adjustments to net income</w:t>
            </w:r>
          </w:p>
        </w:tc>
        <w:tc>
          <w:tcPr>
            <w:tcW w:w="8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Net income</w:t>
            </w:r>
          </w:p>
        </w:tc>
        <w:tc>
          <w:tcPr>
            <w:tcW w:w="860" w:type="dxa"/>
            <w:vAlign w:val="bottom"/>
            <w:vMerge w:val="restart"/>
          </w:tcPr>
          <w:p>
            <w:pPr>
              <w:ind w:left="7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2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1,715</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2,324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3,677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4,991</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2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740" w:type="dxa"/>
            <w:vAlign w:val="bottom"/>
          </w:tcPr>
          <w:p>
            <w:pPr>
              <w:spacing w:after="0"/>
              <w:rPr>
                <w:sz w:val="20"/>
                <w:szCs w:val="20"/>
                <w:color w:val="auto"/>
              </w:rPr>
            </w:pPr>
            <w:r>
              <w:rPr>
                <w:rFonts w:ascii="Courier New" w:cs="Courier New" w:eastAsia="Courier New" w:hAnsi="Courier New"/>
                <w:sz w:val="16"/>
                <w:szCs w:val="16"/>
                <w:color w:val="auto"/>
              </w:rPr>
              <w:t>Basic shares outstanding</w:t>
            </w:r>
          </w:p>
        </w:tc>
        <w:tc>
          <w:tcPr>
            <w:tcW w:w="860" w:type="dxa"/>
            <w:vAlign w:val="bottom"/>
          </w:tcPr>
          <w:p>
            <w:pPr>
              <w:spacing w:after="0"/>
              <w:rPr>
                <w:sz w:val="24"/>
                <w:szCs w:val="24"/>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14,804,244</w:t>
            </w:r>
          </w:p>
        </w:tc>
        <w:tc>
          <w:tcPr>
            <w:tcW w:w="360" w:type="dxa"/>
            <w:vAlign w:val="bottom"/>
          </w:tcPr>
          <w:p>
            <w:pPr>
              <w:spacing w:after="0"/>
              <w:rPr>
                <w:sz w:val="24"/>
                <w:szCs w:val="24"/>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14,804,244</w:t>
            </w:r>
          </w:p>
        </w:tc>
        <w:tc>
          <w:tcPr>
            <w:tcW w:w="420" w:type="dxa"/>
            <w:vAlign w:val="bottom"/>
          </w:tcPr>
          <w:p>
            <w:pPr>
              <w:spacing w:after="0"/>
              <w:rPr>
                <w:sz w:val="24"/>
                <w:szCs w:val="24"/>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14,804,244</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14,804,244</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Effect of dilutive stock options</w:t>
            </w:r>
          </w:p>
        </w:tc>
        <w:tc>
          <w:tcPr>
            <w:tcW w:w="86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3,606</w:t>
            </w: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23,382</w:t>
            </w:r>
          </w:p>
        </w:tc>
        <w:tc>
          <w:tcPr>
            <w:tcW w:w="42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1,444</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6,526</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Dilutive shares outstanding</w:t>
            </w:r>
          </w:p>
        </w:tc>
        <w:tc>
          <w:tcPr>
            <w:tcW w:w="860" w:type="dxa"/>
            <w:vAlign w:val="bottom"/>
          </w:tcPr>
          <w:p>
            <w:pPr>
              <w:ind w:left="760"/>
              <w:spacing w:after="0"/>
              <w:rPr>
                <w:sz w:val="20"/>
                <w:szCs w:val="20"/>
                <w:color w:val="auto"/>
              </w:rPr>
            </w:pPr>
            <w:r>
              <w:rPr>
                <w:rFonts w:ascii="Courier New" w:cs="Courier New" w:eastAsia="Courier New" w:hAnsi="Courier New"/>
                <w:sz w:val="1"/>
                <w:szCs w:val="1"/>
                <w:color w:val="auto"/>
              </w:rPr>
              <w:t>-----------</w:t>
            </w:r>
          </w:p>
        </w:tc>
        <w:tc>
          <w:tcPr>
            <w:tcW w:w="12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5"/>
              </w:rPr>
              <w:t>14,807,850</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95"/>
              </w:rPr>
              <w:t>14,827,626</w:t>
            </w:r>
          </w:p>
        </w:tc>
        <w:tc>
          <w:tcPr>
            <w:tcW w:w="42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14,805,688</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5"/>
              </w:rPr>
              <w:t>14,810,770</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Basic net income per share</w:t>
            </w:r>
          </w:p>
        </w:tc>
        <w:tc>
          <w:tcPr>
            <w:tcW w:w="860" w:type="dxa"/>
            <w:vAlign w:val="bottom"/>
            <w:vMerge w:val="restart"/>
          </w:tcPr>
          <w:p>
            <w:pPr>
              <w:ind w:left="7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2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0.12</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0.34</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Courier New" w:cs="Courier New" w:eastAsia="Courier New" w:hAnsi="Courier New"/>
                <w:sz w:val="16"/>
                <w:szCs w:val="16"/>
                <w:color w:val="auto"/>
              </w:rPr>
              <w:t>Diluted net income per share</w:t>
            </w:r>
          </w:p>
        </w:tc>
        <w:tc>
          <w:tcPr>
            <w:tcW w:w="860" w:type="dxa"/>
            <w:vAlign w:val="bottom"/>
            <w:vMerge w:val="restart"/>
          </w:tcPr>
          <w:p>
            <w:pPr>
              <w:ind w:left="76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22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rPr>
              <w:t>0.12</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0"/>
        </w:trPr>
        <w:tc>
          <w:tcPr>
            <w:tcW w:w="374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0.16</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0.25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0.34</w:t>
            </w: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2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4"/>
        </w:trPr>
        <w:tc>
          <w:tcPr>
            <w:tcW w:w="3740" w:type="dxa"/>
            <w:vAlign w:val="bottom"/>
          </w:tcPr>
          <w:p>
            <w:pPr>
              <w:spacing w:after="0"/>
              <w:rPr>
                <w:sz w:val="22"/>
                <w:szCs w:val="22"/>
                <w:color w:val="auto"/>
              </w:rPr>
            </w:pPr>
          </w:p>
        </w:tc>
        <w:tc>
          <w:tcPr>
            <w:tcW w:w="20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62"/>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ind w:right="3280"/>
        <w:spacing w:after="0" w:line="260" w:lineRule="auto"/>
        <w:rPr>
          <w:sz w:val="20"/>
          <w:szCs w:val="20"/>
          <w:color w:val="auto"/>
        </w:rPr>
      </w:pPr>
      <w:r>
        <w:rPr>
          <w:rFonts w:ascii="Courier New" w:cs="Courier New" w:eastAsia="Courier New" w:hAnsi="Courier New"/>
          <w:sz w:val="16"/>
          <w:szCs w:val="16"/>
          <w:color w:val="auto"/>
        </w:rPr>
        <w:t>Excluded from the shares outstanding for the second quarter ended June 30, 1999 and 1998 were 438,125 and 70,750 antidilutive options, respectively, which had exercise prices ranging from $6.38 to $15.50 and $12.50 to $15.50. Excluded from the shares outstanding for the six months ended June 30, 1999 and 1998 were 510,125 and 426,500 antidilutive options, respectively, which had exercise prices ranging from $6.00 to $15.50 and $11.13 to $15.50.</w:t>
      </w:r>
    </w:p>
    <w:p>
      <w:pPr>
        <w:spacing w:after="0" w:line="8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SEGMENT INFORMATION</w:t>
      </w:r>
    </w:p>
    <w:p>
      <w:pPr>
        <w:spacing w:after="0" w:line="179" w:lineRule="exact"/>
        <w:rPr>
          <w:sz w:val="20"/>
          <w:szCs w:val="20"/>
          <w:color w:val="auto"/>
        </w:rPr>
      </w:pPr>
    </w:p>
    <w:p>
      <w:pPr>
        <w:ind w:right="3280"/>
        <w:spacing w:after="0" w:line="271" w:lineRule="auto"/>
        <w:rPr>
          <w:sz w:val="20"/>
          <w:szCs w:val="20"/>
          <w:color w:val="auto"/>
        </w:rPr>
      </w:pPr>
      <w:r>
        <w:rPr>
          <w:rFonts w:ascii="Courier New" w:cs="Courier New" w:eastAsia="Courier New" w:hAnsi="Courier New"/>
          <w:sz w:val="15"/>
          <w:szCs w:val="15"/>
          <w:color w:val="auto"/>
        </w:rPr>
        <w:t>The Company's reportable segments represent geographic business units that offer similar products. They are managed separately due to logistics and differences in business cultures. The Company's United States operations are distributed among two manufacturing facilities in Tennessee and one manufacturing facility in South Carolina. All of these facilities are engaged in the production of precision balls and rollers used primarily in the bearing industry. The Company's European operations are centralized in one manufacturing facility located in Kilkenny, Ireland. The facility is also engaged in the production of precision balls used primarily in the bearing industry.</w:t>
      </w:r>
    </w:p>
    <w:p>
      <w:pPr>
        <w:spacing w:after="0" w:line="77" w:lineRule="exact"/>
        <w:rPr>
          <w:sz w:val="20"/>
          <w:szCs w:val="20"/>
          <w:color w:val="auto"/>
        </w:rPr>
      </w:pPr>
    </w:p>
    <w:p>
      <w:pPr>
        <w:ind w:right="3280"/>
        <w:spacing w:after="0" w:line="281" w:lineRule="auto"/>
        <w:rPr>
          <w:sz w:val="20"/>
          <w:szCs w:val="20"/>
          <w:color w:val="auto"/>
        </w:rPr>
      </w:pPr>
      <w:r>
        <w:rPr>
          <w:rFonts w:ascii="Courier New" w:cs="Courier New" w:eastAsia="Courier New" w:hAnsi="Courier New"/>
          <w:sz w:val="15"/>
          <w:szCs w:val="15"/>
          <w:color w:val="auto"/>
        </w:rPr>
        <w:t>The accounting policies of the segments do not differ from those of the consolidated entity. The Company evaluates segment performance based on profit or loss from operations before income taxes not including non-recurring gains or losses. The Company accounts for intersegment sales and transfers at current market prices; however, the Company did not have any material intersegment transactions during the three or six-month period ended June 30, 1999.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6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w w:val="96"/>
              </w:rPr>
              <w:t>THREE MONTHS ENDED</w:t>
            </w: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308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1999</w:t>
            </w:r>
          </w:p>
        </w:tc>
        <w:tc>
          <w:tcPr>
            <w:tcW w:w="1880" w:type="dxa"/>
            <w:vAlign w:val="bottom"/>
          </w:tcPr>
          <w:p>
            <w:pPr>
              <w:ind w:left="760"/>
              <w:spacing w:after="0"/>
              <w:rPr>
                <w:sz w:val="20"/>
                <w:szCs w:val="20"/>
                <w:color w:val="auto"/>
              </w:rPr>
            </w:pPr>
            <w:r>
              <w:rPr>
                <w:rFonts w:ascii="Courier New" w:cs="Courier New" w:eastAsia="Courier New" w:hAnsi="Courier New"/>
                <w:sz w:val="16"/>
                <w:szCs w:val="16"/>
                <w:color w:val="auto"/>
              </w:rPr>
              <w:t>JUNE 30,</w:t>
            </w:r>
          </w:p>
        </w:tc>
        <w:tc>
          <w:tcPr>
            <w:tcW w:w="520" w:type="dxa"/>
            <w:vAlign w:val="bottom"/>
          </w:tcPr>
          <w:p>
            <w:pPr>
              <w:spacing w:after="0"/>
              <w:rPr>
                <w:sz w:val="22"/>
                <w:szCs w:val="22"/>
                <w:color w:val="auto"/>
              </w:rPr>
            </w:pPr>
          </w:p>
        </w:tc>
        <w:tc>
          <w:tcPr>
            <w:tcW w:w="146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97"/>
        </w:trPr>
        <w:tc>
          <w:tcPr>
            <w:tcW w:w="3660" w:type="dxa"/>
            <w:vAlign w:val="bottom"/>
            <w:vMerge w:val="restart"/>
          </w:tcPr>
          <w:p>
            <w:pPr>
              <w:spacing w:after="0"/>
              <w:rPr>
                <w:sz w:val="20"/>
                <w:szCs w:val="20"/>
                <w:color w:val="auto"/>
              </w:rPr>
            </w:pPr>
            <w:r>
              <w:rPr>
                <w:rFonts w:ascii="Courier New" w:cs="Courier New" w:eastAsia="Courier New" w:hAnsi="Courier New"/>
                <w:sz w:val="16"/>
                <w:szCs w:val="16"/>
                <w:color w:val="auto"/>
              </w:rPr>
              <w:t>THOUSANDS OF DOLLARS</w:t>
            </w:r>
          </w:p>
        </w:tc>
        <w:tc>
          <w:tcPr>
            <w:tcW w:w="3080" w:type="dxa"/>
            <w:vAlign w:val="bottom"/>
            <w:vMerge w:val="continue"/>
          </w:tcPr>
          <w:p>
            <w:pPr>
              <w:spacing w:after="0"/>
              <w:rPr>
                <w:sz w:val="8"/>
                <w:szCs w:val="8"/>
                <w:color w:val="auto"/>
              </w:rPr>
            </w:pPr>
          </w:p>
        </w:tc>
        <w:tc>
          <w:tcPr>
            <w:tcW w:w="18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EUROPE</w:t>
            </w:r>
          </w:p>
        </w:tc>
        <w:tc>
          <w:tcPr>
            <w:tcW w:w="520" w:type="dxa"/>
            <w:vAlign w:val="bottom"/>
            <w:vMerge w:val="restart"/>
          </w:tcPr>
          <w:p>
            <w:pPr>
              <w:spacing w:after="0"/>
              <w:rPr>
                <w:sz w:val="20"/>
                <w:szCs w:val="20"/>
                <w:color w:val="auto"/>
              </w:rPr>
            </w:pPr>
            <w:r>
              <w:rPr>
                <w:rFonts w:ascii="Courier New" w:cs="Courier New" w:eastAsia="Courier New" w:hAnsi="Courier New"/>
                <w:sz w:val="16"/>
                <w:szCs w:val="16"/>
                <w:color w:val="auto"/>
              </w:rPr>
              <w:t>U.S.</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660" w:type="dxa"/>
            <w:vAlign w:val="bottom"/>
            <w:vMerge w:val="continue"/>
          </w:tcPr>
          <w:p>
            <w:pPr>
              <w:spacing w:after="0"/>
              <w:rPr>
                <w:sz w:val="18"/>
                <w:szCs w:val="18"/>
                <w:color w:val="auto"/>
              </w:rPr>
            </w:pPr>
          </w:p>
        </w:tc>
        <w:tc>
          <w:tcPr>
            <w:tcW w:w="3080" w:type="dxa"/>
            <w:vAlign w:val="bottom"/>
          </w:tcPr>
          <w:p>
            <w:pPr>
              <w:jc w:val="right"/>
              <w:ind w:right="842"/>
              <w:spacing w:after="0"/>
              <w:rPr>
                <w:sz w:val="20"/>
                <w:szCs w:val="20"/>
                <w:color w:val="auto"/>
              </w:rPr>
            </w:pPr>
            <w:r>
              <w:rPr>
                <w:rFonts w:ascii="Courier New" w:cs="Courier New" w:eastAsia="Courier New" w:hAnsi="Courier New"/>
                <w:sz w:val="16"/>
                <w:szCs w:val="16"/>
                <w:color w:val="auto"/>
              </w:rPr>
              <w:t>U.S.</w:t>
            </w:r>
          </w:p>
        </w:tc>
        <w:tc>
          <w:tcPr>
            <w:tcW w:w="188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EUROPE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$15,491</w:t>
            </w: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$ 1,984</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$18,028</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$ 1,646</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profit/(loss)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2,438</w:t>
            </w: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180</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3,407</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264"/>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54,670</w:t>
            </w: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12,354</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57,948</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11,043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80"/>
          </w:cols>
          <w:pgMar w:left="240" w:top="811" w:right="8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40" w:type="dxa"/>
            <w:vAlign w:val="bottom"/>
            <w:gridSpan w:val="2"/>
          </w:tcPr>
          <w:p>
            <w:pPr>
              <w:jc w:val="center"/>
              <w:ind w:right="22"/>
              <w:spacing w:after="0"/>
              <w:rPr>
                <w:sz w:val="20"/>
                <w:szCs w:val="20"/>
                <w:color w:val="auto"/>
              </w:rPr>
            </w:pPr>
            <w:r>
              <w:rPr>
                <w:rFonts w:ascii="Courier New" w:cs="Courier New" w:eastAsia="Courier New" w:hAnsi="Courier New"/>
                <w:sz w:val="16"/>
                <w:szCs w:val="16"/>
                <w:color w:val="auto"/>
                <w:w w:val="97"/>
              </w:rPr>
              <w:t>SIX MONTHS ENDED</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320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1999</w:t>
            </w:r>
          </w:p>
        </w:tc>
        <w:tc>
          <w:tcPr>
            <w:tcW w:w="160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8"/>
              </w:rPr>
              <w:t>JUNE 30,</w:t>
            </w:r>
          </w:p>
        </w:tc>
        <w:tc>
          <w:tcPr>
            <w:tcW w:w="640" w:type="dxa"/>
            <w:vAlign w:val="bottom"/>
          </w:tcPr>
          <w:p>
            <w:pPr>
              <w:spacing w:after="0"/>
              <w:rPr>
                <w:sz w:val="22"/>
                <w:szCs w:val="22"/>
                <w:color w:val="auto"/>
              </w:rPr>
            </w:pPr>
          </w:p>
        </w:tc>
        <w:tc>
          <w:tcPr>
            <w:tcW w:w="1460" w:type="dxa"/>
            <w:vAlign w:val="bottom"/>
            <w:vMerge w:val="restart"/>
          </w:tcPr>
          <w:p>
            <w:pPr>
              <w:jc w:val="right"/>
              <w:ind w:right="862"/>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97"/>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THOUSANDS OF DOLLARS</w:t>
            </w:r>
          </w:p>
        </w:tc>
        <w:tc>
          <w:tcPr>
            <w:tcW w:w="3200" w:type="dxa"/>
            <w:vAlign w:val="bottom"/>
            <w:vMerge w:val="continue"/>
          </w:tcPr>
          <w:p>
            <w:pPr>
              <w:spacing w:after="0"/>
              <w:rPr>
                <w:sz w:val="8"/>
                <w:szCs w:val="8"/>
                <w:color w:val="auto"/>
              </w:rPr>
            </w:pPr>
          </w:p>
        </w:tc>
        <w:tc>
          <w:tcPr>
            <w:tcW w:w="1600" w:type="dxa"/>
            <w:vAlign w:val="bottom"/>
            <w:vMerge w:val="restart"/>
          </w:tcPr>
          <w:p>
            <w:pPr>
              <w:ind w:left="240"/>
              <w:spacing w:after="0"/>
              <w:rPr>
                <w:sz w:val="20"/>
                <w:szCs w:val="20"/>
                <w:color w:val="auto"/>
              </w:rPr>
            </w:pPr>
            <w:r>
              <w:rPr>
                <w:rFonts w:ascii="Courier New" w:cs="Courier New" w:eastAsia="Courier New" w:hAnsi="Courier New"/>
                <w:sz w:val="16"/>
                <w:szCs w:val="16"/>
                <w:color w:val="auto"/>
              </w:rPr>
              <w:t>EUROPE</w:t>
            </w:r>
          </w:p>
        </w:tc>
        <w:tc>
          <w:tcPr>
            <w:tcW w:w="64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U.S.</w:t>
            </w: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600" w:type="dxa"/>
            <w:vAlign w:val="bottom"/>
            <w:vMerge w:val="continue"/>
          </w:tcPr>
          <w:p>
            <w:pPr>
              <w:spacing w:after="0"/>
              <w:rPr>
                <w:sz w:val="18"/>
                <w:szCs w:val="18"/>
                <w:color w:val="auto"/>
              </w:rPr>
            </w:pPr>
          </w:p>
        </w:tc>
        <w:tc>
          <w:tcPr>
            <w:tcW w:w="3200" w:type="dxa"/>
            <w:vAlign w:val="bottom"/>
          </w:tcPr>
          <w:p>
            <w:pPr>
              <w:jc w:val="right"/>
              <w:ind w:right="1002"/>
              <w:spacing w:after="0"/>
              <w:rPr>
                <w:sz w:val="20"/>
                <w:szCs w:val="20"/>
                <w:color w:val="auto"/>
              </w:rPr>
            </w:pPr>
            <w:r>
              <w:rPr>
                <w:rFonts w:ascii="Courier New" w:cs="Courier New" w:eastAsia="Courier New" w:hAnsi="Courier New"/>
                <w:sz w:val="16"/>
                <w:szCs w:val="16"/>
                <w:color w:val="auto"/>
              </w:rPr>
              <w:t>U.S.</w:t>
            </w:r>
          </w:p>
        </w:tc>
        <w:tc>
          <w:tcPr>
            <w:tcW w:w="16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EUROPE</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 -----------------------------------------------------------------------------------------------------------------</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gridSpan w:val="2"/>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$31,104</w:t>
            </w: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$ 4,283</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$37,880</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$2,680</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profit/(loss)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5,022</w:t>
            </w: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522</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7,758</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(143)</w:t>
            </w:r>
          </w:p>
        </w:tc>
      </w:tr>
      <w:tr>
        <w:trPr>
          <w:trHeight w:val="264"/>
        </w:trPr>
        <w:tc>
          <w:tcPr>
            <w:tcW w:w="700" w:type="dxa"/>
            <w:vAlign w:val="bottom"/>
          </w:tcPr>
          <w:p>
            <w:pPr>
              <w:spacing w:after="0"/>
              <w:rPr>
                <w:sz w:val="20"/>
                <w:szCs w:val="20"/>
                <w:color w:val="auto"/>
              </w:rPr>
            </w:pPr>
            <w:r>
              <w:rPr>
                <w:rFonts w:ascii="Courier New" w:cs="Courier New" w:eastAsia="Courier New" w:hAnsi="Courier New"/>
                <w:sz w:val="16"/>
                <w:szCs w:val="16"/>
                <w:color w:val="auto"/>
              </w:rPr>
              <w:t>Segment</w:t>
            </w:r>
          </w:p>
        </w:tc>
        <w:tc>
          <w:tcPr>
            <w:tcW w:w="3420" w:type="dxa"/>
            <w:vAlign w:val="bottom"/>
          </w:tcPr>
          <w:p>
            <w:pPr>
              <w:ind w:left="40"/>
              <w:spacing w:after="0"/>
              <w:rPr>
                <w:sz w:val="20"/>
                <w:szCs w:val="20"/>
                <w:color w:val="auto"/>
              </w:rPr>
            </w:pPr>
            <w:r>
              <w:rPr>
                <w:rFonts w:ascii="Courier New" w:cs="Courier New" w:eastAsia="Courier New" w:hAnsi="Courier New"/>
                <w:sz w:val="16"/>
                <w:szCs w:val="16"/>
                <w:color w:val="auto"/>
              </w:rPr>
              <w:t>assets</w:t>
            </w:r>
          </w:p>
        </w:tc>
        <w:tc>
          <w:tcPr>
            <w:tcW w:w="23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54,670</w:t>
            </w:r>
          </w:p>
        </w:tc>
        <w:tc>
          <w:tcPr>
            <w:tcW w:w="16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12,354</w:t>
            </w:r>
          </w:p>
        </w:tc>
        <w:tc>
          <w:tcPr>
            <w:tcW w:w="15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57,948</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11,043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460"/>
        <w:spacing w:after="0" w:line="348" w:lineRule="auto"/>
        <w:rPr>
          <w:sz w:val="20"/>
          <w:szCs w:val="20"/>
          <w:color w:val="auto"/>
        </w:rPr>
      </w:pPr>
      <w:r>
        <w:rPr>
          <w:rFonts w:ascii="Courier New" w:cs="Courier New" w:eastAsia="Courier New" w:hAnsi="Courier New"/>
          <w:sz w:val="16"/>
          <w:szCs w:val="16"/>
          <w:color w:val="auto"/>
        </w:rPr>
        <w:t>Segment assets for U.S. and Europe at December 31, 1998 were $53.5 million and $13.4 million, respectively.</w:t>
      </w:r>
    </w:p>
    <w:p>
      <w:pPr>
        <w:spacing w:after="0" w:line="1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SUBSEQUENT EVENT</w:t>
      </w:r>
    </w:p>
    <w:p>
      <w:pPr>
        <w:spacing w:after="0" w:line="179" w:lineRule="exact"/>
        <w:rPr>
          <w:sz w:val="20"/>
          <w:szCs w:val="20"/>
          <w:color w:val="auto"/>
        </w:rPr>
      </w:pPr>
    </w:p>
    <w:p>
      <w:pPr>
        <w:ind w:right="3280"/>
        <w:spacing w:after="0" w:line="269" w:lineRule="auto"/>
        <w:rPr>
          <w:sz w:val="20"/>
          <w:szCs w:val="20"/>
          <w:color w:val="auto"/>
        </w:rPr>
      </w:pPr>
      <w:r>
        <w:rPr>
          <w:rFonts w:ascii="Courier New" w:cs="Courier New" w:eastAsia="Courier New" w:hAnsi="Courier New"/>
          <w:sz w:val="15"/>
          <w:szCs w:val="15"/>
          <w:color w:val="auto"/>
        </w:rPr>
        <w:t>Effective July 4, 1999 the Company acquired substantially all of the assets and assumed certain liabilities of Earsley Capital Corporation, a Nevada corporation and successor to and formerly known as Industrial Molding Corporation ("IMC"). IMC, located in Lubbock, Texas, operates as a premier full-service designer and manufacturer of precision plastic injection molded components. The Company plans to continue the operation of the IMC business as a subsidiary entity. The Company paid consideration of approximately $26 million, consisting of cash in the amount of $23.5 million and 440,038 shares of its common stock, for the net assets acquired from IMC. Cash used in the acquisition was obtained from the Company's existing line of credit with First American Bank.</w:t>
      </w:r>
    </w:p>
    <w:p>
      <w:pPr>
        <w:spacing w:after="0" w:line="80" w:lineRule="exact"/>
        <w:rPr>
          <w:sz w:val="20"/>
          <w:szCs w:val="20"/>
          <w:color w:val="auto"/>
        </w:rPr>
      </w:pPr>
    </w:p>
    <w:p>
      <w:pPr>
        <w:ind w:right="3280"/>
        <w:spacing w:after="0" w:line="266" w:lineRule="auto"/>
        <w:rPr>
          <w:sz w:val="20"/>
          <w:szCs w:val="20"/>
          <w:color w:val="auto"/>
        </w:rPr>
      </w:pPr>
      <w:r>
        <w:rPr>
          <w:rFonts w:ascii="Courier New" w:cs="Courier New" w:eastAsia="Courier New" w:hAnsi="Courier New"/>
          <w:sz w:val="16"/>
          <w:szCs w:val="16"/>
          <w:color w:val="auto"/>
        </w:rPr>
        <w:t>IMC reported earnings of $1.9 million and $1.2 million on net sales of $28.1 million and $13.7 million for the year ended January 2, 1998 and the six-month period ended July 4, 1999, respectively. Net assets of IMC which were acquired by the Company approximated $13.7 million and $16 million at January 2, 1999 and July 4, 1999, respectively.</w:t>
      </w:r>
    </w:p>
    <w:p>
      <w:pPr>
        <w:spacing w:after="0" w:line="25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780"/>
          </w:cols>
          <w:pgMar w:left="240" w:top="1351" w:right="879" w:bottom="1440" w:gutter="0" w:footer="0" w:header="0"/>
        </w:sectPr>
      </w:pPr>
    </w:p>
    <w:bookmarkStart w:id="9" w:name="page10"/>
    <w:bookmarkEnd w:id="9"/>
    <w:p>
      <w:pPr>
        <w:jc w:val="center"/>
        <w:ind w:right="2639"/>
        <w:spacing w:after="0"/>
        <w:rPr>
          <w:sz w:val="20"/>
          <w:szCs w:val="20"/>
          <w:color w:val="auto"/>
        </w:rPr>
      </w:pPr>
      <w:r>
        <w:rPr>
          <w:rFonts w:ascii="Courier New" w:cs="Courier New" w:eastAsia="Courier New" w:hAnsi="Courier New"/>
          <w:sz w:val="16"/>
          <w:szCs w:val="16"/>
          <w:color w:val="auto"/>
        </w:rPr>
        <w:t>MANAGEMENT'S DISCUSSION AND ANALYSIS OF</w:t>
      </w:r>
    </w:p>
    <w:p>
      <w:pPr>
        <w:spacing w:after="0" w:line="27"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FINANCIAL CONDITION AND RESULTS OF OPERATIONS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79" w:lineRule="exact"/>
        <w:rPr>
          <w:sz w:val="20"/>
          <w:szCs w:val="20"/>
          <w:color w:val="auto"/>
        </w:rPr>
      </w:pPr>
    </w:p>
    <w:p>
      <w:pPr>
        <w:ind w:right="3099"/>
        <w:spacing w:after="0" w:line="348" w:lineRule="auto"/>
        <w:rPr>
          <w:sz w:val="20"/>
          <w:szCs w:val="20"/>
          <w:color w:val="auto"/>
        </w:rPr>
      </w:pPr>
      <w:r>
        <w:rPr>
          <w:rFonts w:ascii="Courier New" w:cs="Courier New" w:eastAsia="Courier New" w:hAnsi="Courier New"/>
          <w:sz w:val="16"/>
          <w:szCs w:val="16"/>
          <w:color w:val="auto"/>
        </w:rPr>
        <w:t>THREE MONTHS ENDED JUNE 30, 1999 COMPARED TO THE THREE MONTHS ENDED JUNE 30, 1998</w:t>
      </w:r>
    </w:p>
    <w:p>
      <w:pPr>
        <w:spacing w:after="0" w:line="15"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NET SALES. Net sales decreased by approximately $2.2 million, or 11.2%, from $19.7 million for the second quarter of 1998 to $17.5 million for the second quarter of 1999. Foreign sales decreased $1.4 million, or 15.0%, from $9.3 million in the second quarter of 1998 to $7.9 million during the second quarter of 1999. The decrease in foreign sales was due primarily to decreased global demand for the Company's products due to weak sales volumes and to a lessor degree decreased selling prices to existing customers. Domestic sales decreased $800,000, or 7.7%, from $10.4 million in the second quarter of 1998 to $9.6 million in the second quarter of 1999. This decrease was due primarily to decreased sales to existing customers.</w:t>
      </w:r>
    </w:p>
    <w:p>
      <w:pPr>
        <w:spacing w:after="0" w:line="89"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GROSS PROFIT. Gross profit decreased $1.2 million or 20.0%, from $6.1 million for the second quarter of 1998 to $4.9 million for the second quarter of 1999. As a percentage of net sales, gross profit decreased from 31.1% in the second quarter of 1998 to 27.9% for the same period in 1999. This decrease in gross profit as a percentage of net sales was due primarily to decreased levels of volume during the second quarter of 1999 as compared to the second quarter of 1998 and related capacity under-utilization. Also, planned inventory reductions of approximately $2.6 million during the 1999 second quarter contributed to the decrease.</w:t>
      </w:r>
    </w:p>
    <w:p>
      <w:pPr>
        <w:spacing w:after="0" w:line="91" w:lineRule="exact"/>
        <w:rPr>
          <w:sz w:val="20"/>
          <w:szCs w:val="20"/>
          <w:color w:val="auto"/>
        </w:rPr>
      </w:pPr>
    </w:p>
    <w:p>
      <w:pPr>
        <w:ind w:right="2719"/>
        <w:spacing w:after="0" w:line="281"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decreased by $503,000 or 32.9%, from $1.5 million in the second quarter of 1998 to $1.0 million in the second quarter of 1999. This decrease was due primarily to lower salary, travel and advertising expenses. As a percentage of net sales, selling, general and administrative expenses decreased from 7.8% for the second quarter of 1998 to 5.9% for the same period in 1999.</w:t>
      </w:r>
    </w:p>
    <w:p>
      <w:pPr>
        <w:spacing w:after="0" w:line="69"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DEPRECIATION. Depreciation expense increased from $1.18 million for the second quarter of 1998 to $1.23 million for the same period in 1999. As a percentage of net sales, depreciation expense increased from 6.0% in the second quarter of 1998 to 7.0% in the second quarter of 1999.</w:t>
      </w:r>
    </w:p>
    <w:p>
      <w:pPr>
        <w:spacing w:after="0" w:line="71" w:lineRule="exact"/>
        <w:rPr>
          <w:sz w:val="20"/>
          <w:szCs w:val="20"/>
          <w:color w:val="auto"/>
        </w:rPr>
      </w:pPr>
    </w:p>
    <w:p>
      <w:pPr>
        <w:ind w:right="2819"/>
        <w:spacing w:after="0" w:line="348" w:lineRule="auto"/>
        <w:rPr>
          <w:sz w:val="20"/>
          <w:szCs w:val="20"/>
          <w:color w:val="auto"/>
        </w:rPr>
      </w:pPr>
      <w:r>
        <w:rPr>
          <w:rFonts w:ascii="Courier New" w:cs="Courier New" w:eastAsia="Courier New" w:hAnsi="Courier New"/>
          <w:sz w:val="16"/>
          <w:szCs w:val="16"/>
          <w:color w:val="auto"/>
        </w:rPr>
        <w:t>INTEREST EXPENSE. Interest expense decreased from $18,000 in the second quarter of 1998 to $8,000 during the same period in 1999.</w:t>
      </w:r>
    </w:p>
    <w:p>
      <w:pPr>
        <w:spacing w:after="0" w:line="15"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NET INCOME. Net income decreased by $609,000 or 26.2%, from $2.3 million for the second quarter of 1998 to $1.7 million for the same period in 1999. As a percentage of net sales, net income decreased from 11.8% in the second quarter of 1998 to 9.8% for the second quarter of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SIX MONTHS ENDED JUNE 30, 1999 COMPARED TO THE SIX MONTHS ENDED JUNE 30, 1998</w:t>
      </w:r>
    </w:p>
    <w:p>
      <w:pPr>
        <w:spacing w:after="0" w:line="179"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6"/>
          <w:szCs w:val="16"/>
          <w:color w:val="auto"/>
        </w:rPr>
        <w:t>NET SALES. Net sales decreased by approximately $5.2 million, or 12.7%, from $40.6 million for the first six months of 1998 to $35.4 million for the same period in 1999. Foreign sales decreased $3.8 million, or 19.6%, from $19.4 million in the first six months of 1998 to $15.6 million during the same period of 1999. The decrease in foreign sales was due primarily to decreased global demand for the Company's products due to weak sales volumes and to a lessor degree decreased selling prices to existing customers. Domestic sales decreased $1.4 million, or 6.6%, from $21.2 million in the first six months of 1998 to $19.8 million in the same period of 1999. This decrease was due primarily to decreased sales to existing customers.</w:t>
      </w:r>
    </w:p>
    <w:p>
      <w:pPr>
        <w:spacing w:after="0" w:line="2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11" w:right="1440" w:bottom="1440" w:gutter="0" w:footer="0" w:header="0"/>
        </w:sectPr>
      </w:pPr>
    </w:p>
    <w:bookmarkStart w:id="10" w:name="page11"/>
    <w:bookmarkEnd w:id="10"/>
    <w:p>
      <w:pPr>
        <w:ind w:right="2719"/>
        <w:spacing w:after="0" w:line="252" w:lineRule="auto"/>
        <w:rPr>
          <w:sz w:val="20"/>
          <w:szCs w:val="20"/>
          <w:color w:val="auto"/>
        </w:rPr>
      </w:pPr>
      <w:r>
        <w:rPr>
          <w:rFonts w:ascii="Courier New" w:cs="Courier New" w:eastAsia="Courier New" w:hAnsi="Courier New"/>
          <w:sz w:val="16"/>
          <w:szCs w:val="16"/>
          <w:color w:val="auto"/>
        </w:rPr>
        <w:t>GROSS PROFIT. Gross profit decreased $2.5 million, or 19.9%, from $12.8 million for the first six months of 1998 to $10.3 million for the same period of 1999. As a percentage of net sales, gross profit decreased from 31.7% in the first six months of 1998 to 29.0% in the same period of 1999. This decrease in gross profit as a percentage of net sales was due primarily to decreased levels of volume during the first half of 1999 as compared to the first half of 1998 and related capacity under-utilization. Also, planned inventory reductions of approximately $4.0 million since the beginning of the year contributed to the decline.</w:t>
      </w:r>
    </w:p>
    <w:p>
      <w:pPr>
        <w:spacing w:after="0" w:line="91" w:lineRule="exact"/>
        <w:rPr>
          <w:sz w:val="20"/>
          <w:szCs w:val="20"/>
          <w:color w:val="auto"/>
        </w:rPr>
      </w:pPr>
    </w:p>
    <w:p>
      <w:pPr>
        <w:ind w:right="2719"/>
        <w:spacing w:after="0" w:line="281"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expenses decreased by $589,000, or 20.8%, from $2.8 million in the first six months of 1998 to $2.2 million in the same period of 1999. This decrease was due primarily to lower salary, travel and advertising expenses. As a percentage of net sales, selling, general and administrative expenses decreased from 7.0% in the first six months of 1998 to 6.3% for the same period in 1999.</w:t>
      </w:r>
    </w:p>
    <w:p>
      <w:pPr>
        <w:spacing w:after="0" w:line="69" w:lineRule="exact"/>
        <w:rPr>
          <w:sz w:val="20"/>
          <w:szCs w:val="20"/>
          <w:color w:val="auto"/>
        </w:rPr>
      </w:pPr>
    </w:p>
    <w:p>
      <w:pPr>
        <w:ind w:right="2719"/>
        <w:spacing w:after="0" w:line="266" w:lineRule="auto"/>
        <w:rPr>
          <w:sz w:val="20"/>
          <w:szCs w:val="20"/>
          <w:color w:val="auto"/>
        </w:rPr>
      </w:pPr>
      <w:r>
        <w:rPr>
          <w:rFonts w:ascii="Courier New" w:cs="Courier New" w:eastAsia="Courier New" w:hAnsi="Courier New"/>
          <w:sz w:val="16"/>
          <w:szCs w:val="16"/>
          <w:color w:val="auto"/>
        </w:rPr>
        <w:t>DEPRECIATION. Depreciation expense increased from $2.3 million for the first six months of 1998 to $2.5 million for the same period in 1999. This increase was due primarily to purchases of capital equipment. As a percentage of net sales, depreciation expense increased from 5.8% for the first six months of 1998 to 7.0% for the same period in 1999.</w:t>
      </w:r>
    </w:p>
    <w:p>
      <w:pPr>
        <w:spacing w:after="0" w:line="78" w:lineRule="exact"/>
        <w:rPr>
          <w:sz w:val="20"/>
          <w:szCs w:val="20"/>
          <w:color w:val="auto"/>
        </w:rPr>
      </w:pPr>
    </w:p>
    <w:p>
      <w:pPr>
        <w:ind w:right="3279"/>
        <w:spacing w:after="0" w:line="348" w:lineRule="auto"/>
        <w:rPr>
          <w:sz w:val="20"/>
          <w:szCs w:val="20"/>
          <w:color w:val="auto"/>
        </w:rPr>
      </w:pPr>
      <w:r>
        <w:rPr>
          <w:rFonts w:ascii="Courier New" w:cs="Courier New" w:eastAsia="Courier New" w:hAnsi="Courier New"/>
          <w:sz w:val="16"/>
          <w:szCs w:val="16"/>
          <w:color w:val="auto"/>
        </w:rPr>
        <w:t>INTEREST EXPENSE. Interest expense decreased from $33,000 in the first six months of 1998 to $9,000 during the same period in 1999.</w:t>
      </w:r>
    </w:p>
    <w:p>
      <w:pPr>
        <w:spacing w:after="0" w:line="15" w:lineRule="exact"/>
        <w:rPr>
          <w:sz w:val="20"/>
          <w:szCs w:val="20"/>
          <w:color w:val="auto"/>
        </w:rPr>
      </w:pPr>
    </w:p>
    <w:p>
      <w:pPr>
        <w:ind w:right="2819"/>
        <w:spacing w:after="0" w:line="275" w:lineRule="auto"/>
        <w:rPr>
          <w:sz w:val="20"/>
          <w:szCs w:val="20"/>
          <w:color w:val="auto"/>
        </w:rPr>
      </w:pPr>
      <w:r>
        <w:rPr>
          <w:rFonts w:ascii="Courier New" w:cs="Courier New" w:eastAsia="Courier New" w:hAnsi="Courier New"/>
          <w:sz w:val="16"/>
          <w:szCs w:val="16"/>
          <w:color w:val="auto"/>
        </w:rPr>
        <w:t>NET INCOME. Net income decreased by $1.3 million, or 26.3%, from $5.0 million for the first six months of 1998 to $3.7 million for the same period for 1999. As a percentage of net sales, net income decreased from 12.3% for the first six months of 1998 to 10.4% for the same period for 1999.</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9" w:lineRule="exact"/>
        <w:rPr>
          <w:sz w:val="20"/>
          <w:szCs w:val="20"/>
          <w:color w:val="auto"/>
        </w:rPr>
      </w:pPr>
    </w:p>
    <w:p>
      <w:pPr>
        <w:ind w:right="2719"/>
        <w:spacing w:after="0" w:line="245" w:lineRule="auto"/>
        <w:rPr>
          <w:sz w:val="20"/>
          <w:szCs w:val="20"/>
          <w:color w:val="auto"/>
        </w:rPr>
      </w:pPr>
      <w:r>
        <w:rPr>
          <w:rFonts w:ascii="Courier New" w:cs="Courier New" w:eastAsia="Courier New" w:hAnsi="Courier New"/>
          <w:sz w:val="16"/>
          <w:szCs w:val="16"/>
          <w:color w:val="auto"/>
        </w:rPr>
        <w:t>In July 1997, the Company entered into a loan agreement with First American National Bank ("First American") which provides for a revolving credit facility of up to $25 million, expiring on June 30, 2000. 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 contains customary financial covenants with respect to the Company, including a covenant that the Company's earnings will not decrease in any year by more than fifty percent of earnings in the Company's immediately preceding fiscal year. The Company, as of August 9, 1999 was in compliance with all such covenants.</w:t>
      </w:r>
    </w:p>
    <w:p>
      <w:pPr>
        <w:spacing w:after="0" w:line="97" w:lineRule="exact"/>
        <w:rPr>
          <w:sz w:val="20"/>
          <w:szCs w:val="20"/>
          <w:color w:val="auto"/>
        </w:rPr>
      </w:pPr>
    </w:p>
    <w:p>
      <w:pPr>
        <w:ind w:right="2819"/>
        <w:spacing w:after="0" w:line="299" w:lineRule="auto"/>
        <w:rPr>
          <w:sz w:val="20"/>
          <w:szCs w:val="20"/>
          <w:color w:val="auto"/>
        </w:rPr>
      </w:pPr>
      <w:r>
        <w:rPr>
          <w:rFonts w:ascii="Courier New" w:cs="Courier New" w:eastAsia="Courier New" w:hAnsi="Courier New"/>
          <w:sz w:val="15"/>
          <w:szCs w:val="15"/>
          <w:color w:val="auto"/>
        </w:rPr>
        <w:t>In July 1999, the Company borrowed $18.5 million under the revolving credit facility in order to execute its purchase of selected assets of Earsley Capital Corporation. As a result of this transaction, management is in the process of renegotiating the terms of the revolving credit facility with First American.</w:t>
      </w:r>
    </w:p>
    <w:p>
      <w:pPr>
        <w:spacing w:after="0" w:line="55" w:lineRule="exact"/>
        <w:rPr>
          <w:sz w:val="20"/>
          <w:szCs w:val="20"/>
          <w:color w:val="auto"/>
        </w:rPr>
      </w:pPr>
    </w:p>
    <w:p>
      <w:pPr>
        <w:ind w:right="2719"/>
        <w:spacing w:after="0" w:line="271" w:lineRule="auto"/>
        <w:rPr>
          <w:sz w:val="20"/>
          <w:szCs w:val="20"/>
          <w:color w:val="auto"/>
        </w:rPr>
      </w:pPr>
      <w:r>
        <w:rPr>
          <w:rFonts w:ascii="Courier New" w:cs="Courier New" w:eastAsia="Courier New" w:hAnsi="Courier New"/>
          <w:sz w:val="15"/>
          <w:szCs w:val="15"/>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as foreign sales have increased as a percentage of total sales, seasonality has</w:t>
      </w:r>
    </w:p>
    <w:p>
      <w:pPr>
        <w:spacing w:after="0" w:line="200" w:lineRule="exact"/>
        <w:rPr>
          <w:sz w:val="20"/>
          <w:szCs w:val="20"/>
          <w:color w:val="auto"/>
        </w:rPr>
      </w:pPr>
    </w:p>
    <w:p>
      <w:pPr>
        <w:spacing w:after="0" w:line="238"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11" w:right="1440" w:bottom="1440" w:gutter="0" w:footer="0" w:header="0"/>
        </w:sectPr>
      </w:pPr>
    </w:p>
    <w:bookmarkStart w:id="11" w:name="page12"/>
    <w:bookmarkEnd w:id="11"/>
    <w:p>
      <w:pPr>
        <w:ind w:right="2819"/>
        <w:spacing w:after="0" w:line="348" w:lineRule="auto"/>
        <w:rPr>
          <w:sz w:val="20"/>
          <w:szCs w:val="20"/>
          <w:color w:val="auto"/>
        </w:rPr>
      </w:pPr>
      <w:r>
        <w:rPr>
          <w:rFonts w:ascii="Courier New" w:cs="Courier New" w:eastAsia="Courier New" w:hAnsi="Courier New"/>
          <w:sz w:val="16"/>
          <w:szCs w:val="16"/>
          <w:color w:val="auto"/>
        </w:rPr>
        <w:t>become a factor for the Company in that many foreign customers cease production during the month of August.</w:t>
      </w:r>
    </w:p>
    <w:p>
      <w:pPr>
        <w:spacing w:after="0" w:line="15" w:lineRule="exact"/>
        <w:rPr>
          <w:sz w:val="20"/>
          <w:szCs w:val="20"/>
          <w:color w:val="auto"/>
        </w:rPr>
      </w:pPr>
    </w:p>
    <w:p>
      <w:pPr>
        <w:ind w:right="2719"/>
        <w:spacing w:after="0" w:line="273" w:lineRule="auto"/>
        <w:rPr>
          <w:sz w:val="20"/>
          <w:szCs w:val="20"/>
          <w:color w:val="auto"/>
        </w:rPr>
      </w:pPr>
      <w:r>
        <w:rPr>
          <w:rFonts w:ascii="Courier New" w:cs="Courier New" w:eastAsia="Courier New" w:hAnsi="Courier New"/>
          <w:sz w:val="15"/>
          <w:szCs w:val="15"/>
          <w:color w:val="auto"/>
        </w:rPr>
        <w:t>The Company bills and receives payment from some of its foreign customers in their local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77" w:lineRule="exact"/>
        <w:rPr>
          <w:sz w:val="20"/>
          <w:szCs w:val="20"/>
          <w:color w:val="auto"/>
        </w:rPr>
      </w:pPr>
    </w:p>
    <w:p>
      <w:pPr>
        <w:ind w:right="2819"/>
        <w:spacing w:after="0" w:line="273" w:lineRule="auto"/>
        <w:rPr>
          <w:sz w:val="20"/>
          <w:szCs w:val="20"/>
          <w:color w:val="auto"/>
        </w:rPr>
      </w:pPr>
      <w:r>
        <w:rPr>
          <w:rFonts w:ascii="Courier New" w:cs="Courier New" w:eastAsia="Courier New" w:hAnsi="Courier New"/>
          <w:sz w:val="15"/>
          <w:szCs w:val="15"/>
          <w:color w:val="auto"/>
        </w:rPr>
        <w:t>Working capital, which consists principally of accounts receivable and inventories, was $23.2 million at June 30, 1999 as compared to $20.9 million at December 31, 1998. The ratio of current assets to current liabilities increased from 3.7:1 at December 31, 1998 to 4.0:1 at June 30, 1999. Cash flow from operations increased from $4.9 million during the six months of 1998 to $7.9 million during the first six months of 1999. This increase was primarily attributed to a decrease of $4.0 million in inventories for the first half of 1999 as compared to an increase of $380,000 for the first half of 1998.</w:t>
      </w:r>
    </w:p>
    <w:p>
      <w:pPr>
        <w:spacing w:after="0" w:line="77" w:lineRule="exact"/>
        <w:rPr>
          <w:sz w:val="20"/>
          <w:szCs w:val="20"/>
          <w:color w:val="auto"/>
        </w:rPr>
      </w:pPr>
    </w:p>
    <w:p>
      <w:pPr>
        <w:ind w:right="2819"/>
        <w:spacing w:after="0" w:line="252" w:lineRule="auto"/>
        <w:rPr>
          <w:sz w:val="20"/>
          <w:szCs w:val="20"/>
          <w:color w:val="auto"/>
        </w:rPr>
      </w:pPr>
      <w:r>
        <w:rPr>
          <w:rFonts w:ascii="Courier New" w:cs="Courier New" w:eastAsia="Courier New" w:hAnsi="Courier New"/>
          <w:sz w:val="16"/>
          <w:szCs w:val="16"/>
          <w:color w:val="auto"/>
        </w:rPr>
        <w:t>During 1999, the Company plans to spend approximately $3.0 million on capital expenditures (of which approximately $1.2 million has been spent through June 30, 1999) including the purchase of additional machinery and equipment for all three of the Company's U.S. facilities as well as the Ireland facility.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1999.</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w:t>
      </w:r>
    </w:p>
    <w:p>
      <w:pPr>
        <w:spacing w:after="0" w:line="179" w:lineRule="exact"/>
        <w:rPr>
          <w:sz w:val="20"/>
          <w:szCs w:val="20"/>
          <w:color w:val="auto"/>
        </w:rPr>
      </w:pPr>
    </w:p>
    <w:p>
      <w:pPr>
        <w:ind w:right="2719"/>
        <w:spacing w:after="0" w:line="288" w:lineRule="auto"/>
        <w:rPr>
          <w:sz w:val="20"/>
          <w:szCs w:val="20"/>
          <w:color w:val="auto"/>
        </w:rPr>
      </w:pPr>
      <w:r>
        <w:rPr>
          <w:rFonts w:ascii="Courier New" w:cs="Courier New" w:eastAsia="Courier New" w:hAnsi="Courier New"/>
          <w:sz w:val="15"/>
          <w:szCs w:val="15"/>
          <w:color w:val="auto"/>
        </w:rPr>
        <w:t>The Year 2000 issue is the result of computer programs written using two digits rather than four digits to identify a particular year. Without corrective action, programs with time-sensitive software could potentially act as if a date ending in "00" is the year 1900 rather than the year 2000. This could cause computer applications to create erroneous results or cause a system failure.</w:t>
      </w:r>
    </w:p>
    <w:p>
      <w:pPr>
        <w:spacing w:after="0" w:line="63" w:lineRule="exact"/>
        <w:rPr>
          <w:sz w:val="20"/>
          <w:szCs w:val="20"/>
          <w:color w:val="auto"/>
        </w:rPr>
      </w:pPr>
    </w:p>
    <w:p>
      <w:pPr>
        <w:ind w:right="2819"/>
        <w:spacing w:after="0" w:line="254" w:lineRule="auto"/>
        <w:rPr>
          <w:sz w:val="20"/>
          <w:szCs w:val="20"/>
          <w:color w:val="auto"/>
        </w:rPr>
      </w:pPr>
      <w:r>
        <w:rPr>
          <w:rFonts w:ascii="Courier New" w:cs="Courier New" w:eastAsia="Courier New" w:hAnsi="Courier New"/>
          <w:sz w:val="16"/>
          <w:szCs w:val="16"/>
          <w:color w:val="auto"/>
        </w:rPr>
        <w:t>The Company has conducted a comprehensive evaluation of both its information technology systems and non-information technology systems to determine if there would be a Year 2000 problem with these systems. Prior to that evaluation, however, the Company had decided to upgrade its information technology systems. The systems the Company has installed have been certified by the vendor to be Year 2000 compliant. The Company also evaluated its non-information technology systems and received certification by the manufacturers of that equipment that they are Year 2000 compliant.</w:t>
      </w:r>
    </w:p>
    <w:p>
      <w:pPr>
        <w:spacing w:after="0" w:line="89" w:lineRule="exact"/>
        <w:rPr>
          <w:sz w:val="20"/>
          <w:szCs w:val="20"/>
          <w:color w:val="auto"/>
        </w:rPr>
      </w:pPr>
    </w:p>
    <w:p>
      <w:pPr>
        <w:ind w:right="2899"/>
        <w:spacing w:after="0" w:line="275" w:lineRule="auto"/>
        <w:rPr>
          <w:sz w:val="20"/>
          <w:szCs w:val="20"/>
          <w:color w:val="auto"/>
        </w:rPr>
      </w:pPr>
      <w:r>
        <w:rPr>
          <w:rFonts w:ascii="Courier New" w:cs="Courier New" w:eastAsia="Courier New" w:hAnsi="Courier New"/>
          <w:sz w:val="16"/>
          <w:szCs w:val="16"/>
          <w:color w:val="auto"/>
        </w:rPr>
        <w:t>As of June 30, 1999, the Company has sustantially completed these system upgrades. The Company has also developed contingency plans that it believes would permit it to continue operating without causing any material harm to the results of operations.</w:t>
      </w:r>
    </w:p>
    <w:p>
      <w:pPr>
        <w:spacing w:after="0" w:line="71" w:lineRule="exact"/>
        <w:rPr>
          <w:sz w:val="20"/>
          <w:szCs w:val="20"/>
          <w:color w:val="auto"/>
        </w:rPr>
      </w:pPr>
    </w:p>
    <w:p>
      <w:pPr>
        <w:ind w:right="2719"/>
        <w:spacing w:after="0" w:line="275" w:lineRule="auto"/>
        <w:rPr>
          <w:sz w:val="20"/>
          <w:szCs w:val="20"/>
          <w:color w:val="auto"/>
        </w:rPr>
      </w:pPr>
      <w:r>
        <w:rPr>
          <w:rFonts w:ascii="Courier New" w:cs="Courier New" w:eastAsia="Courier New" w:hAnsi="Courier New"/>
          <w:sz w:val="16"/>
          <w:szCs w:val="16"/>
          <w:color w:val="auto"/>
        </w:rPr>
        <w:t>The Company has spent approximately $800,000 to replace its information technology systems and train personnel. The Company has assigned one employee to coordinate its Year 2000 efforts, and has relied on existing personnel to evaluate its Year 2000 readiness.</w:t>
      </w:r>
    </w:p>
    <w:p>
      <w:pPr>
        <w:spacing w:after="0" w:line="71" w:lineRule="exact"/>
        <w:rPr>
          <w:sz w:val="20"/>
          <w:szCs w:val="20"/>
          <w:color w:val="auto"/>
        </w:rPr>
      </w:pPr>
    </w:p>
    <w:p>
      <w:pPr>
        <w:ind w:right="2719"/>
        <w:spacing w:after="0" w:line="252" w:lineRule="auto"/>
        <w:rPr>
          <w:sz w:val="20"/>
          <w:szCs w:val="20"/>
          <w:color w:val="auto"/>
        </w:rPr>
      </w:pPr>
      <w:r>
        <w:rPr>
          <w:rFonts w:ascii="Courier New" w:cs="Courier New" w:eastAsia="Courier New" w:hAnsi="Courier New"/>
          <w:sz w:val="16"/>
          <w:szCs w:val="16"/>
          <w:color w:val="auto"/>
        </w:rPr>
        <w:t>The Company relies on third party suppliers for raw materials and a variety of goods and services. Among its most important suppliers are those that provide the steel necessary to make quality balls and rollers. The Company has obtained written representation from approximately 70 percent of its suppliers and vendors and expects to receive responses from its remaining suppliers and vendors by the end of the year. So far, no supplier or vendor has indicated that the Year 2000 issue will affect its ability to provide goods and services to the Company. Despite these assurances, if the Company's suppliers are unable to meet its</w:t>
      </w:r>
    </w:p>
    <w:p>
      <w:pPr>
        <w:spacing w:after="0" w:line="200" w:lineRule="exact"/>
        <w:rPr>
          <w:sz w:val="20"/>
          <w:szCs w:val="20"/>
          <w:color w:val="auto"/>
        </w:rPr>
      </w:pPr>
    </w:p>
    <w:p>
      <w:pPr>
        <w:spacing w:after="0" w:line="25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11" w:right="1440" w:bottom="1440" w:gutter="0" w:footer="0" w:header="0"/>
        </w:sectPr>
      </w:pPr>
    </w:p>
    <w:bookmarkStart w:id="12" w:name="page13"/>
    <w:bookmarkEnd w:id="12"/>
    <w:p>
      <w:pPr>
        <w:ind w:right="2999"/>
        <w:spacing w:after="0" w:line="348" w:lineRule="auto"/>
        <w:rPr>
          <w:sz w:val="20"/>
          <w:szCs w:val="20"/>
          <w:color w:val="auto"/>
        </w:rPr>
      </w:pPr>
      <w:r>
        <w:rPr>
          <w:rFonts w:ascii="Courier New" w:cs="Courier New" w:eastAsia="Courier New" w:hAnsi="Courier New"/>
          <w:sz w:val="16"/>
          <w:szCs w:val="16"/>
          <w:color w:val="auto"/>
        </w:rPr>
        <w:t>needs, there could be a material adverse effect on the results of operations, liquidity and financial condition of the Company.</w:t>
      </w:r>
    </w:p>
    <w:p>
      <w:pPr>
        <w:spacing w:after="0" w:line="15" w:lineRule="exact"/>
        <w:rPr>
          <w:sz w:val="20"/>
          <w:szCs w:val="20"/>
          <w:color w:val="auto"/>
        </w:rPr>
      </w:pPr>
    </w:p>
    <w:p>
      <w:pPr>
        <w:ind w:right="2899"/>
        <w:spacing w:after="0" w:line="276" w:lineRule="auto"/>
        <w:rPr>
          <w:sz w:val="20"/>
          <w:szCs w:val="20"/>
          <w:color w:val="auto"/>
        </w:rPr>
      </w:pPr>
      <w:r>
        <w:rPr>
          <w:rFonts w:ascii="Courier New" w:cs="Courier New" w:eastAsia="Courier New" w:hAnsi="Courier New"/>
          <w:sz w:val="15"/>
          <w:szCs w:val="15"/>
          <w:color w:val="auto"/>
        </w:rPr>
        <w:t>The Company believes it is taking the necessary steps to resolve the Year 2000 issue in a comprehensive and timely manner. Nonetheless, should any unforeseen circumstance arise that would delay the replacement of its systems, the Company's ability to manufacture and ship its products, take orders, invoice customers, and collect payment could be adversely affected. This could have a material adverse effect on the Company's results of operations, liquidity and financial condition to a degree the Company has not determined.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79" w:lineRule="exact"/>
        <w:rPr>
          <w:sz w:val="20"/>
          <w:szCs w:val="20"/>
          <w:color w:val="auto"/>
        </w:rPr>
      </w:pPr>
    </w:p>
    <w:p>
      <w:pPr>
        <w:ind w:right="2719"/>
        <w:spacing w:after="0" w:line="251" w:lineRule="auto"/>
        <w:rPr>
          <w:sz w:val="20"/>
          <w:szCs w:val="20"/>
          <w:color w:val="auto"/>
        </w:rPr>
      </w:pPr>
      <w:r>
        <w:rPr>
          <w:rFonts w:ascii="Courier New" w:cs="Courier New" w:eastAsia="Courier New" w:hAnsi="Courier New"/>
          <w:sz w:val="16"/>
          <w:szCs w:val="16"/>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banknotes and coins will be issued, and the national currencies of the member states will be legal tender no later than June 30, 2002.</w:t>
      </w:r>
    </w:p>
    <w:p>
      <w:pPr>
        <w:spacing w:after="0" w:line="89"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The Company currently has operations in Ireland, which is one of the Euro participating countries, and sells product to customers in many of the participating countries. The functional currency of the Company's Ireland operations will remain unchanged until December 31, 2001, when it will switch to the Euro. The Company is in the process of reviewing and making changes required for Euro readiness and does not anticipate the costs associated with the implementation of the Euro to be significant.</w:t>
      </w:r>
    </w:p>
    <w:p>
      <w:pPr>
        <w:spacing w:after="0" w:line="265" w:lineRule="exact"/>
        <w:rPr>
          <w:sz w:val="20"/>
          <w:szCs w:val="20"/>
          <w:color w:val="auto"/>
        </w:rPr>
      </w:pPr>
    </w:p>
    <w:p>
      <w:pPr>
        <w:ind w:right="3379"/>
        <w:spacing w:after="0" w:line="348" w:lineRule="auto"/>
        <w:rPr>
          <w:sz w:val="20"/>
          <w:szCs w:val="20"/>
          <w:color w:val="auto"/>
        </w:rPr>
      </w:pPr>
      <w:r>
        <w:rPr>
          <w:rFonts w:ascii="Courier New" w:cs="Courier New" w:eastAsia="Courier New" w:hAnsi="Courier New"/>
          <w:sz w:val="16"/>
          <w:szCs w:val="16"/>
          <w:color w:val="auto"/>
        </w:rPr>
        <w:t>CAUTIONARY STATEMENTS FOR PURPOSES OF THE "SAFE HARBOR" PROVISIONS OF THE PRIVATE SECURITIES LITIGATION REFORM ACT OF 1995</w:t>
      </w:r>
    </w:p>
    <w:p>
      <w:pPr>
        <w:spacing w:after="0" w:line="15"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The Company wishes to caution readers that this report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filling and in the Company's prior filings.</w:t>
      </w:r>
    </w:p>
    <w:p>
      <w:pPr>
        <w:spacing w:after="0" w:line="84" w:lineRule="exact"/>
        <w:rPr>
          <w:sz w:val="20"/>
          <w:szCs w:val="20"/>
          <w:color w:val="auto"/>
        </w:rPr>
      </w:pPr>
    </w:p>
    <w:p>
      <w:pPr>
        <w:ind w:right="2719"/>
        <w:spacing w:after="0" w:line="257" w:lineRule="auto"/>
        <w:rPr>
          <w:sz w:val="20"/>
          <w:szCs w:val="20"/>
          <w:color w:val="auto"/>
        </w:rPr>
      </w:pPr>
      <w:r>
        <w:rPr>
          <w:rFonts w:ascii="Courier New" w:cs="Courier New" w:eastAsia="Courier New" w:hAnsi="Courier New"/>
          <w:sz w:val="16"/>
          <w:szCs w:val="16"/>
          <w:color w:val="auto"/>
        </w:rPr>
        <w:t>The following paragraphs discuss the risk factors the Company regards as the most significant, although the Company wishes to caution that other factors that are currently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84" w:lineRule="exact"/>
        <w:rPr>
          <w:sz w:val="20"/>
          <w:szCs w:val="20"/>
          <w:color w:val="auto"/>
        </w:rPr>
      </w:pPr>
    </w:p>
    <w:p>
      <w:pPr>
        <w:ind w:right="2719"/>
        <w:spacing w:after="0" w:line="260"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 generally.</w:t>
      </w:r>
    </w:p>
    <w:p>
      <w:pPr>
        <w:spacing w:after="0" w:line="84"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6"/>
          <w:szCs w:val="16"/>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w:t>
      </w:r>
    </w:p>
    <w:p>
      <w:pPr>
        <w:spacing w:after="0" w:line="200" w:lineRule="exact"/>
        <w:rPr>
          <w:sz w:val="20"/>
          <w:szCs w:val="20"/>
          <w:color w:val="auto"/>
        </w:rPr>
      </w:pPr>
    </w:p>
    <w:p>
      <w:pPr>
        <w:spacing w:after="0" w:line="245"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11" w:right="1440" w:bottom="1440" w:gutter="0" w:footer="0" w:header="0"/>
        </w:sectPr>
      </w:pPr>
    </w:p>
    <w:bookmarkStart w:id="13" w:name="page14"/>
    <w:bookmarkEnd w:id="13"/>
    <w:p>
      <w:pPr>
        <w:ind w:left="4" w:right="2899"/>
        <w:spacing w:after="0" w:line="266" w:lineRule="auto"/>
        <w:rPr>
          <w:sz w:val="20"/>
          <w:szCs w:val="20"/>
          <w:color w:val="auto"/>
        </w:rPr>
      </w:pPr>
      <w:r>
        <w:rPr>
          <w:rFonts w:ascii="Courier New" w:cs="Courier New" w:eastAsia="Courier New" w:hAnsi="Courier New"/>
          <w:sz w:val="16"/>
          <w:szCs w:val="16"/>
          <w:color w:val="auto"/>
        </w:rPr>
        <w:t>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78" w:lineRule="exact"/>
        <w:rPr>
          <w:sz w:val="20"/>
          <w:szCs w:val="20"/>
          <w:color w:val="auto"/>
        </w:rPr>
      </w:pPr>
    </w:p>
    <w:p>
      <w:pPr>
        <w:ind w:left="4" w:right="2719"/>
        <w:spacing w:after="0" w:line="260" w:lineRule="auto"/>
        <w:rPr>
          <w:sz w:val="20"/>
          <w:szCs w:val="20"/>
          <w:color w:val="auto"/>
        </w:rPr>
      </w:pPr>
      <w:r>
        <w:rPr>
          <w:rFonts w:ascii="Courier New" w:cs="Courier New" w:eastAsia="Courier New" w:hAnsi="Courier New"/>
          <w:sz w:val="16"/>
          <w:szCs w:val="16"/>
          <w:color w:val="auto"/>
        </w:rPr>
        <w:t>RAPID GROWTH. The Company has significantly expanded its production facilities and capacity over the last several years. The Company currently is not operating at full capacity and faces risks of further under-utilization or inefficient utilization of its production facilities in future years. The Company also faces risks associated with inefficiencies, delays and increased depreciation costs associated with its plant expansions.</w:t>
      </w:r>
    </w:p>
    <w:p>
      <w:pPr>
        <w:spacing w:after="0" w:line="84" w:lineRule="exact"/>
        <w:rPr>
          <w:sz w:val="20"/>
          <w:szCs w:val="20"/>
          <w:color w:val="auto"/>
        </w:rPr>
      </w:pPr>
    </w:p>
    <w:p>
      <w:pPr>
        <w:ind w:left="4" w:right="2819"/>
        <w:spacing w:after="0" w:line="260" w:lineRule="auto"/>
        <w:rPr>
          <w:sz w:val="20"/>
          <w:szCs w:val="20"/>
          <w:color w:val="auto"/>
        </w:rPr>
      </w:pPr>
      <w:r>
        <w:rPr>
          <w:rFonts w:ascii="Courier New" w:cs="Courier New" w:eastAsia="Courier New" w:hAnsi="Courier New"/>
          <w:sz w:val="16"/>
          <w:szCs w:val="16"/>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84" w:lineRule="exact"/>
        <w:rPr>
          <w:sz w:val="20"/>
          <w:szCs w:val="20"/>
          <w:color w:val="auto"/>
        </w:rPr>
      </w:pPr>
    </w:p>
    <w:p>
      <w:pPr>
        <w:ind w:left="4" w:right="2899"/>
        <w:spacing w:after="0" w:line="260" w:lineRule="auto"/>
        <w:rPr>
          <w:sz w:val="20"/>
          <w:szCs w:val="20"/>
          <w:color w:val="auto"/>
        </w:rPr>
      </w:pPr>
      <w:r>
        <w:rPr>
          <w:rFonts w:ascii="Courier New" w:cs="Courier New" w:eastAsia="Courier New" w:hAnsi="Courier New"/>
          <w:sz w:val="15"/>
          <w:szCs w:val="15"/>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changes or taxes, and</w:t>
      </w:r>
    </w:p>
    <w:p>
      <w:pPr>
        <w:spacing w:after="0" w:line="2" w:lineRule="exact"/>
        <w:rPr>
          <w:sz w:val="20"/>
          <w:szCs w:val="20"/>
          <w:color w:val="auto"/>
        </w:rPr>
      </w:pPr>
    </w:p>
    <w:p>
      <w:pPr>
        <w:ind w:left="4" w:right="2719" w:hanging="4"/>
        <w:spacing w:after="0" w:line="257" w:lineRule="auto"/>
        <w:tabs>
          <w:tab w:leader="none" w:pos="37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unstable governments or legal systems in countries in which the Company's suppliers and customers are located. An increase in the value of the United States dollar relative to foreign currencies may adversely affect the ability of the Company to compete with its foreign-based competitors for international as well as domestic sales.</w:t>
      </w:r>
    </w:p>
    <w:p>
      <w:pPr>
        <w:spacing w:after="0" w:line="84" w:lineRule="exact"/>
        <w:rPr>
          <w:sz w:val="20"/>
          <w:szCs w:val="20"/>
          <w:color w:val="auto"/>
        </w:rPr>
      </w:pPr>
    </w:p>
    <w:p>
      <w:pPr>
        <w:ind w:left="4" w:right="2819"/>
        <w:spacing w:after="0" w:line="271" w:lineRule="auto"/>
        <w:rPr>
          <w:sz w:val="20"/>
          <w:szCs w:val="20"/>
          <w:color w:val="auto"/>
        </w:rPr>
      </w:pPr>
      <w:r>
        <w:rPr>
          <w:rFonts w:ascii="Courier New" w:cs="Courier New" w:eastAsia="Courier New" w:hAnsi="Courier New"/>
          <w:sz w:val="15"/>
          <w:szCs w:val="15"/>
          <w:color w:val="auto"/>
        </w:rPr>
        <w:t>DEPENDENCE ON MAJOR CUSTOMERS. During 1998, the Company's ten largest customers accounted for approximately 76% of its net sales. Sales to various US and foreign divisions of SKF, which is one of the largest bearing manufacturers in the world, accounted for approximately 37% of net sales in 1998, and sales to FAG accounted for approximately 11% of net sales. None of the Company's other customers accounted for more than 10% of its net sales in 1998, but sales to three of its customers each represented more than 5% of the Company's 1998 net sales. The loss of all or a substantial portion of sales to these customers would have a material adverse effect on the Company's business.</w:t>
      </w:r>
    </w:p>
    <w:p>
      <w:pPr>
        <w:spacing w:after="0" w:line="200" w:lineRule="exact"/>
        <w:rPr>
          <w:sz w:val="20"/>
          <w:szCs w:val="20"/>
          <w:color w:val="auto"/>
        </w:rPr>
      </w:pPr>
    </w:p>
    <w:p>
      <w:pPr>
        <w:spacing w:after="0" w:line="238"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3"/>
          </w:cols>
          <w:pgMar w:left="236" w:top="811" w:right="1440" w:bottom="1440" w:gutter="0" w:footer="0" w:header="0"/>
        </w:sectPr>
      </w:pPr>
    </w:p>
    <w:bookmarkStart w:id="14" w:name="page15"/>
    <w:bookmarkEnd w:id="14"/>
    <w:p>
      <w:pPr>
        <w:ind w:left="2524"/>
        <w:spacing w:after="0"/>
        <w:rPr>
          <w:sz w:val="20"/>
          <w:szCs w:val="20"/>
          <w:color w:val="auto"/>
        </w:rPr>
      </w:pPr>
      <w:r>
        <w:rPr>
          <w:rFonts w:ascii="Courier New" w:cs="Courier New" w:eastAsia="Courier New" w:hAnsi="Courier New"/>
          <w:sz w:val="16"/>
          <w:szCs w:val="16"/>
          <w:color w:val="auto"/>
        </w:rPr>
        <w:t>PART II. OTHER INFORMATION</w:t>
      </w:r>
    </w:p>
    <w:p>
      <w:pPr>
        <w:spacing w:after="0" w:line="360"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79" w:lineRule="exact"/>
        <w:rPr>
          <w:sz w:val="20"/>
          <w:szCs w:val="20"/>
          <w:color w:val="auto"/>
        </w:rPr>
      </w:pPr>
    </w:p>
    <w:p>
      <w:pPr>
        <w:ind w:left="4" w:right="2719"/>
        <w:spacing w:after="0" w:line="281" w:lineRule="auto"/>
        <w:rPr>
          <w:sz w:val="20"/>
          <w:szCs w:val="20"/>
          <w:color w:val="auto"/>
        </w:rPr>
      </w:pPr>
      <w:r>
        <w:rPr>
          <w:rFonts w:ascii="Courier New" w:cs="Courier New" w:eastAsia="Courier New" w:hAnsi="Courier New"/>
          <w:sz w:val="15"/>
          <w:szCs w:val="15"/>
          <w:color w:val="auto"/>
        </w:rPr>
        <w:t>The Company's Annual Meeting of Stockholders was held on May 13, 1999. As of March 19, 1999, the record date for the meeting, there were 14,804,271 shares of common stock outstanding and entitled to vote at the meeting. There were present at said meeting, in person or by proxy, stockholders holding 12,733,060 shares of common stock, constituting approximately 86% of the shares of common stock outstanding and entitled to vote, which constituted a quorum.</w:t>
      </w:r>
    </w:p>
    <w:p>
      <w:pPr>
        <w:spacing w:after="0" w:line="69" w:lineRule="exact"/>
        <w:rPr>
          <w:sz w:val="20"/>
          <w:szCs w:val="20"/>
          <w:color w:val="auto"/>
        </w:rPr>
      </w:pPr>
    </w:p>
    <w:p>
      <w:pPr>
        <w:ind w:left="4" w:right="2819"/>
        <w:spacing w:after="0" w:line="321" w:lineRule="auto"/>
        <w:rPr>
          <w:sz w:val="20"/>
          <w:szCs w:val="20"/>
          <w:color w:val="auto"/>
        </w:rPr>
      </w:pPr>
      <w:r>
        <w:rPr>
          <w:rFonts w:ascii="Courier New" w:cs="Courier New" w:eastAsia="Courier New" w:hAnsi="Courier New"/>
          <w:sz w:val="15"/>
          <w:szCs w:val="15"/>
          <w:color w:val="auto"/>
        </w:rPr>
        <w:t>The first matter voted upon at the meeting was the election of G. Ronald Morris and Steven T. Warshaw as Class II Directors to serve for three-year terms. The results of the voting in connection with such elections were as follows:</w:t>
      </w:r>
    </w:p>
    <w:p>
      <w:pPr>
        <w:spacing w:after="0" w:line="200" w:lineRule="exact"/>
        <w:rPr>
          <w:sz w:val="20"/>
          <w:szCs w:val="20"/>
          <w:color w:val="auto"/>
        </w:rPr>
      </w:pPr>
    </w:p>
    <w:p>
      <w:pPr>
        <w:spacing w:after="0" w:line="381" w:lineRule="exact"/>
        <w:rPr>
          <w:sz w:val="20"/>
          <w:szCs w:val="20"/>
          <w:color w:val="auto"/>
        </w:rPr>
      </w:pPr>
    </w:p>
    <w:tbl>
      <w:tblPr>
        <w:tblLayout w:type="fixed"/>
        <w:tblInd w:w="4" w:type="dxa"/>
        <w:tblCellMar>
          <w:top w:w="0" w:type="dxa"/>
          <w:left w:w="0" w:type="dxa"/>
          <w:bottom w:w="0" w:type="dxa"/>
          <w:right w:w="0" w:type="dxa"/>
        </w:tblCellMar>
      </w:tblPr>
      <w:tr>
        <w:trPr>
          <w:trHeight w:val="264"/>
        </w:trPr>
        <w:tc>
          <w:tcPr>
            <w:tcW w:w="8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920" w:type="dxa"/>
            <w:vAlign w:val="bottom"/>
          </w:tcPr>
          <w:p>
            <w:pPr>
              <w:jc w:val="right"/>
              <w:ind w:right="1382"/>
              <w:spacing w:after="0"/>
              <w:rPr>
                <w:sz w:val="20"/>
                <w:szCs w:val="20"/>
                <w:color w:val="auto"/>
              </w:rPr>
            </w:pPr>
            <w:r>
              <w:rPr>
                <w:rFonts w:ascii="Courier New" w:cs="Courier New" w:eastAsia="Courier New" w:hAnsi="Courier New"/>
                <w:sz w:val="16"/>
                <w:szCs w:val="16"/>
                <w:color w:val="auto"/>
              </w:rPr>
              <w:t>FOR</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WITHHELD</w:t>
            </w:r>
          </w:p>
        </w:tc>
      </w:tr>
      <w:tr>
        <w:trPr>
          <w:trHeight w:val="277"/>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G. Ronald</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Morris</w:t>
            </w:r>
          </w:p>
        </w:tc>
        <w:tc>
          <w:tcPr>
            <w:tcW w:w="29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12,168,045</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565,015</w:t>
            </w:r>
          </w:p>
        </w:tc>
      </w:tr>
      <w:tr>
        <w:trPr>
          <w:trHeight w:val="264"/>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Steven T.</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Warshaw</w:t>
            </w:r>
          </w:p>
        </w:tc>
        <w:tc>
          <w:tcPr>
            <w:tcW w:w="2920" w:type="dxa"/>
            <w:vAlign w:val="bottom"/>
          </w:tcPr>
          <w:p>
            <w:pPr>
              <w:jc w:val="right"/>
              <w:ind w:right="1102"/>
              <w:spacing w:after="0"/>
              <w:rPr>
                <w:sz w:val="20"/>
                <w:szCs w:val="20"/>
                <w:color w:val="auto"/>
              </w:rPr>
            </w:pPr>
            <w:r>
              <w:rPr>
                <w:rFonts w:ascii="Courier New" w:cs="Courier New" w:eastAsia="Courier New" w:hAnsi="Courier New"/>
                <w:sz w:val="16"/>
                <w:szCs w:val="16"/>
                <w:color w:val="auto"/>
              </w:rPr>
              <w:t>12,173,134</w:t>
            </w:r>
          </w:p>
        </w:tc>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559,926</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 w:right="2719"/>
        <w:spacing w:after="0" w:line="257" w:lineRule="auto"/>
        <w:rPr>
          <w:sz w:val="20"/>
          <w:szCs w:val="20"/>
          <w:color w:val="auto"/>
        </w:rPr>
      </w:pPr>
      <w:r>
        <w:rPr>
          <w:rFonts w:ascii="Courier New" w:cs="Courier New" w:eastAsia="Courier New" w:hAnsi="Courier New"/>
          <w:sz w:val="16"/>
          <w:szCs w:val="16"/>
          <w:color w:val="auto"/>
        </w:rPr>
        <w:t>Accordingly, all nominees were elected to serve until the 2002 Annual Meeting of Stockholders and until their successors are duly elected and qualified. In addition to the foregoing directors, Richard D. Ennen and Roderick R. Baty are serving terms to expire at the 2000 Annual Meeting of Stockholders, and Michael D. Huff and Michael E. Werner are serving terms which are to expire at the 2001 Annual Meeting of Stockholders. Mr. Ennen, the Company's founder, continues in his position as Chairman of the Company's Board of Directors.</w:t>
      </w:r>
    </w:p>
    <w:p>
      <w:pPr>
        <w:spacing w:after="0" w:line="84" w:lineRule="exact"/>
        <w:rPr>
          <w:sz w:val="20"/>
          <w:szCs w:val="20"/>
          <w:color w:val="auto"/>
        </w:rPr>
      </w:pPr>
    </w:p>
    <w:p>
      <w:pPr>
        <w:ind w:left="4" w:right="2819"/>
        <w:spacing w:after="0" w:line="266" w:lineRule="auto"/>
        <w:rPr>
          <w:sz w:val="20"/>
          <w:szCs w:val="20"/>
          <w:color w:val="auto"/>
        </w:rPr>
      </w:pPr>
      <w:r>
        <w:rPr>
          <w:rFonts w:ascii="Courier New" w:cs="Courier New" w:eastAsia="Courier New" w:hAnsi="Courier New"/>
          <w:sz w:val="16"/>
          <w:szCs w:val="16"/>
          <w:color w:val="auto"/>
        </w:rPr>
        <w:t>The second matter voted upon at the 1999 Annual Meeting of Stockholders was the approval of an amendment to the Company's Stock Incentive Plan (the "Plan") to increase the number of shares available for issuance pursuant to awards made under the Plan from 1,125,000 to 1,625,000. The vote was 12,630,082 For and 2,095,810 Against, and there were 850,588 Abstentions.</w:t>
      </w:r>
    </w:p>
    <w:p>
      <w:pPr>
        <w:spacing w:after="0" w:line="78" w:lineRule="exact"/>
        <w:rPr>
          <w:sz w:val="20"/>
          <w:szCs w:val="20"/>
          <w:color w:val="auto"/>
        </w:rPr>
      </w:pPr>
    </w:p>
    <w:p>
      <w:pPr>
        <w:ind w:left="4" w:right="2719"/>
        <w:spacing w:after="0" w:line="299" w:lineRule="auto"/>
        <w:rPr>
          <w:sz w:val="20"/>
          <w:szCs w:val="20"/>
          <w:color w:val="auto"/>
        </w:rPr>
      </w:pPr>
      <w:r>
        <w:rPr>
          <w:rFonts w:ascii="Courier New" w:cs="Courier New" w:eastAsia="Courier New" w:hAnsi="Courier New"/>
          <w:sz w:val="15"/>
          <w:szCs w:val="15"/>
          <w:color w:val="auto"/>
        </w:rPr>
        <w:t>The Third matter voted upon at the 1999 Annual Meeting of Stockholders was the ratification of PricewaterhouseCoopers, LLP as independent public accountants to audit the Company's accounts for the fiscal year ending December 31, 1999. The vote was 12,706,844 For and 22,972 Against, and there were 3,244 Abstentions.</w:t>
      </w:r>
    </w:p>
    <w:p>
      <w:pPr>
        <w:spacing w:after="0" w:line="55"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79" w:lineRule="exact"/>
        <w:rPr>
          <w:sz w:val="20"/>
          <w:szCs w:val="20"/>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844" w:hanging="844"/>
        <w:spacing w:after="0"/>
        <w:tabs>
          <w:tab w:leader="none" w:pos="8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Required by Item 601 of Regulation S-K</w:t>
      </w:r>
    </w:p>
    <w:p>
      <w:pPr>
        <w:spacing w:after="0" w:line="179" w:lineRule="exact"/>
        <w:rPr>
          <w:sz w:val="20"/>
          <w:szCs w:val="20"/>
          <w:color w:val="auto"/>
        </w:rPr>
      </w:pPr>
    </w:p>
    <w:p>
      <w:pPr>
        <w:ind w:left="2444" w:hanging="849"/>
        <w:spacing w:after="0"/>
        <w:tabs>
          <w:tab w:leader="none" w:pos="2444"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Schedules (for information of SEC only)</w:t>
      </w:r>
    </w:p>
    <w:p>
      <w:pPr>
        <w:spacing w:after="0" w:line="190" w:lineRule="exact"/>
        <w:rPr>
          <w:rFonts w:ascii="Courier New" w:cs="Courier New" w:eastAsia="Courier New" w:hAnsi="Courier New"/>
          <w:sz w:val="15"/>
          <w:szCs w:val="15"/>
          <w:color w:val="auto"/>
        </w:rPr>
      </w:pPr>
    </w:p>
    <w:p>
      <w:pPr>
        <w:ind w:left="384" w:hanging="384"/>
        <w:spacing w:after="0"/>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quarter ending June 30, 1999.</w:t>
      </w:r>
    </w:p>
    <w:p>
      <w:pPr>
        <w:spacing w:after="0" w:line="200" w:lineRule="exact"/>
        <w:rPr>
          <w:sz w:val="20"/>
          <w:szCs w:val="20"/>
          <w:color w:val="auto"/>
        </w:rPr>
      </w:pPr>
    </w:p>
    <w:p>
      <w:pPr>
        <w:spacing w:after="0" w:line="34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811" w:right="1440" w:bottom="1440" w:gutter="0" w:footer="0" w:header="0"/>
        </w:sectPr>
      </w:pPr>
    </w:p>
    <w:bookmarkStart w:id="15" w:name="page16"/>
    <w:bookmarkEnd w:id="15"/>
    <w:p>
      <w:pPr>
        <w:ind w:left="3280"/>
        <w:spacing w:after="0"/>
        <w:rPr>
          <w:sz w:val="20"/>
          <w:szCs w:val="20"/>
          <w:color w:val="auto"/>
        </w:rPr>
      </w:pPr>
      <w:r>
        <w:rPr>
          <w:rFonts w:ascii="Courier New" w:cs="Courier New" w:eastAsia="Courier New" w:hAnsi="Courier New"/>
          <w:sz w:val="16"/>
          <w:szCs w:val="16"/>
          <w:color w:val="auto"/>
        </w:rPr>
        <w:t>SIGNATURES</w:t>
      </w:r>
    </w:p>
    <w:p>
      <w:pPr>
        <w:spacing w:after="0" w:line="360" w:lineRule="exact"/>
        <w:rPr>
          <w:sz w:val="20"/>
          <w:szCs w:val="20"/>
          <w:color w:val="auto"/>
        </w:rPr>
      </w:pPr>
    </w:p>
    <w:p>
      <w:pPr>
        <w:jc w:val="both"/>
        <w:ind w:right="3479"/>
        <w:spacing w:after="0" w:line="29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NN Ball &amp; Roller, Inc.</w:t>
      </w:r>
    </w:p>
    <w:p>
      <w:pPr>
        <w:spacing w:after="0" w:line="27"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811" w:right="1440" w:bottom="1440" w:gutter="0" w:footer="0" w:header="0"/>
        </w:sectPr>
      </w:pPr>
    </w:p>
    <w:p>
      <w:pPr>
        <w:spacing w:after="0" w:line="33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August 12, 1999</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/s/ Roderick R. Baty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Roderick R. Baty,</w:t>
      </w:r>
    </w:p>
    <w:p>
      <w:pPr>
        <w:ind w:left="280"/>
        <w:spacing w:after="0"/>
        <w:rPr>
          <w:sz w:val="20"/>
          <w:szCs w:val="20"/>
          <w:color w:val="auto"/>
        </w:rPr>
      </w:pPr>
      <w:r>
        <w:rPr>
          <w:rFonts w:ascii="Courier New" w:cs="Courier New" w:eastAsia="Courier New" w:hAnsi="Courier New"/>
          <w:sz w:val="16"/>
          <w:szCs w:val="16"/>
          <w:color w:val="auto"/>
        </w:rPr>
        <w:t>President and Chief Executive</w:t>
      </w:r>
    </w:p>
    <w:p>
      <w:pPr>
        <w:ind w:left="1220"/>
        <w:spacing w:after="0"/>
        <w:rPr>
          <w:sz w:val="20"/>
          <w:szCs w:val="20"/>
          <w:color w:val="auto"/>
        </w:rPr>
      </w:pPr>
      <w:r>
        <w:rPr>
          <w:rFonts w:ascii="Courier New" w:cs="Courier New" w:eastAsia="Courier New" w:hAnsi="Courier New"/>
          <w:sz w:val="16"/>
          <w:szCs w:val="16"/>
          <w:color w:val="auto"/>
        </w:rPr>
        <w:t>Officer</w:t>
      </w:r>
    </w:p>
    <w:p>
      <w:pPr>
        <w:ind w:left="58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3020" w:space="720"/>
            <w:col w:w="6479"/>
          </w:cols>
          <w:pgMar w:left="240" w:top="811" w:right="1440" w:bottom="1440" w:gutter="0" w:footer="0" w:header="0"/>
          <w:type w:val="continuous"/>
        </w:sectPr>
      </w:pPr>
    </w:p>
    <w:p>
      <w:pPr>
        <w:spacing w:after="0" w:line="13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August 12, 1999</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/s/ David Dyckman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David Dyckman</w:t>
      </w:r>
    </w:p>
    <w:p>
      <w:pPr>
        <w:ind w:left="660"/>
        <w:spacing w:after="0"/>
        <w:rPr>
          <w:sz w:val="20"/>
          <w:szCs w:val="20"/>
          <w:color w:val="auto"/>
        </w:rPr>
      </w:pPr>
      <w:r>
        <w:rPr>
          <w:rFonts w:ascii="Courier New" w:cs="Courier New" w:eastAsia="Courier New" w:hAnsi="Courier New"/>
          <w:sz w:val="16"/>
          <w:szCs w:val="16"/>
          <w:color w:val="auto"/>
        </w:rPr>
        <w:t>Chief Financial Officer</w:t>
      </w:r>
    </w:p>
    <w:p>
      <w:pPr>
        <w:ind w:left="380"/>
        <w:spacing w:after="0"/>
        <w:tabs>
          <w:tab w:leader="none" w:pos="1480" w:val="left"/>
        </w:tabs>
        <w:rPr>
          <w:sz w:val="20"/>
          <w:szCs w:val="20"/>
          <w:color w:val="auto"/>
        </w:rPr>
      </w:pPr>
      <w:r>
        <w:rPr>
          <w:rFonts w:ascii="Courier New" w:cs="Courier New" w:eastAsia="Courier New" w:hAnsi="Courier New"/>
          <w:sz w:val="16"/>
          <w:szCs w:val="16"/>
          <w:color w:val="auto"/>
        </w:rPr>
        <w:t>(Principal</w:t>
        <w:tab/>
        <w:t>Financial Officer)</w:t>
      </w:r>
    </w:p>
    <w:p>
      <w:pPr>
        <w:ind w:left="660"/>
        <w:spacing w:after="0"/>
        <w:rPr>
          <w:sz w:val="20"/>
          <w:szCs w:val="20"/>
          <w:color w:val="auto"/>
        </w:rPr>
      </w:pPr>
      <w:r>
        <w:rPr>
          <w:rFonts w:ascii="Courier New" w:cs="Courier New" w:eastAsia="Courier New" w:hAnsi="Courier New"/>
          <w:sz w:val="16"/>
          <w:szCs w:val="16"/>
          <w:color w:val="auto"/>
        </w:rPr>
        <w:t>(Duly Authorized Officer)</w:t>
      </w:r>
    </w:p>
    <w:p>
      <w:pPr>
        <w:spacing w:after="0" w:line="200" w:lineRule="exact"/>
        <w:rPr>
          <w:sz w:val="20"/>
          <w:szCs w:val="20"/>
          <w:color w:val="auto"/>
        </w:rPr>
      </w:pPr>
    </w:p>
    <w:p>
      <w:pPr>
        <w:sectPr>
          <w:pgSz w:w="11900" w:h="16838" w:orient="portrait"/>
          <w:cols w:equalWidth="0" w:num="2">
            <w:col w:w="3020" w:space="720"/>
            <w:col w:w="6479"/>
          </w:cols>
          <w:pgMar w:left="240" w:top="811" w:right="1440" w:bottom="1440" w:gutter="0" w:footer="0" w:header="0"/>
          <w:type w:val="continuous"/>
        </w:sectPr>
      </w:pPr>
    </w:p>
    <w:p>
      <w:pPr>
        <w:spacing w:after="0" w:line="13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August 12, 1999</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2539" w:firstLine="656"/>
        <w:spacing w:after="0" w:line="257" w:lineRule="auto"/>
        <w:rPr>
          <w:sz w:val="20"/>
          <w:szCs w:val="20"/>
          <w:color w:val="auto"/>
        </w:rPr>
      </w:pPr>
      <w:r>
        <w:rPr>
          <w:rFonts w:ascii="Courier New" w:cs="Courier New" w:eastAsia="Courier New" w:hAnsi="Courier New"/>
          <w:sz w:val="16"/>
          <w:szCs w:val="16"/>
          <w:color w:val="auto"/>
        </w:rPr>
        <w:t>/s/ William C. Kelly, Jr. ------------------------------------------ William C. Kelly, Jr., Treasurer, Secretary and Chief Accounting Officer (Principal Accounting Officer) (Duly Authorized Officer)</w:t>
      </w:r>
    </w:p>
    <w:p>
      <w:pPr>
        <w:spacing w:after="0" w:line="200" w:lineRule="exact"/>
        <w:rPr>
          <w:sz w:val="20"/>
          <w:szCs w:val="20"/>
          <w:color w:val="auto"/>
        </w:rPr>
      </w:pPr>
    </w:p>
    <w:p>
      <w:pPr>
        <w:sectPr>
          <w:pgSz w:w="11900" w:h="16838" w:orient="portrait"/>
          <w:cols w:equalWidth="0" w:num="2">
            <w:col w:w="3020" w:space="720"/>
            <w:col w:w="6479"/>
          </w:cols>
          <w:pgMar w:left="240" w:top="81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11"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64"/>
        </w:trPr>
        <w:tc>
          <w:tcPr>
            <w:tcW w:w="1220" w:type="dxa"/>
            <w:vAlign w:val="bottom"/>
          </w:tcPr>
          <w:p>
            <w:pPr>
              <w:spacing w:after="0"/>
              <w:rPr>
                <w:sz w:val="22"/>
                <w:szCs w:val="22"/>
                <w:color w:val="auto"/>
              </w:rPr>
            </w:pPr>
          </w:p>
        </w:tc>
        <w:tc>
          <w:tcPr>
            <w:tcW w:w="5520" w:type="dxa"/>
            <w:vAlign w:val="bottom"/>
          </w:tcPr>
          <w:p>
            <w:pPr>
              <w:jc w:val="right"/>
              <w:ind w:right="2062"/>
              <w:spacing w:after="0"/>
              <w:rPr>
                <w:sz w:val="20"/>
                <w:szCs w:val="20"/>
                <w:color w:val="auto"/>
              </w:rPr>
            </w:pPr>
            <w:r>
              <w:rPr>
                <w:rFonts w:ascii="Courier New" w:cs="Courier New" w:eastAsia="Courier New" w:hAnsi="Courier New"/>
                <w:sz w:val="16"/>
                <w:szCs w:val="16"/>
                <w:color w:val="auto"/>
              </w:rPr>
              <w:t>INDEX TO EXHIBITS</w:t>
            </w:r>
          </w:p>
        </w:tc>
        <w:tc>
          <w:tcPr>
            <w:tcW w:w="0" w:type="dxa"/>
            <w:vAlign w:val="bottom"/>
          </w:tcPr>
          <w:p>
            <w:pPr>
              <w:spacing w:after="0"/>
              <w:rPr>
                <w:sz w:val="1"/>
                <w:szCs w:val="1"/>
                <w:color w:val="auto"/>
              </w:rPr>
            </w:pPr>
          </w:p>
        </w:tc>
      </w:tr>
      <w:tr>
        <w:trPr>
          <w:trHeight w:val="818"/>
        </w:trPr>
        <w:tc>
          <w:tcPr>
            <w:tcW w:w="12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520" w:type="dxa"/>
            <w:vAlign w:val="bottom"/>
            <w:vMerge w:val="restart"/>
          </w:tcPr>
          <w:p>
            <w:pPr>
              <w:jc w:val="right"/>
              <w:ind w:right="1502"/>
              <w:spacing w:after="0"/>
              <w:rPr>
                <w:sz w:val="20"/>
                <w:szCs w:val="20"/>
                <w:color w:val="auto"/>
              </w:rPr>
            </w:pPr>
            <w:r>
              <w:rPr>
                <w:rFonts w:ascii="Courier New" w:cs="Courier New" w:eastAsia="Courier New" w:hAnsi="Courier New"/>
                <w:sz w:val="16"/>
                <w:szCs w:val="16"/>
                <w:color w:val="auto"/>
              </w:rPr>
              <w:t>Description</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520" w:type="dxa"/>
            <w:vAlign w:val="bottom"/>
          </w:tcPr>
          <w:p>
            <w:pPr>
              <w:jc w:val="right"/>
              <w:ind w:right="13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1"/>
        </w:trPr>
        <w:tc>
          <w:tcPr>
            <w:tcW w:w="1220" w:type="dxa"/>
            <w:vAlign w:val="bottom"/>
          </w:tcPr>
          <w:p>
            <w:pPr>
              <w:spacing w:after="0"/>
              <w:rPr>
                <w:sz w:val="20"/>
                <w:szCs w:val="20"/>
                <w:color w:val="auto"/>
              </w:rPr>
            </w:pPr>
            <w:r>
              <w:rPr>
                <w:rFonts w:ascii="Courier New" w:cs="Courier New" w:eastAsia="Courier New" w:hAnsi="Courier New"/>
                <w:sz w:val="16"/>
                <w:szCs w:val="16"/>
                <w:color w:val="auto"/>
              </w:rPr>
              <w:t>27</w:t>
            </w:r>
          </w:p>
        </w:tc>
        <w:tc>
          <w:tcPr>
            <w:tcW w:w="5520" w:type="dxa"/>
            <w:vAlign w:val="bottom"/>
          </w:tcPr>
          <w:p>
            <w:pPr>
              <w:jc w:val="right"/>
              <w:spacing w:after="0"/>
              <w:rPr>
                <w:sz w:val="20"/>
                <w:szCs w:val="20"/>
                <w:color w:val="auto"/>
              </w:rPr>
            </w:pPr>
            <w:r>
              <w:rPr>
                <w:rFonts w:ascii="Courier New" w:cs="Courier New" w:eastAsia="Courier New" w:hAnsi="Courier New"/>
                <w:sz w:val="16"/>
                <w:szCs w:val="16"/>
                <w:color w:val="auto"/>
              </w:rPr>
              <w:t>Financial Data Schedules (for information of SEC only)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11" w:right="1440" w:bottom="1440" w:gutter="0" w:footer="0" w:header="0"/>
        </w:sectPr>
      </w:pPr>
    </w:p>
    <w:bookmarkStart w:id="17" w:name="page18"/>
    <w:bookmarkEnd w:id="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 w:name="page19"/>
    <w:bookmarkEnd w:id="18"/>
    <w:p>
      <w:pPr>
        <w:ind w:left="10"/>
        <w:spacing w:after="0"/>
        <w:rPr>
          <w:sz w:val="20"/>
          <w:szCs w:val="20"/>
          <w:color w:val="auto"/>
        </w:rPr>
      </w:pPr>
      <w:r>
        <w:rPr>
          <w:rFonts w:ascii="Courier New" w:cs="Courier New" w:eastAsia="Courier New" w:hAnsi="Courier New"/>
          <w:sz w:val="16"/>
          <w:szCs w:val="16"/>
          <w:color w:val="auto"/>
        </w:rPr>
        <w:t>5</w:t>
      </w:r>
    </w:p>
    <w:p>
      <w:pPr>
        <w:spacing w:after="0" w:line="26" w:lineRule="exact"/>
        <w:rPr>
          <w:sz w:val="20"/>
          <w:szCs w:val="20"/>
          <w:color w:val="auto"/>
        </w:rPr>
      </w:pPr>
    </w:p>
    <w:p>
      <w:pPr>
        <w:ind w:left="10"/>
        <w:spacing w:after="0"/>
        <w:rPr>
          <w:sz w:val="20"/>
          <w:szCs w:val="20"/>
          <w:color w:val="auto"/>
        </w:rPr>
      </w:pPr>
      <w:r>
        <w:rPr>
          <w:rFonts w:ascii="Courier New" w:cs="Courier New" w:eastAsia="Courier New" w:hAnsi="Courier New"/>
          <w:sz w:val="16"/>
          <w:szCs w:val="16"/>
          <w:color w:val="auto"/>
        </w:rPr>
        <w:t>0000918541</w:t>
      </w:r>
    </w:p>
    <w:p>
      <w:pPr>
        <w:ind w:left="10" w:right="8059" w:hanging="10"/>
        <w:spacing w:after="0" w:line="311" w:lineRule="auto"/>
        <w:tabs>
          <w:tab w:leader="none" w:pos="2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1,000</w:t>
      </w:r>
    </w:p>
    <w:p>
      <w:pPr>
        <w:spacing w:after="0" w:line="224" w:lineRule="exact"/>
        <w:rPr>
          <w:sz w:val="20"/>
          <w:szCs w:val="20"/>
          <w:color w:val="auto"/>
        </w:rPr>
      </w:pPr>
    </w:p>
    <w:p>
      <w:pPr>
        <w:ind w:left="1690"/>
        <w:spacing w:after="0"/>
        <w:rPr>
          <w:sz w:val="20"/>
          <w:szCs w:val="20"/>
          <w:color w:val="auto"/>
        </w:rPr>
      </w:pPr>
      <w:r>
        <w:rPr>
          <w:rFonts w:ascii="Courier New" w:cs="Courier New" w:eastAsia="Courier New" w:hAnsi="Courier New"/>
          <w:sz w:val="16"/>
          <w:szCs w:val="16"/>
          <w:color w:val="auto"/>
        </w:rPr>
        <w:t>3-MOS</w:t>
      </w:r>
    </w:p>
    <w:p>
      <w:pPr>
        <w:spacing w:after="0" w:line="26" w:lineRule="exact"/>
        <w:rPr>
          <w:sz w:val="20"/>
          <w:szCs w:val="20"/>
          <w:color w:val="auto"/>
        </w:rPr>
      </w:pPr>
    </w:p>
    <w:p>
      <w:pPr>
        <w:ind w:left="2350"/>
        <w:spacing w:after="0"/>
        <w:rPr>
          <w:sz w:val="20"/>
          <w:szCs w:val="20"/>
          <w:color w:val="auto"/>
        </w:rPr>
      </w:pPr>
      <w:r>
        <w:rPr>
          <w:rFonts w:ascii="Courier New" w:cs="Courier New" w:eastAsia="Courier New" w:hAnsi="Courier New"/>
          <w:sz w:val="16"/>
          <w:szCs w:val="16"/>
          <w:color w:val="auto"/>
        </w:rPr>
        <w:t>DEC-31-1999</w:t>
      </w:r>
    </w:p>
    <w:p>
      <w:pPr>
        <w:ind w:left="2630"/>
        <w:spacing w:after="0"/>
        <w:rPr>
          <w:sz w:val="20"/>
          <w:szCs w:val="20"/>
          <w:color w:val="auto"/>
        </w:rPr>
      </w:pPr>
      <w:r>
        <w:rPr>
          <w:rFonts w:ascii="Courier New" w:cs="Courier New" w:eastAsia="Courier New" w:hAnsi="Courier New"/>
          <w:sz w:val="16"/>
          <w:szCs w:val="16"/>
          <w:color w:val="auto"/>
        </w:rPr>
        <w:t>APR-01-1999</w:t>
      </w:r>
    </w:p>
    <w:p>
      <w:pPr>
        <w:ind w:left="2810"/>
        <w:spacing w:after="0"/>
        <w:rPr>
          <w:sz w:val="20"/>
          <w:szCs w:val="20"/>
          <w:color w:val="auto"/>
        </w:rPr>
      </w:pPr>
      <w:r>
        <w:rPr>
          <w:rFonts w:ascii="Courier New" w:cs="Courier New" w:eastAsia="Courier New" w:hAnsi="Courier New"/>
          <w:sz w:val="16"/>
          <w:szCs w:val="16"/>
          <w:color w:val="auto"/>
        </w:rPr>
        <w:t>JUN-30-1999</w:t>
      </w:r>
    </w:p>
    <w:p>
      <w:pPr>
        <w:ind w:left="3930"/>
        <w:spacing w:after="0"/>
        <w:rPr>
          <w:sz w:val="20"/>
          <w:szCs w:val="20"/>
          <w:color w:val="auto"/>
        </w:rPr>
      </w:pPr>
      <w:r>
        <w:rPr>
          <w:rFonts w:ascii="Courier New" w:cs="Courier New" w:eastAsia="Courier New" w:hAnsi="Courier New"/>
          <w:sz w:val="16"/>
          <w:szCs w:val="16"/>
          <w:color w:val="auto"/>
        </w:rPr>
        <w:t>5,449</w:t>
      </w:r>
    </w:p>
    <w:p>
      <w:pPr>
        <w:ind w:left="3750"/>
        <w:spacing w:after="0"/>
        <w:rPr>
          <w:sz w:val="20"/>
          <w:szCs w:val="20"/>
          <w:color w:val="auto"/>
        </w:rPr>
      </w:pPr>
      <w:r>
        <w:rPr>
          <w:rFonts w:ascii="Courier New" w:cs="Courier New" w:eastAsia="Courier New" w:hAnsi="Courier New"/>
          <w:sz w:val="16"/>
          <w:szCs w:val="16"/>
          <w:color w:val="auto"/>
        </w:rPr>
        <w:t>0</w:t>
      </w:r>
    </w:p>
    <w:p>
      <w:pPr>
        <w:ind w:left="3190"/>
        <w:spacing w:after="0"/>
        <w:rPr>
          <w:sz w:val="20"/>
          <w:szCs w:val="20"/>
          <w:color w:val="auto"/>
        </w:rPr>
      </w:pPr>
      <w:r>
        <w:rPr>
          <w:rFonts w:ascii="Courier New" w:cs="Courier New" w:eastAsia="Courier New" w:hAnsi="Courier New"/>
          <w:sz w:val="16"/>
          <w:szCs w:val="16"/>
          <w:color w:val="auto"/>
        </w:rPr>
        <w:t>14,464</w:t>
      </w:r>
    </w:p>
    <w:p>
      <w:pPr>
        <w:ind w:left="3570"/>
        <w:spacing w:after="0"/>
        <w:rPr>
          <w:sz w:val="20"/>
          <w:szCs w:val="20"/>
          <w:color w:val="auto"/>
        </w:rPr>
      </w:pPr>
      <w:r>
        <w:rPr>
          <w:rFonts w:ascii="Courier New" w:cs="Courier New" w:eastAsia="Courier New" w:hAnsi="Courier New"/>
          <w:sz w:val="16"/>
          <w:szCs w:val="16"/>
          <w:color w:val="auto"/>
        </w:rPr>
        <w:t>518</w:t>
      </w:r>
    </w:p>
    <w:p>
      <w:pPr>
        <w:ind w:left="3370"/>
        <w:spacing w:after="0"/>
        <w:rPr>
          <w:sz w:val="20"/>
          <w:szCs w:val="20"/>
          <w:color w:val="auto"/>
        </w:rPr>
      </w:pPr>
      <w:r>
        <w:rPr>
          <w:rFonts w:ascii="Courier New" w:cs="Courier New" w:eastAsia="Courier New" w:hAnsi="Courier New"/>
          <w:sz w:val="16"/>
          <w:szCs w:val="16"/>
          <w:color w:val="auto"/>
        </w:rPr>
        <w:t>10,371</w:t>
      </w:r>
    </w:p>
    <w:p>
      <w:pPr>
        <w:ind w:left="2910"/>
        <w:spacing w:after="0"/>
        <w:rPr>
          <w:sz w:val="20"/>
          <w:szCs w:val="20"/>
          <w:color w:val="auto"/>
        </w:rPr>
      </w:pPr>
      <w:r>
        <w:rPr>
          <w:rFonts w:ascii="Courier New" w:cs="Courier New" w:eastAsia="Courier New" w:hAnsi="Courier New"/>
          <w:sz w:val="16"/>
          <w:szCs w:val="16"/>
          <w:color w:val="auto"/>
        </w:rPr>
        <w:t>31,014</w:t>
      </w:r>
    </w:p>
    <w:p>
      <w:pPr>
        <w:ind w:left="3850"/>
        <w:spacing w:after="0"/>
        <w:rPr>
          <w:sz w:val="20"/>
          <w:szCs w:val="20"/>
          <w:color w:val="auto"/>
        </w:rPr>
      </w:pPr>
      <w:r>
        <w:rPr>
          <w:rFonts w:ascii="Courier New" w:cs="Courier New" w:eastAsia="Courier New" w:hAnsi="Courier New"/>
          <w:sz w:val="16"/>
          <w:szCs w:val="16"/>
          <w:color w:val="auto"/>
        </w:rPr>
        <w:t>36,010</w:t>
      </w:r>
    </w:p>
    <w:p>
      <w:pPr>
        <w:ind w:left="3090"/>
        <w:spacing w:after="0"/>
        <w:rPr>
          <w:sz w:val="20"/>
          <w:szCs w:val="20"/>
          <w:color w:val="auto"/>
        </w:rPr>
      </w:pPr>
      <w:r>
        <w:rPr>
          <w:rFonts w:ascii="Courier New" w:cs="Courier New" w:eastAsia="Courier New" w:hAnsi="Courier New"/>
          <w:sz w:val="16"/>
          <w:szCs w:val="16"/>
          <w:color w:val="auto"/>
        </w:rPr>
        <w:t>27,554</w:t>
      </w:r>
    </w:p>
    <w:p>
      <w:pPr>
        <w:ind w:left="3090"/>
        <w:spacing w:after="0"/>
        <w:rPr>
          <w:sz w:val="20"/>
          <w:szCs w:val="20"/>
          <w:color w:val="auto"/>
        </w:rPr>
      </w:pPr>
      <w:r>
        <w:rPr>
          <w:rFonts w:ascii="Courier New" w:cs="Courier New" w:eastAsia="Courier New" w:hAnsi="Courier New"/>
          <w:sz w:val="16"/>
          <w:szCs w:val="16"/>
          <w:color w:val="auto"/>
        </w:rPr>
        <w:t>67,024</w:t>
      </w:r>
    </w:p>
    <w:p>
      <w:pPr>
        <w:ind w:left="2530"/>
        <w:spacing w:after="0"/>
        <w:rPr>
          <w:sz w:val="20"/>
          <w:szCs w:val="20"/>
          <w:color w:val="auto"/>
        </w:rPr>
      </w:pPr>
      <w:r>
        <w:rPr>
          <w:rFonts w:ascii="Courier New" w:cs="Courier New" w:eastAsia="Courier New" w:hAnsi="Courier New"/>
          <w:sz w:val="16"/>
          <w:szCs w:val="16"/>
          <w:color w:val="auto"/>
        </w:rPr>
        <w:t>7,780</w:t>
      </w:r>
    </w:p>
    <w:p>
      <w:pPr>
        <w:ind w:left="4230"/>
        <w:spacing w:after="0"/>
        <w:rPr>
          <w:sz w:val="20"/>
          <w:szCs w:val="20"/>
          <w:color w:val="auto"/>
        </w:rPr>
      </w:pPr>
      <w:r>
        <w:rPr>
          <w:rFonts w:ascii="Courier New" w:cs="Courier New" w:eastAsia="Courier New" w:hAnsi="Courier New"/>
          <w:sz w:val="16"/>
          <w:szCs w:val="16"/>
          <w:color w:val="auto"/>
        </w:rPr>
        <w:t>0</w:t>
      </w:r>
    </w:p>
    <w:p>
      <w:pPr>
        <w:ind w:left="2910"/>
        <w:spacing w:after="0"/>
        <w:rPr>
          <w:sz w:val="20"/>
          <w:szCs w:val="20"/>
          <w:color w:val="auto"/>
        </w:rPr>
      </w:pPr>
      <w:r>
        <w:rPr>
          <w:rFonts w:ascii="Courier New" w:cs="Courier New" w:eastAsia="Courier New" w:hAnsi="Courier New"/>
          <w:sz w:val="16"/>
          <w:szCs w:val="16"/>
          <w:color w:val="auto"/>
        </w:rPr>
        <w:t>0</w:t>
      </w:r>
    </w:p>
    <w:p>
      <w:pPr>
        <w:ind w:left="3850"/>
        <w:spacing w:after="0"/>
        <w:rPr>
          <w:sz w:val="20"/>
          <w:szCs w:val="20"/>
          <w:color w:val="auto"/>
        </w:rPr>
      </w:pPr>
      <w:r>
        <w:rPr>
          <w:rFonts w:ascii="Courier New" w:cs="Courier New" w:eastAsia="Courier New" w:hAnsi="Courier New"/>
          <w:sz w:val="16"/>
          <w:szCs w:val="16"/>
          <w:color w:val="auto"/>
        </w:rPr>
        <w:t>0</w:t>
      </w:r>
    </w:p>
    <w:p>
      <w:pPr>
        <w:ind w:left="3930"/>
        <w:spacing w:after="0"/>
        <w:rPr>
          <w:sz w:val="20"/>
          <w:szCs w:val="20"/>
          <w:color w:val="auto"/>
        </w:rPr>
      </w:pPr>
      <w:r>
        <w:rPr>
          <w:rFonts w:ascii="Courier New" w:cs="Courier New" w:eastAsia="Courier New" w:hAnsi="Courier New"/>
          <w:sz w:val="16"/>
          <w:szCs w:val="16"/>
          <w:color w:val="auto"/>
        </w:rPr>
        <w:t>149</w:t>
      </w:r>
    </w:p>
    <w:p>
      <w:pPr>
        <w:ind w:left="3470"/>
        <w:spacing w:after="0"/>
        <w:rPr>
          <w:sz w:val="20"/>
          <w:szCs w:val="20"/>
          <w:color w:val="auto"/>
        </w:rPr>
      </w:pPr>
      <w:r>
        <w:rPr>
          <w:rFonts w:ascii="Courier New" w:cs="Courier New" w:eastAsia="Courier New" w:hAnsi="Courier New"/>
          <w:sz w:val="16"/>
          <w:szCs w:val="16"/>
          <w:color w:val="auto"/>
        </w:rPr>
        <w:t>56,115</w:t>
      </w:r>
    </w:p>
    <w:p>
      <w:pPr>
        <w:ind w:left="1790"/>
        <w:spacing w:after="0"/>
        <w:rPr>
          <w:sz w:val="20"/>
          <w:szCs w:val="20"/>
          <w:color w:val="auto"/>
        </w:rPr>
      </w:pPr>
      <w:r>
        <w:rPr>
          <w:rFonts w:ascii="Courier New" w:cs="Courier New" w:eastAsia="Courier New" w:hAnsi="Courier New"/>
          <w:sz w:val="16"/>
          <w:szCs w:val="16"/>
          <w:color w:val="auto"/>
        </w:rPr>
        <w:t>56,264</w:t>
      </w:r>
    </w:p>
    <w:p>
      <w:pPr>
        <w:ind w:left="3750"/>
        <w:spacing w:after="0"/>
        <w:rPr>
          <w:sz w:val="20"/>
          <w:szCs w:val="20"/>
          <w:color w:val="auto"/>
        </w:rPr>
      </w:pPr>
      <w:r>
        <w:rPr>
          <w:rFonts w:ascii="Courier New" w:cs="Courier New" w:eastAsia="Courier New" w:hAnsi="Courier New"/>
          <w:sz w:val="16"/>
          <w:szCs w:val="16"/>
          <w:color w:val="auto"/>
        </w:rPr>
        <w:t>17,475</w:t>
      </w:r>
    </w:p>
    <w:p>
      <w:pPr>
        <w:ind w:left="2910"/>
        <w:spacing w:after="0"/>
        <w:rPr>
          <w:sz w:val="20"/>
          <w:szCs w:val="20"/>
          <w:color w:val="auto"/>
        </w:rPr>
      </w:pPr>
      <w:r>
        <w:rPr>
          <w:rFonts w:ascii="Courier New" w:cs="Courier New" w:eastAsia="Courier New" w:hAnsi="Courier New"/>
          <w:sz w:val="16"/>
          <w:szCs w:val="16"/>
          <w:color w:val="auto"/>
        </w:rPr>
        <w:t>17,475</w:t>
      </w:r>
    </w:p>
    <w:p>
      <w:pPr>
        <w:jc w:val="right"/>
        <w:ind w:right="5619"/>
        <w:spacing w:after="0"/>
        <w:rPr>
          <w:sz w:val="20"/>
          <w:szCs w:val="20"/>
          <w:color w:val="auto"/>
        </w:rPr>
      </w:pPr>
      <w:r>
        <w:rPr>
          <w:rFonts w:ascii="Courier New" w:cs="Courier New" w:eastAsia="Courier New" w:hAnsi="Courier New"/>
          <w:sz w:val="16"/>
          <w:szCs w:val="16"/>
          <w:color w:val="auto"/>
        </w:rPr>
        <w:t>12,591</w:t>
      </w:r>
    </w:p>
    <w:p>
      <w:pPr>
        <w:ind w:left="3190"/>
        <w:spacing w:after="0"/>
        <w:rPr>
          <w:sz w:val="20"/>
          <w:szCs w:val="20"/>
          <w:color w:val="auto"/>
        </w:rPr>
      </w:pPr>
      <w:r>
        <w:rPr>
          <w:rFonts w:ascii="Courier New" w:cs="Courier New" w:eastAsia="Courier New" w:hAnsi="Courier New"/>
          <w:sz w:val="16"/>
          <w:szCs w:val="16"/>
          <w:color w:val="auto"/>
        </w:rPr>
        <w:t>12,591</w:t>
      </w:r>
    </w:p>
    <w:p>
      <w:pPr>
        <w:ind w:left="3010"/>
        <w:spacing w:after="0"/>
        <w:rPr>
          <w:sz w:val="20"/>
          <w:szCs w:val="20"/>
          <w:color w:val="auto"/>
        </w:rPr>
      </w:pPr>
      <w:r>
        <w:rPr>
          <w:rFonts w:ascii="Courier New" w:cs="Courier New" w:eastAsia="Courier New" w:hAnsi="Courier New"/>
          <w:sz w:val="16"/>
          <w:szCs w:val="16"/>
          <w:color w:val="auto"/>
        </w:rPr>
        <w:t>2,250</w:t>
      </w:r>
    </w:p>
    <w:p>
      <w:pPr>
        <w:ind w:left="3370"/>
        <w:spacing w:after="0"/>
        <w:rPr>
          <w:sz w:val="20"/>
          <w:szCs w:val="20"/>
          <w:color w:val="auto"/>
        </w:rPr>
      </w:pPr>
      <w:r>
        <w:rPr>
          <w:rFonts w:ascii="Courier New" w:cs="Courier New" w:eastAsia="Courier New" w:hAnsi="Courier New"/>
          <w:sz w:val="16"/>
          <w:szCs w:val="16"/>
          <w:color w:val="auto"/>
        </w:rPr>
        <w:t>0</w:t>
      </w:r>
    </w:p>
    <w:p>
      <w:pPr>
        <w:ind w:left="3190"/>
        <w:spacing w:after="0"/>
        <w:rPr>
          <w:sz w:val="20"/>
          <w:szCs w:val="20"/>
          <w:color w:val="auto"/>
        </w:rPr>
      </w:pPr>
      <w:r>
        <w:rPr>
          <w:rFonts w:ascii="Courier New" w:cs="Courier New" w:eastAsia="Courier New" w:hAnsi="Courier New"/>
          <w:sz w:val="16"/>
          <w:szCs w:val="16"/>
          <w:color w:val="auto"/>
        </w:rPr>
        <w:t>8</w:t>
      </w:r>
    </w:p>
    <w:p>
      <w:pPr>
        <w:ind w:left="3090"/>
        <w:spacing w:after="0"/>
        <w:rPr>
          <w:sz w:val="20"/>
          <w:szCs w:val="20"/>
          <w:color w:val="auto"/>
        </w:rPr>
      </w:pPr>
      <w:r>
        <w:rPr>
          <w:rFonts w:ascii="Courier New" w:cs="Courier New" w:eastAsia="Courier New" w:hAnsi="Courier New"/>
          <w:sz w:val="16"/>
          <w:szCs w:val="16"/>
          <w:color w:val="auto"/>
        </w:rPr>
        <w:t>2,618</w:t>
      </w:r>
    </w:p>
    <w:p>
      <w:pPr>
        <w:ind w:left="3570"/>
        <w:spacing w:after="0"/>
        <w:rPr>
          <w:sz w:val="20"/>
          <w:szCs w:val="20"/>
          <w:color w:val="auto"/>
        </w:rPr>
      </w:pPr>
      <w:r>
        <w:rPr>
          <w:rFonts w:ascii="Courier New" w:cs="Courier New" w:eastAsia="Courier New" w:hAnsi="Courier New"/>
          <w:sz w:val="16"/>
          <w:szCs w:val="16"/>
          <w:color w:val="auto"/>
        </w:rPr>
        <w:t>903</w:t>
      </w:r>
    </w:p>
    <w:p>
      <w:pPr>
        <w:ind w:left="2730"/>
        <w:spacing w:after="0"/>
        <w:rPr>
          <w:sz w:val="20"/>
          <w:szCs w:val="20"/>
          <w:color w:val="auto"/>
        </w:rPr>
      </w:pPr>
      <w:r>
        <w:rPr>
          <w:rFonts w:ascii="Courier New" w:cs="Courier New" w:eastAsia="Courier New" w:hAnsi="Courier New"/>
          <w:sz w:val="16"/>
          <w:szCs w:val="16"/>
          <w:color w:val="auto"/>
        </w:rPr>
        <w:t>1,715</w:t>
      </w:r>
    </w:p>
    <w:p>
      <w:pPr>
        <w:ind w:left="3570"/>
        <w:spacing w:after="0"/>
        <w:rPr>
          <w:sz w:val="20"/>
          <w:szCs w:val="20"/>
          <w:color w:val="auto"/>
        </w:rPr>
      </w:pPr>
      <w:r>
        <w:rPr>
          <w:rFonts w:ascii="Courier New" w:cs="Courier New" w:eastAsia="Courier New" w:hAnsi="Courier New"/>
          <w:sz w:val="16"/>
          <w:szCs w:val="16"/>
          <w:color w:val="auto"/>
        </w:rPr>
        <w:t>0</w:t>
      </w:r>
    </w:p>
    <w:p>
      <w:pPr>
        <w:ind w:left="3470"/>
        <w:spacing w:after="0"/>
        <w:rPr>
          <w:sz w:val="20"/>
          <w:szCs w:val="20"/>
          <w:color w:val="auto"/>
        </w:rPr>
      </w:pPr>
      <w:r>
        <w:rPr>
          <w:rFonts w:ascii="Courier New" w:cs="Courier New" w:eastAsia="Courier New" w:hAnsi="Courier New"/>
          <w:sz w:val="16"/>
          <w:szCs w:val="16"/>
          <w:color w:val="auto"/>
        </w:rPr>
        <w:t>0</w:t>
      </w:r>
    </w:p>
    <w:p>
      <w:pPr>
        <w:ind w:left="4030"/>
        <w:spacing w:after="0"/>
        <w:rPr>
          <w:sz w:val="20"/>
          <w:szCs w:val="20"/>
          <w:color w:val="auto"/>
        </w:rPr>
      </w:pPr>
      <w:r>
        <w:rPr>
          <w:rFonts w:ascii="Courier New" w:cs="Courier New" w:eastAsia="Courier New" w:hAnsi="Courier New"/>
          <w:sz w:val="16"/>
          <w:szCs w:val="16"/>
          <w:color w:val="auto"/>
        </w:rPr>
        <w:t>0</w:t>
      </w:r>
    </w:p>
    <w:p>
      <w:pPr>
        <w:ind w:left="3370"/>
        <w:spacing w:after="0"/>
        <w:rPr>
          <w:sz w:val="20"/>
          <w:szCs w:val="20"/>
          <w:color w:val="auto"/>
        </w:rPr>
      </w:pPr>
      <w:r>
        <w:rPr>
          <w:rFonts w:ascii="Courier New" w:cs="Courier New" w:eastAsia="Courier New" w:hAnsi="Courier New"/>
          <w:sz w:val="16"/>
          <w:szCs w:val="16"/>
          <w:color w:val="auto"/>
        </w:rPr>
        <w:t>1,715</w:t>
      </w:r>
    </w:p>
    <w:p>
      <w:pPr>
        <w:ind w:left="3570"/>
        <w:spacing w:after="0"/>
        <w:rPr>
          <w:sz w:val="20"/>
          <w:szCs w:val="20"/>
          <w:color w:val="auto"/>
        </w:rPr>
      </w:pPr>
      <w:r>
        <w:rPr>
          <w:rFonts w:ascii="Courier New" w:cs="Courier New" w:eastAsia="Courier New" w:hAnsi="Courier New"/>
          <w:sz w:val="16"/>
          <w:szCs w:val="16"/>
          <w:color w:val="auto"/>
        </w:rPr>
        <w:t>0.12</w:t>
      </w:r>
    </w:p>
    <w:p>
      <w:pPr>
        <w:ind w:left="3370"/>
        <w:spacing w:after="0"/>
        <w:rPr>
          <w:sz w:val="20"/>
          <w:szCs w:val="20"/>
          <w:color w:val="auto"/>
        </w:rPr>
      </w:pPr>
      <w:r>
        <w:rPr>
          <w:rFonts w:ascii="Courier New" w:cs="Courier New" w:eastAsia="Courier New" w:hAnsi="Courier New"/>
          <w:sz w:val="16"/>
          <w:szCs w:val="16"/>
          <w:color w:val="auto"/>
        </w:rPr>
        <w:t>0.12</w:t>
      </w:r>
    </w:p>
    <w:sectPr>
      <w:pgSz w:w="11900" w:h="16838" w:orient="portrait"/>
      <w:cols w:equalWidth="0" w:num="1">
        <w:col w:w="10129"/>
      </w:cols>
      <w:pgMar w:left="33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5"/>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lvl w:ilvl="1">
      <w:lvlJc w:val="left"/>
      <w:lvlText w:val="%2"/>
      <w:numFmt w:val="decimal"/>
      <w:start w:val="27"/>
    </w:lvl>
  </w:abstractNum>
  <w:abstractNum w:abstractNumId="5">
    <w:nsid w:val="2EB141F2"/>
    <w:multiLevelType w:val="hybridMultilevel"/>
    <w:lvl w:ilvl="0">
      <w:lvlJc w:val="left"/>
      <w:lvlText w:val="(%1)"/>
      <w:numFmt w:val="lowerLetter"/>
      <w:start w:val="2"/>
    </w:lvl>
    <w:lvl w:ilvl="1">
      <w:lvlJc w:val="left"/>
      <w:lvlText w:val="%2"/>
      <w:numFmt w:val="decimal"/>
      <w:start w:val="1"/>
    </w:lvl>
  </w:abstractNum>
  <w:abstractNum w:abstractNumId="6">
    <w:nsid w:val="41B71EFB"/>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2020-02-22T14:29:45Z</dcterms:created>
  <dcterms:modified xsi:type="dcterms:W3CDTF">2020-02-22T14:29:45Z</dcterms:modified>
</cp:coreProperties>
</file>