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6"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-241935</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5482590</wp:posOffset>
            </wp:positionH>
            <wp:positionV relativeFrom="paragraph">
              <wp:posOffset>-650240</wp:posOffset>
            </wp:positionV>
            <wp:extent cx="59690" cy="663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357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-650240</wp:posOffset>
            </wp:positionV>
            <wp:extent cx="59690" cy="663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357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486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864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Veltman Warren A</w:t>
        </w:r>
      </w:hyperlink>
    </w:p>
    <w:p>
      <w:pPr>
        <w:spacing w:after="0" w:line="32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207 MOCKINGBIRD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ind w:left="360" w:hanging="354"/>
        <w:spacing w:after="0"/>
        <w:tabs>
          <w:tab w:leader="none" w:pos="360"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04/30/2018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firstLine="5"/>
        <w:spacing w:after="0" w:line="255" w:lineRule="auto"/>
        <w:tabs>
          <w:tab w:leader="none" w:pos="144"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5"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55"/>
        <w:spacing w:after="0"/>
        <w:rPr>
          <w:sz w:val="20"/>
          <w:szCs w:val="20"/>
          <w:color w:val="auto"/>
        </w:rPr>
      </w:pPr>
      <w:r>
        <w:rPr>
          <w:rFonts w:ascii="Arial" w:cs="Arial" w:eastAsia="Arial" w:hAnsi="Arial"/>
          <w:sz w:val="17"/>
          <w:szCs w:val="17"/>
          <w:color w:val="0000FF"/>
        </w:rPr>
        <w:t>EVP, Mobile Solutions</w:t>
      </w:r>
    </w:p>
    <w:p>
      <w:pPr>
        <w:spacing w:after="0" w:line="333" w:lineRule="exact"/>
        <w:rPr>
          <w:sz w:val="24"/>
          <w:szCs w:val="24"/>
          <w:color w:val="auto"/>
        </w:rPr>
      </w:pPr>
    </w:p>
    <w:p>
      <w:pPr>
        <w:sectPr>
          <w:pgSz w:w="11900" w:h="16838" w:orient="portrait"/>
          <w:cols w:equalWidth="0" w:num="3">
            <w:col w:w="3340" w:space="720"/>
            <w:col w:w="3265" w:space="720"/>
            <w:col w:w="3475"/>
          </w:cols>
          <w:pgMar w:left="240" w:top="225" w:right="139" w:bottom="1440" w:gutter="0" w:footer="0" w:header="0"/>
          <w:type w:val="continuous"/>
        </w:sectPr>
      </w:pP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860" w:type="dxa"/>
            <w:vAlign w:val="bottom"/>
            <w:gridSpan w:val="7"/>
          </w:tcPr>
          <w:p>
            <w:pPr>
              <w:jc w:val="center"/>
              <w:ind w:right="73"/>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JOHNSON</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80" w:type="dxa"/>
            <w:vAlign w:val="bottom"/>
            <w:vMerge w:val="restart"/>
          </w:tcPr>
          <w:p>
            <w:pPr>
              <w:spacing w:after="0"/>
              <w:rPr>
                <w:sz w:val="20"/>
                <w:szCs w:val="20"/>
                <w:color w:val="auto"/>
              </w:rPr>
            </w:pPr>
            <w:r>
              <w:rPr>
                <w:rFonts w:ascii="Arial" w:cs="Arial" w:eastAsia="Arial" w:hAnsi="Arial"/>
                <w:sz w:val="17"/>
                <w:szCs w:val="17"/>
                <w:color w:val="0000FF"/>
              </w:rPr>
              <w:t>TN</w:t>
            </w:r>
          </w:p>
        </w:tc>
        <w:tc>
          <w:tcPr>
            <w:tcW w:w="900" w:type="dxa"/>
            <w:vAlign w:val="bottom"/>
          </w:tcPr>
          <w:p>
            <w:pPr>
              <w:spacing w:after="0"/>
              <w:rPr>
                <w:sz w:val="10"/>
                <w:szCs w:val="10"/>
                <w:color w:val="auto"/>
              </w:rPr>
            </w:pPr>
          </w:p>
        </w:tc>
        <w:tc>
          <w:tcPr>
            <w:tcW w:w="1320" w:type="dxa"/>
            <w:vAlign w:val="bottom"/>
            <w:vMerge w:val="restart"/>
          </w:tcPr>
          <w:p>
            <w:pPr>
              <w:ind w:left="100"/>
              <w:spacing w:after="0"/>
              <w:rPr>
                <w:sz w:val="20"/>
                <w:szCs w:val="20"/>
                <w:color w:val="auto"/>
              </w:rPr>
            </w:pPr>
            <w:r>
              <w:rPr>
                <w:rFonts w:ascii="Arial" w:cs="Arial" w:eastAsia="Arial" w:hAnsi="Arial"/>
                <w:sz w:val="17"/>
                <w:szCs w:val="17"/>
                <w:color w:val="0000FF"/>
              </w:rPr>
              <w:t>37604</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76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5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32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320" w:type="dxa"/>
            <w:vAlign w:val="bottom"/>
            <w:vMerge w:val="restart"/>
          </w:tcPr>
          <w:p>
            <w:pPr>
              <w:ind w:left="10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940" w:type="dxa"/>
            <w:vAlign w:val="bottom"/>
            <w:tcBorders>
              <w:bottom w:val="single" w:sz="8" w:color="2C2C2C"/>
            </w:tcBorders>
            <w:gridSpan w:val="6"/>
          </w:tcPr>
          <w:p>
            <w:pPr>
              <w:spacing w:after="0"/>
              <w:rPr>
                <w:sz w:val="11"/>
                <w:szCs w:val="11"/>
                <w:color w:val="auto"/>
              </w:rPr>
            </w:pPr>
          </w:p>
        </w:tc>
        <w:tc>
          <w:tcPr>
            <w:tcW w:w="2680" w:type="dxa"/>
            <w:vAlign w:val="bottom"/>
            <w:tcBorders>
              <w:bottom w:val="single" w:sz="8" w:color="2C2C2C"/>
            </w:tcBorders>
            <w:gridSpan w:val="4"/>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3"/>
          </w:tcPr>
          <w:p>
            <w:pPr>
              <w:ind w:left="7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6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86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940" w:type="dxa"/>
            <w:vAlign w:val="bottom"/>
            <w:gridSpan w:val="2"/>
          </w:tcPr>
          <w:p>
            <w:pPr>
              <w:jc w:val="center"/>
              <w:ind w:left="687"/>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87"/>
              <w:spacing w:after="0"/>
              <w:rPr>
                <w:sz w:val="20"/>
                <w:szCs w:val="20"/>
                <w:color w:val="auto"/>
              </w:rPr>
            </w:pPr>
            <w:r>
              <w:rPr>
                <w:rFonts w:ascii="Arial" w:cs="Arial" w:eastAsia="Arial" w:hAnsi="Arial"/>
                <w:sz w:val="17"/>
                <w:szCs w:val="17"/>
                <w:color w:val="0000FF"/>
                <w:w w:val="91"/>
              </w:rPr>
              <w:t>04/30/2018</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ind w:left="152"/>
              <w:spacing w:after="0"/>
              <w:rPr>
                <w:sz w:val="20"/>
                <w:szCs w:val="20"/>
                <w:color w:val="auto"/>
              </w:rPr>
            </w:pPr>
            <w:r>
              <w:rPr>
                <w:rFonts w:ascii="Arial" w:cs="Arial" w:eastAsia="Arial" w:hAnsi="Arial"/>
                <w:sz w:val="17"/>
                <w:szCs w:val="17"/>
                <w:color w:val="0000FF"/>
                <w:w w:val="85"/>
              </w:rPr>
              <w:t>5,074</w:t>
            </w:r>
            <w:r>
              <w:rPr>
                <w:rFonts w:ascii="Arial" w:cs="Arial" w:eastAsia="Arial" w:hAnsi="Arial"/>
                <w:sz w:val="22"/>
                <w:szCs w:val="22"/>
                <w:color w:val="008000"/>
                <w:w w:val="85"/>
                <w:vertAlign w:val="superscript"/>
              </w:rPr>
              <w:t>(1)</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32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29,216</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940" w:type="dxa"/>
            <w:vAlign w:val="bottom"/>
            <w:gridSpan w:val="2"/>
          </w:tcPr>
          <w:p>
            <w:pPr>
              <w:jc w:val="center"/>
              <w:ind w:left="687"/>
              <w:spacing w:after="0"/>
              <w:rPr>
                <w:sz w:val="20"/>
                <w:szCs w:val="20"/>
                <w:color w:val="auto"/>
              </w:rPr>
            </w:pPr>
            <w:r>
              <w:rPr>
                <w:rFonts w:ascii="Arial" w:cs="Arial" w:eastAsia="Arial" w:hAnsi="Arial"/>
                <w:sz w:val="17"/>
                <w:szCs w:val="17"/>
                <w:color w:val="0000FF"/>
                <w:w w:val="91"/>
              </w:rPr>
              <w:t>04/30/2018</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132"/>
              <w:spacing w:after="0"/>
              <w:rPr>
                <w:sz w:val="20"/>
                <w:szCs w:val="20"/>
                <w:color w:val="auto"/>
              </w:rPr>
            </w:pPr>
            <w:r>
              <w:rPr>
                <w:rFonts w:ascii="Arial" w:cs="Arial" w:eastAsia="Arial" w:hAnsi="Arial"/>
                <w:sz w:val="17"/>
                <w:szCs w:val="17"/>
                <w:color w:val="0000FF"/>
                <w:w w:val="89"/>
              </w:rPr>
              <w:t>3,480</w:t>
            </w:r>
          </w:p>
        </w:tc>
        <w:tc>
          <w:tcPr>
            <w:tcW w:w="640" w:type="dxa"/>
            <w:vAlign w:val="bottom"/>
          </w:tcPr>
          <w:p>
            <w:pPr>
              <w:ind w:left="36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ind w:left="1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320" w:type="dxa"/>
            <w:vAlign w:val="bottom"/>
            <w:gridSpan w:val="3"/>
          </w:tcPr>
          <w:p>
            <w:pPr>
              <w:ind w:left="440"/>
              <w:spacing w:after="0"/>
              <w:rPr>
                <w:sz w:val="20"/>
                <w:szCs w:val="20"/>
                <w:color w:val="auto"/>
              </w:rPr>
            </w:pPr>
            <w:r>
              <w:rPr>
                <w:rFonts w:ascii="Arial" w:cs="Arial" w:eastAsia="Arial" w:hAnsi="Arial"/>
                <w:sz w:val="17"/>
                <w:szCs w:val="17"/>
                <w:color w:val="0000FF"/>
              </w:rPr>
              <w:t>32,696</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87"/>
              <w:spacing w:after="0"/>
              <w:rPr>
                <w:sz w:val="20"/>
                <w:szCs w:val="20"/>
                <w:color w:val="auto"/>
              </w:rPr>
            </w:pPr>
            <w:r>
              <w:rPr>
                <w:rFonts w:ascii="Arial" w:cs="Arial" w:eastAsia="Arial" w:hAnsi="Arial"/>
                <w:sz w:val="17"/>
                <w:szCs w:val="17"/>
                <w:color w:val="0000FF"/>
                <w:w w:val="91"/>
              </w:rPr>
              <w:t>04/30/2018</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52"/>
              <w:spacing w:after="0"/>
              <w:rPr>
                <w:sz w:val="20"/>
                <w:szCs w:val="20"/>
                <w:color w:val="auto"/>
              </w:rPr>
            </w:pPr>
            <w:r>
              <w:rPr>
                <w:rFonts w:ascii="Arial" w:cs="Arial" w:eastAsia="Arial" w:hAnsi="Arial"/>
                <w:sz w:val="17"/>
                <w:szCs w:val="17"/>
                <w:color w:val="0000FF"/>
                <w:w w:val="85"/>
              </w:rPr>
              <w:t>2,775</w:t>
            </w:r>
            <w:r>
              <w:rPr>
                <w:rFonts w:ascii="Arial" w:cs="Arial" w:eastAsia="Arial" w:hAnsi="Arial"/>
                <w:sz w:val="22"/>
                <w:szCs w:val="22"/>
                <w:color w:val="008000"/>
                <w:w w:val="85"/>
                <w:vertAlign w:val="superscript"/>
              </w:rPr>
              <w:t>(2)</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20.3</w:t>
            </w:r>
          </w:p>
        </w:tc>
        <w:tc>
          <w:tcPr>
            <w:tcW w:w="132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29,921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2"/>
          </w:tcPr>
          <w:p>
            <w:pPr>
              <w:jc w:val="center"/>
              <w:ind w:right="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780" w:type="dxa"/>
            <w:vAlign w:val="bottom"/>
            <w:gridSpan w:val="10"/>
          </w:tcPr>
          <w:p>
            <w:pPr>
              <w:jc w:val="center"/>
              <w:ind w:left="50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32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  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Security</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w w:val="99"/>
              </w:rPr>
              <w:t>Performance</w:t>
            </w:r>
          </w:p>
        </w:tc>
        <w:tc>
          <w:tcPr>
            <w:tcW w:w="560" w:type="dxa"/>
            <w:vAlign w:val="bottom"/>
          </w:tcPr>
          <w:p>
            <w:pPr>
              <w:ind w:left="340"/>
              <w:spacing w:after="0"/>
              <w:rPr>
                <w:sz w:val="20"/>
                <w:szCs w:val="20"/>
                <w:color w:val="auto"/>
              </w:rPr>
            </w:pPr>
            <w:r>
              <w:rPr>
                <w:rFonts w:ascii="Arial" w:cs="Arial" w:eastAsia="Arial" w:hAnsi="Arial"/>
                <w:sz w:val="11"/>
                <w:szCs w:val="11"/>
                <w:color w:val="008000"/>
              </w:rPr>
              <w:t>(3)</w:t>
            </w:r>
          </w:p>
        </w:tc>
        <w:tc>
          <w:tcPr>
            <w:tcW w:w="280" w:type="dxa"/>
            <w:vAlign w:val="bottom"/>
          </w:tcPr>
          <w:p>
            <w:pPr>
              <w:spacing w:after="0"/>
              <w:rPr>
                <w:sz w:val="20"/>
                <w:szCs w:val="20"/>
                <w:color w:val="auto"/>
              </w:rPr>
            </w:pPr>
          </w:p>
        </w:tc>
        <w:tc>
          <w:tcPr>
            <w:tcW w:w="900" w:type="dxa"/>
            <w:vAlign w:val="bottom"/>
          </w:tcPr>
          <w:p>
            <w:pPr>
              <w:ind w:left="240"/>
              <w:spacing w:after="0"/>
              <w:rPr>
                <w:sz w:val="20"/>
                <w:szCs w:val="20"/>
                <w:color w:val="auto"/>
              </w:rPr>
            </w:pPr>
            <w:r>
              <w:rPr>
                <w:rFonts w:ascii="Arial" w:cs="Arial" w:eastAsia="Arial" w:hAnsi="Arial"/>
                <w:sz w:val="13"/>
                <w:szCs w:val="13"/>
                <w:color w:val="0000FF"/>
                <w:w w:val="98"/>
              </w:rPr>
              <w:t>04/30/2018</w:t>
            </w:r>
          </w:p>
        </w:tc>
        <w:tc>
          <w:tcPr>
            <w:tcW w:w="132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0"/>
                <w:szCs w:val="20"/>
                <w:color w:val="auto"/>
              </w:rPr>
            </w:pPr>
          </w:p>
        </w:tc>
        <w:tc>
          <w:tcPr>
            <w:tcW w:w="820" w:type="dxa"/>
            <w:vAlign w:val="bottom"/>
          </w:tcPr>
          <w:p>
            <w:pPr>
              <w:ind w:left="380"/>
              <w:spacing w:after="0"/>
              <w:rPr>
                <w:sz w:val="20"/>
                <w:szCs w:val="20"/>
                <w:color w:val="auto"/>
              </w:rPr>
            </w:pPr>
            <w:r>
              <w:rPr>
                <w:rFonts w:ascii="Arial" w:cs="Arial" w:eastAsia="Arial" w:hAnsi="Arial"/>
                <w:sz w:val="13"/>
                <w:szCs w:val="13"/>
                <w:color w:val="0000FF"/>
              </w:rPr>
              <w:t>3,460</w:t>
            </w: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740" w:type="dxa"/>
            <w:vAlign w:val="bottom"/>
          </w:tcPr>
          <w:p>
            <w:pPr>
              <w:ind w:left="240"/>
              <w:spacing w:after="0"/>
              <w:rPr>
                <w:sz w:val="20"/>
                <w:szCs w:val="20"/>
                <w:color w:val="auto"/>
              </w:rPr>
            </w:pPr>
            <w:r>
              <w:rPr>
                <w:rFonts w:ascii="Arial" w:cs="Arial" w:eastAsia="Arial" w:hAnsi="Arial"/>
                <w:sz w:val="11"/>
                <w:szCs w:val="11"/>
                <w:color w:val="008000"/>
              </w:rPr>
              <w:t>(4)</w:t>
            </w: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rPr>
                <w:sz w:val="20"/>
                <w:szCs w:val="20"/>
                <w:color w:val="auto"/>
              </w:rPr>
            </w:pPr>
            <w:r>
              <w:rPr>
                <w:rFonts w:ascii="Arial" w:cs="Arial" w:eastAsia="Arial" w:hAnsi="Arial"/>
                <w:sz w:val="17"/>
                <w:szCs w:val="17"/>
                <w:color w:val="0000FF"/>
              </w:rPr>
              <w:t>3,460</w:t>
            </w:r>
          </w:p>
        </w:tc>
        <w:tc>
          <w:tcPr>
            <w:tcW w:w="60" w:type="dxa"/>
            <w:vAlign w:val="bottom"/>
          </w:tcPr>
          <w:p>
            <w:pPr>
              <w:spacing w:after="0"/>
              <w:rPr>
                <w:sz w:val="20"/>
                <w:szCs w:val="20"/>
                <w:color w:val="auto"/>
              </w:rPr>
            </w:pPr>
          </w:p>
        </w:tc>
        <w:tc>
          <w:tcPr>
            <w:tcW w:w="74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58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Rights</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00" w:firstLine="7"/>
        <w:spacing w:after="0" w:line="271"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settlement of performance rights that vested on April 30, 2018 based on the return of invested capital of NN, Inc. (the "Issuer") over the performance period beginning February 1, 2015 and ending December 31, 2017.</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the amount of shares delivered to satisfy applicable tax withholding obligations in connection with the vesting of shares of restricted stock and performance rights.</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 right represented a contingent right to receive one share of common stock of the Issuer.</w:t>
      </w:r>
    </w:p>
    <w:p>
      <w:pPr>
        <w:spacing w:after="0" w:line="51" w:lineRule="exact"/>
        <w:rPr>
          <w:rFonts w:ascii="Arial" w:cs="Arial" w:eastAsia="Arial" w:hAnsi="Arial"/>
          <w:sz w:val="13"/>
          <w:szCs w:val="13"/>
          <w:color w:val="008000"/>
        </w:rPr>
      </w:pPr>
    </w:p>
    <w:p>
      <w:pPr>
        <w:ind w:left="40" w:right="280" w:firstLine="7"/>
        <w:spacing w:after="0" w:line="254"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vesting of the performance rights was based on the relative total shareholder return ("TSR") of the Issuer, as compared to the TSR of the S&amp;P SmallCap 600 Index over the period beginning on February 1, 2015 and ending December 31, 2017. The performance rights vested on April 30, 2018. Performance rights granted represented the right to receive the target shares, and actual performance rights earned resulted in a payout of 100.6% of the target shares.</w:t>
      </w:r>
    </w:p>
    <w:p>
      <w:pPr>
        <w:sectPr>
          <w:pgSz w:w="11900" w:h="16838" w:orient="portrait"/>
          <w:cols w:equalWidth="0" w:num="1">
            <w:col w:w="11520"/>
          </w:cols>
          <w:pgMar w:left="240" w:top="225" w:right="139" w:bottom="1440" w:gutter="0" w:footer="0" w:header="0"/>
          <w:type w:val="continuous"/>
        </w:sectPr>
      </w:pPr>
    </w:p>
    <w:p>
      <w:pPr>
        <w:spacing w:after="0" w:line="1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Matthew S. Heiter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0</wp:posOffset>
            </wp:positionV>
            <wp:extent cx="1394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4460" cy="8255"/>
                    </a:xfrm>
                    <a:prstGeom prst="rect">
                      <a:avLst/>
                    </a:prstGeom>
                    <a:noFill/>
                  </pic:spPr>
                </pic:pic>
              </a:graphicData>
            </a:graphic>
          </wp:anchor>
        </w:drawing>
      </w:r>
    </w:p>
    <w:p>
      <w:pPr>
        <w:spacing w:after="0" w:line="1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-12065</wp:posOffset>
            </wp:positionV>
            <wp:extent cx="51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13080" cy="8255"/>
                    </a:xfrm>
                    <a:prstGeom prst="rect">
                      <a:avLst/>
                    </a:prstGeom>
                    <a:noFill/>
                  </pic:spPr>
                </pic:pic>
              </a:graphicData>
            </a:graphic>
          </wp:anchor>
        </w:drawing>
      </w:r>
    </w:p>
    <w:p>
      <w:pPr>
        <w:spacing w:after="0" w:line="53"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128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5"/>
          <w:szCs w:val="15"/>
          <w:color w:val="0000FF"/>
        </w:rPr>
        <w:t>05/02/2018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5035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8" w:lineRule="exact"/>
        <w:rPr>
          <w:sz w:val="24"/>
          <w:szCs w:val="24"/>
          <w:color w:val="auto"/>
        </w:rPr>
      </w:pPr>
    </w:p>
    <w:p>
      <w:pPr>
        <w:sectPr>
          <w:pgSz w:w="11900" w:h="16838" w:orient="portrait"/>
          <w:cols w:equalWidth="0" w:num="2">
            <w:col w:w="9060" w:space="10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8759"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2019-12-27T10:04:49Z</dcterms:created>
  <dcterms:modified xsi:type="dcterms:W3CDTF">2019-12-27T10:04:49Z</dcterms:modified>
</cp:coreProperties>
</file>