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THE SECURITIES EXCHANGE ACT OF 1934</w:t>
      </w:r>
    </w:p>
    <w:p>
      <w:pPr>
        <w:jc w:val="center"/>
        <w:ind w:right="-319"/>
        <w:spacing w:after="0"/>
        <w:rPr>
          <w:sz w:val="20"/>
          <w:szCs w:val="20"/>
          <w:color w:val="auto"/>
        </w:rPr>
      </w:pPr>
      <w:r>
        <w:rPr>
          <w:rFonts w:ascii="Times New Roman" w:cs="Times New Roman" w:eastAsia="Times New Roman" w:hAnsi="Times New Roman"/>
          <w:sz w:val="22"/>
          <w:szCs w:val="22"/>
          <w:color w:val="auto"/>
        </w:rPr>
        <w:t>(Amendment No. 1)*</w:t>
      </w:r>
    </w:p>
    <w:p>
      <w:pPr>
        <w:spacing w:after="0" w:line="200" w:lineRule="exact"/>
        <w:rPr>
          <w:sz w:val="24"/>
          <w:szCs w:val="24"/>
          <w:color w:val="auto"/>
        </w:rPr>
      </w:pPr>
    </w:p>
    <w:p>
      <w:pPr>
        <w:spacing w:after="0" w:line="25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00" w:lineRule="exact"/>
        <w:rPr>
          <w:sz w:val="24"/>
          <w:szCs w:val="24"/>
          <w:color w:val="auto"/>
        </w:rPr>
      </w:pPr>
    </w:p>
    <w:p>
      <w:pPr>
        <w:spacing w:after="0" w:line="25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0" w:lineRule="exact"/>
        <w:rPr>
          <w:sz w:val="24"/>
          <w:szCs w:val="24"/>
          <w:color w:val="auto"/>
        </w:rPr>
      </w:pPr>
    </w:p>
    <w:p>
      <w:pPr>
        <w:spacing w:after="0" w:line="25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(CUSIP Number)</w:t>
      </w:r>
    </w:p>
    <w:p>
      <w:pPr>
        <w:spacing w:after="0" w:line="200" w:lineRule="exact"/>
        <w:rPr>
          <w:sz w:val="24"/>
          <w:szCs w:val="24"/>
          <w:color w:val="auto"/>
        </w:rPr>
      </w:pPr>
    </w:p>
    <w:p>
      <w:pPr>
        <w:spacing w:after="0" w:line="25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John Barrett</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Corre Partners Management, LLC</w:t>
      </w:r>
    </w:p>
    <w:p>
      <w:pPr>
        <w:jc w:val="center"/>
        <w:ind w:right="-319"/>
        <w:spacing w:after="0" w:line="184" w:lineRule="auto"/>
        <w:rPr>
          <w:sz w:val="20"/>
          <w:szCs w:val="20"/>
          <w:color w:val="auto"/>
        </w:rPr>
      </w:pPr>
      <w:r>
        <w:rPr>
          <w:rFonts w:ascii="Times New Roman" w:cs="Times New Roman" w:eastAsia="Times New Roman" w:hAnsi="Times New Roman"/>
          <w:sz w:val="21"/>
          <w:szCs w:val="21"/>
          <w:color w:val="auto"/>
        </w:rPr>
        <w:t>12 East 49</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1"/>
          <w:szCs w:val="21"/>
          <w:color w:val="auto"/>
        </w:rPr>
        <w:t xml:space="preserve"> Street, 40</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1"/>
          <w:szCs w:val="21"/>
          <w:color w:val="auto"/>
        </w:rPr>
        <w:t xml:space="preserve"> Floor,</w:t>
      </w:r>
    </w:p>
    <w:p>
      <w:pPr>
        <w:jc w:val="center"/>
        <w:ind w:right="-319"/>
        <w:spacing w:after="0" w:line="231" w:lineRule="auto"/>
        <w:rPr>
          <w:sz w:val="20"/>
          <w:szCs w:val="20"/>
          <w:color w:val="auto"/>
        </w:rPr>
      </w:pPr>
      <w:r>
        <w:rPr>
          <w:rFonts w:ascii="Times New Roman" w:cs="Times New Roman" w:eastAsia="Times New Roman" w:hAnsi="Times New Roman"/>
          <w:sz w:val="22"/>
          <w:szCs w:val="22"/>
          <w:color w:val="auto"/>
        </w:rPr>
        <w:t>New York, NY 10017</w:t>
      </w:r>
    </w:p>
    <w:p>
      <w:pPr>
        <w:jc w:val="center"/>
        <w:ind w:right="-319"/>
        <w:spacing w:after="0"/>
        <w:rPr>
          <w:sz w:val="20"/>
          <w:szCs w:val="20"/>
          <w:color w:val="auto"/>
        </w:rPr>
      </w:pPr>
      <w:r>
        <w:rPr>
          <w:rFonts w:ascii="Times New Roman" w:cs="Times New Roman" w:eastAsia="Times New Roman" w:hAnsi="Times New Roman"/>
          <w:sz w:val="22"/>
          <w:szCs w:val="22"/>
          <w:color w:val="auto"/>
        </w:rPr>
        <w:t>Telephone Number: 646-863-7152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-3810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319"/>
        <w:spacing w:after="0" w:line="233" w:lineRule="auto"/>
        <w:rPr>
          <w:sz w:val="20"/>
          <w:szCs w:val="20"/>
          <w:color w:val="auto"/>
        </w:rPr>
      </w:pPr>
      <w:r>
        <w:rPr>
          <w:rFonts w:ascii="Times New Roman" w:cs="Times New Roman" w:eastAsia="Times New Roman" w:hAnsi="Times New Roman"/>
          <w:sz w:val="22"/>
          <w:szCs w:val="22"/>
          <w:color w:val="auto"/>
        </w:rPr>
        <w:t>(Name, Address and Telephone Number of Person Authorized to Receive</w:t>
      </w:r>
    </w:p>
    <w:p>
      <w:pPr>
        <w:spacing w:after="0" w:line="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Notices and Communications)</w:t>
      </w:r>
    </w:p>
    <w:p>
      <w:pPr>
        <w:spacing w:after="0" w:line="200" w:lineRule="exact"/>
        <w:rPr>
          <w:sz w:val="24"/>
          <w:szCs w:val="24"/>
          <w:color w:val="auto"/>
        </w:rPr>
      </w:pPr>
    </w:p>
    <w:p>
      <w:pPr>
        <w:spacing w:after="0" w:line="25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May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0" w:lineRule="exact"/>
        <w:rPr>
          <w:sz w:val="24"/>
          <w:szCs w:val="24"/>
          <w:color w:val="auto"/>
        </w:rPr>
      </w:pPr>
    </w:p>
    <w:p>
      <w:pPr>
        <w:spacing w:after="0" w:line="252"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If the filing person has previously filed a statement on Schedule 13G to report the acquisition that is the subject of this Schedule 13D, and is filing this schedule because of ss.240.13d-1(e), 240.13d-1(f) or 240.13d-1(g), check the following box</w:t>
      </w:r>
    </w:p>
    <w:p>
      <w:pPr>
        <w:spacing w:after="0" w:line="1" w:lineRule="exact"/>
        <w:rPr>
          <w:sz w:val="24"/>
          <w:szCs w:val="24"/>
          <w:color w:val="auto"/>
        </w:rPr>
      </w:pPr>
    </w:p>
    <w:p>
      <w:pPr>
        <w:ind w:left="180" w:hanging="175"/>
        <w:spacing w:after="0"/>
        <w:tabs>
          <w:tab w:leader="none" w:pos="1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2" w:lineRule="exact"/>
        <w:rPr>
          <w:rFonts w:ascii="Times New Roman" w:cs="Times New Roman" w:eastAsia="Times New Roman" w:hAnsi="Times New Roman"/>
          <w:sz w:val="22"/>
          <w:szCs w:val="22"/>
          <w:color w:val="auto"/>
        </w:rPr>
      </w:pPr>
    </w:p>
    <w:p>
      <w:pPr>
        <w:ind w:left="400" w:right="60" w:hanging="18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-480695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144780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420" w:top="702" w:right="7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3360" w:type="dxa"/>
            <w:vAlign w:val="bottom"/>
            <w:tcBorders>
              <w:bottom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629337106</w:t>
            </w:r>
          </w:p>
        </w:tc>
      </w:tr>
    </w:tbl>
    <w:p>
      <w:pPr>
        <w:spacing w:after="0" w:line="216" w:lineRule="exact"/>
        <w:rPr>
          <w:sz w:val="20"/>
          <w:szCs w:val="20"/>
          <w:color w:val="auto"/>
        </w:rPr>
      </w:pPr>
    </w:p>
    <w:p>
      <w:pPr>
        <w:ind w:left="900" w:hanging="895"/>
        <w:spacing w:after="0"/>
        <w:tabs>
          <w:tab w:leader="none" w:pos="9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right="3420"/>
        <w:spacing w:after="0" w:line="4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Corre Opportunities Qualified Master Fund, LP</w:t>
      </w:r>
    </w:p>
    <w:tbl>
      <w:tblPr>
        <w:tblLayout w:type="fixed"/>
        <w:tblInd w:w="0" w:type="dxa"/>
        <w:tblCellMar>
          <w:top w:w="0" w:type="dxa"/>
          <w:left w:w="0" w:type="dxa"/>
          <w:bottom w:w="0" w:type="dxa"/>
          <w:right w:w="0" w:type="dxa"/>
        </w:tblCellMar>
      </w:tblPr>
      <w:tr>
        <w:trPr>
          <w:trHeight w:val="244"/>
        </w:trPr>
        <w:tc>
          <w:tcPr>
            <w:tcW w:w="540" w:type="dxa"/>
            <w:vAlign w:val="bottom"/>
          </w:tcPr>
          <w:p>
            <w:pPr>
              <w:jc w:val="right"/>
              <w:ind w:right="272"/>
              <w:spacing w:after="0" w:line="244" w:lineRule="exact"/>
              <w:rPr>
                <w:sz w:val="20"/>
                <w:szCs w:val="20"/>
                <w:color w:val="auto"/>
              </w:rPr>
            </w:pPr>
            <w:r>
              <w:rPr>
                <w:rFonts w:ascii="Times New Roman" w:cs="Times New Roman" w:eastAsia="Times New Roman" w:hAnsi="Times New Roman"/>
                <w:sz w:val="22"/>
                <w:szCs w:val="22"/>
                <w:color w:val="auto"/>
                <w:w w:val="84"/>
              </w:rPr>
              <w:t>2.</w:t>
            </w:r>
          </w:p>
        </w:tc>
        <w:tc>
          <w:tcPr>
            <w:tcW w:w="7960" w:type="dxa"/>
            <w:vAlign w:val="bottom"/>
          </w:tcPr>
          <w:p>
            <w:pPr>
              <w:ind w:left="360"/>
              <w:spacing w:after="0" w:line="244"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020" w:type="dxa"/>
            <w:vAlign w:val="bottom"/>
          </w:tcPr>
          <w:p>
            <w:pPr>
              <w:ind w:left="1620"/>
              <w:spacing w:after="0" w:line="244" w:lineRule="exact"/>
              <w:rPr>
                <w:sz w:val="20"/>
                <w:szCs w:val="20"/>
                <w:color w:val="auto"/>
              </w:rPr>
            </w:pPr>
            <w:r>
              <w:rPr>
                <w:rFonts w:ascii="Times New Roman" w:cs="Times New Roman" w:eastAsia="Times New Roman" w:hAnsi="Times New Roman"/>
                <w:sz w:val="22"/>
                <w:szCs w:val="22"/>
                <w:color w:val="auto"/>
              </w:rPr>
              <w:t>(a)</w:t>
            </w:r>
          </w:p>
        </w:tc>
        <w:tc>
          <w:tcPr>
            <w:tcW w:w="42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auto"/>
              </w:rPr>
              <w:t>[_]</w:t>
            </w:r>
          </w:p>
        </w:tc>
      </w:tr>
      <w:tr>
        <w:trPr>
          <w:trHeight w:val="282"/>
        </w:trPr>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2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(b)</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w:t>
            </w:r>
          </w:p>
        </w:tc>
      </w:tr>
    </w:tbl>
    <w:p>
      <w:pPr>
        <w:spacing w:after="0" w:line="204"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900" w:right="8180" w:hanging="895"/>
        <w:spacing w:after="0" w:line="461" w:lineRule="auto"/>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WC</w:t>
      </w:r>
    </w:p>
    <w:p>
      <w:pPr>
        <w:ind w:left="900" w:hanging="895"/>
        <w:spacing w:after="0"/>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720" w:hanging="895"/>
        <w:spacing w:after="0" w:line="489" w:lineRule="auto"/>
        <w:tabs>
          <w:tab w:leader="none" w:pos="9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Cayman Islands</w:t>
      </w:r>
    </w:p>
    <w:p>
      <w:pPr>
        <w:spacing w:after="0" w:line="200" w:lineRule="exact"/>
        <w:rPr>
          <w:sz w:val="20"/>
          <w:szCs w:val="20"/>
          <w:color w:val="auto"/>
        </w:rPr>
      </w:pPr>
    </w:p>
    <w:p>
      <w:pPr>
        <w:spacing w:after="0" w:line="227" w:lineRule="exact"/>
        <w:rPr>
          <w:sz w:val="20"/>
          <w:szCs w:val="20"/>
          <w:color w:val="auto"/>
        </w:rPr>
      </w:pPr>
    </w:p>
    <w:p>
      <w:pPr>
        <w:ind w:left="900" w:right="7900" w:hanging="895"/>
        <w:spacing w:after="0" w:line="461"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580" w:hanging="895"/>
        <w:spacing w:after="0" w:line="489"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4,451,434</w:t>
      </w:r>
    </w:p>
    <w:p>
      <w:pPr>
        <w:spacing w:after="0" w:line="157" w:lineRule="exact"/>
        <w:rPr>
          <w:rFonts w:ascii="Times New Roman" w:cs="Times New Roman" w:eastAsia="Times New Roman" w:hAnsi="Times New Roman"/>
          <w:sz w:val="22"/>
          <w:szCs w:val="22"/>
          <w:color w:val="auto"/>
        </w:rPr>
      </w:pPr>
    </w:p>
    <w:p>
      <w:pPr>
        <w:ind w:left="900" w:right="7420" w:hanging="895"/>
        <w:spacing w:after="0" w:line="461"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7100" w:hanging="895"/>
        <w:spacing w:after="0" w:line="461"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4,451,434</w:t>
      </w:r>
    </w:p>
    <w:p>
      <w:pPr>
        <w:ind w:left="900" w:right="2260" w:hanging="895"/>
        <w:spacing w:after="0" w:line="461"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4,451,434</w:t>
      </w:r>
    </w:p>
    <w:p>
      <w:pPr>
        <w:ind w:left="900" w:hanging="895"/>
        <w:spacing w:after="0"/>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960" w:hanging="895"/>
        <w:spacing w:after="0" w:line="461" w:lineRule="auto"/>
        <w:tabs>
          <w:tab w:leader="none" w:pos="9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10.14%</w:t>
      </w:r>
    </w:p>
    <w:p>
      <w:pPr>
        <w:ind w:left="900" w:right="7120" w:hanging="895"/>
        <w:spacing w:after="0" w:line="489" w:lineRule="auto"/>
        <w:tabs>
          <w:tab w:leader="none" w:pos="9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142875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706"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3240" w:type="dxa"/>
            <w:vAlign w:val="bottom"/>
            <w:tcBorders>
              <w:bottom w:val="single" w:sz="8" w:color="auto"/>
            </w:tcBorders>
          </w:tcPr>
          <w:p>
            <w:pPr>
              <w:jc w:val="right"/>
              <w:ind w:right="2072"/>
              <w:spacing w:after="0"/>
              <w:rPr>
                <w:sz w:val="20"/>
                <w:szCs w:val="20"/>
                <w:color w:val="auto"/>
              </w:rPr>
            </w:pPr>
            <w:r>
              <w:rPr>
                <w:rFonts w:ascii="Times New Roman" w:cs="Times New Roman" w:eastAsia="Times New Roman" w:hAnsi="Times New Roman"/>
                <w:sz w:val="22"/>
                <w:szCs w:val="22"/>
                <w:color w:val="auto"/>
              </w:rPr>
              <w:t>629337106</w:t>
            </w:r>
          </w:p>
        </w:tc>
      </w:tr>
    </w:tbl>
    <w:p>
      <w:pPr>
        <w:spacing w:after="0" w:line="216" w:lineRule="exact"/>
        <w:rPr>
          <w:sz w:val="20"/>
          <w:szCs w:val="20"/>
          <w:color w:val="auto"/>
        </w:rPr>
      </w:pPr>
    </w:p>
    <w:p>
      <w:pPr>
        <w:ind w:left="900" w:hanging="895"/>
        <w:spacing w:after="0"/>
        <w:tabs>
          <w:tab w:leader="none" w:pos="9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right="3420"/>
        <w:spacing w:after="0" w:line="4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Corre Partners Advisors, LLC</w:t>
      </w:r>
    </w:p>
    <w:tbl>
      <w:tblPr>
        <w:tblLayout w:type="fixed"/>
        <w:tblInd w:w="0" w:type="dxa"/>
        <w:tblCellMar>
          <w:top w:w="0" w:type="dxa"/>
          <w:left w:w="0" w:type="dxa"/>
          <w:bottom w:w="0" w:type="dxa"/>
          <w:right w:w="0" w:type="dxa"/>
        </w:tblCellMar>
      </w:tblPr>
      <w:tr>
        <w:trPr>
          <w:trHeight w:val="244"/>
        </w:trPr>
        <w:tc>
          <w:tcPr>
            <w:tcW w:w="540" w:type="dxa"/>
            <w:vAlign w:val="bottom"/>
          </w:tcPr>
          <w:p>
            <w:pPr>
              <w:jc w:val="right"/>
              <w:ind w:right="272"/>
              <w:spacing w:after="0" w:line="244" w:lineRule="exact"/>
              <w:rPr>
                <w:sz w:val="20"/>
                <w:szCs w:val="20"/>
                <w:color w:val="auto"/>
              </w:rPr>
            </w:pPr>
            <w:r>
              <w:rPr>
                <w:rFonts w:ascii="Times New Roman" w:cs="Times New Roman" w:eastAsia="Times New Roman" w:hAnsi="Times New Roman"/>
                <w:sz w:val="22"/>
                <w:szCs w:val="22"/>
                <w:color w:val="auto"/>
                <w:w w:val="84"/>
              </w:rPr>
              <w:t>2.</w:t>
            </w:r>
          </w:p>
        </w:tc>
        <w:tc>
          <w:tcPr>
            <w:tcW w:w="7960" w:type="dxa"/>
            <w:vAlign w:val="bottom"/>
          </w:tcPr>
          <w:p>
            <w:pPr>
              <w:ind w:left="360"/>
              <w:spacing w:after="0" w:line="244"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020" w:type="dxa"/>
            <w:vAlign w:val="bottom"/>
          </w:tcPr>
          <w:p>
            <w:pPr>
              <w:ind w:left="1620"/>
              <w:spacing w:after="0" w:line="244" w:lineRule="exact"/>
              <w:rPr>
                <w:sz w:val="20"/>
                <w:szCs w:val="20"/>
                <w:color w:val="auto"/>
              </w:rPr>
            </w:pPr>
            <w:r>
              <w:rPr>
                <w:rFonts w:ascii="Times New Roman" w:cs="Times New Roman" w:eastAsia="Times New Roman" w:hAnsi="Times New Roman"/>
                <w:sz w:val="22"/>
                <w:szCs w:val="22"/>
                <w:color w:val="auto"/>
              </w:rPr>
              <w:t>(a)</w:t>
            </w:r>
          </w:p>
        </w:tc>
        <w:tc>
          <w:tcPr>
            <w:tcW w:w="42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auto"/>
              </w:rPr>
              <w:t>[_]</w:t>
            </w:r>
          </w:p>
        </w:tc>
      </w:tr>
      <w:tr>
        <w:trPr>
          <w:trHeight w:val="282"/>
        </w:trPr>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2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(b)</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w:t>
            </w:r>
          </w:p>
        </w:tc>
      </w:tr>
    </w:tbl>
    <w:p>
      <w:pPr>
        <w:spacing w:after="0" w:line="204" w:lineRule="exact"/>
        <w:rPr>
          <w:sz w:val="20"/>
          <w:szCs w:val="20"/>
          <w:color w:val="auto"/>
        </w:rPr>
      </w:pPr>
    </w:p>
    <w:p>
      <w:pPr>
        <w:ind w:left="900" w:hanging="895"/>
        <w:spacing w:after="0"/>
        <w:tabs>
          <w:tab w:leader="none" w:pos="9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900" w:right="8180" w:hanging="895"/>
        <w:spacing w:after="0" w:line="461" w:lineRule="auto"/>
        <w:tabs>
          <w:tab w:leader="none" w:pos="9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AF</w:t>
      </w:r>
    </w:p>
    <w:p>
      <w:pPr>
        <w:ind w:left="900" w:hanging="895"/>
        <w:spacing w:after="0"/>
        <w:tabs>
          <w:tab w:leader="none" w:pos="9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720" w:hanging="895"/>
        <w:spacing w:after="0" w:line="489" w:lineRule="auto"/>
        <w:tabs>
          <w:tab w:leader="none" w:pos="9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0" w:lineRule="exact"/>
        <w:rPr>
          <w:sz w:val="20"/>
          <w:szCs w:val="20"/>
          <w:color w:val="auto"/>
        </w:rPr>
      </w:pPr>
    </w:p>
    <w:p>
      <w:pPr>
        <w:spacing w:after="0" w:line="227" w:lineRule="exact"/>
        <w:rPr>
          <w:sz w:val="20"/>
          <w:szCs w:val="20"/>
          <w:color w:val="auto"/>
        </w:rPr>
      </w:pPr>
    </w:p>
    <w:p>
      <w:pPr>
        <w:ind w:left="900" w:right="790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58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5,357,169</w:t>
      </w:r>
    </w:p>
    <w:p>
      <w:pPr>
        <w:ind w:left="900" w:right="742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710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5,357,169</w:t>
      </w:r>
    </w:p>
    <w:p>
      <w:pPr>
        <w:ind w:left="900" w:right="226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5,357,169</w:t>
      </w:r>
    </w:p>
    <w:p>
      <w:pPr>
        <w:ind w:left="900" w:hanging="895"/>
        <w:spacing w:after="0"/>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960" w:hanging="895"/>
        <w:spacing w:after="0" w:line="461" w:lineRule="auto"/>
        <w:tabs>
          <w:tab w:leader="none" w:pos="9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12.21%</w:t>
      </w:r>
    </w:p>
    <w:p>
      <w:pPr>
        <w:ind w:left="900" w:right="7120" w:hanging="895"/>
        <w:spacing w:after="0" w:line="489" w:lineRule="auto"/>
        <w:tabs>
          <w:tab w:leader="none" w:pos="9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297180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706"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3360" w:type="dxa"/>
            <w:vAlign w:val="bottom"/>
            <w:tcBorders>
              <w:bottom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629337106</w:t>
            </w:r>
          </w:p>
        </w:tc>
      </w:tr>
    </w:tbl>
    <w:p>
      <w:pPr>
        <w:spacing w:after="0" w:line="216" w:lineRule="exact"/>
        <w:rPr>
          <w:sz w:val="20"/>
          <w:szCs w:val="20"/>
          <w:color w:val="auto"/>
        </w:rPr>
      </w:pPr>
    </w:p>
    <w:p>
      <w:pPr>
        <w:ind w:left="900" w:hanging="895"/>
        <w:spacing w:after="0"/>
        <w:tabs>
          <w:tab w:leader="none" w:pos="9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w:t>
      </w:r>
    </w:p>
    <w:p>
      <w:pPr>
        <w:spacing w:after="0" w:line="2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Corre Partners Management, LLC</w:t>
      </w:r>
    </w:p>
    <w:p>
      <w:pPr>
        <w:spacing w:after="0" w:line="233" w:lineRule="exact"/>
        <w:rPr>
          <w:sz w:val="20"/>
          <w:szCs w:val="20"/>
          <w:color w:val="auto"/>
        </w:rPr>
      </w:pPr>
    </w:p>
    <w:p>
      <w:pPr>
        <w:spacing w:after="0"/>
        <w:tabs>
          <w:tab w:leader="none" w:pos="880" w:val="left"/>
          <w:tab w:leader="none" w:pos="10100" w:val="left"/>
          <w:tab w:leader="none" w:pos="1066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2"/>
          <w:szCs w:val="22"/>
          <w:color w:val="auto"/>
        </w:rPr>
        <w:t>CHECK THE APPROPRIATE BOX IF A MEMBER OF A GROUP</w:t>
      </w:r>
      <w:r>
        <w:rPr>
          <w:sz w:val="20"/>
          <w:szCs w:val="20"/>
          <w:color w:val="auto"/>
        </w:rPr>
        <w:tab/>
      </w: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[_]</w:t>
      </w:r>
    </w:p>
    <w:p>
      <w:pPr>
        <w:spacing w:after="0" w:line="14" w:lineRule="exact"/>
        <w:rPr>
          <w:sz w:val="20"/>
          <w:szCs w:val="20"/>
          <w:color w:val="auto"/>
        </w:rPr>
      </w:pPr>
    </w:p>
    <w:p>
      <w:pPr>
        <w:ind w:left="10120"/>
        <w:spacing w:after="0"/>
        <w:tabs>
          <w:tab w:leader="none" w:pos="106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hanging="895"/>
        <w:spacing w:after="0"/>
        <w:tabs>
          <w:tab w:leader="none" w:pos="9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900" w:right="8180" w:hanging="895"/>
        <w:spacing w:after="0" w:line="461" w:lineRule="auto"/>
        <w:tabs>
          <w:tab w:leader="none" w:pos="9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AF</w:t>
      </w:r>
    </w:p>
    <w:p>
      <w:pPr>
        <w:ind w:left="900" w:hanging="895"/>
        <w:spacing w:after="0"/>
        <w:tabs>
          <w:tab w:leader="none" w:pos="9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720" w:hanging="895"/>
        <w:spacing w:after="0" w:line="489" w:lineRule="auto"/>
        <w:tabs>
          <w:tab w:leader="none" w:pos="9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0" w:lineRule="exact"/>
        <w:rPr>
          <w:sz w:val="20"/>
          <w:szCs w:val="20"/>
          <w:color w:val="auto"/>
        </w:rPr>
      </w:pPr>
    </w:p>
    <w:p>
      <w:pPr>
        <w:spacing w:after="0" w:line="227" w:lineRule="exact"/>
        <w:rPr>
          <w:sz w:val="20"/>
          <w:szCs w:val="20"/>
          <w:color w:val="auto"/>
        </w:rPr>
      </w:pPr>
    </w:p>
    <w:p>
      <w:pPr>
        <w:ind w:left="900" w:right="7900" w:hanging="895"/>
        <w:spacing w:after="0" w:line="461" w:lineRule="auto"/>
        <w:tabs>
          <w:tab w:leader="none" w:pos="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580" w:hanging="895"/>
        <w:spacing w:after="0" w:line="461" w:lineRule="auto"/>
        <w:tabs>
          <w:tab w:leader="none" w:pos="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5,357,169</w:t>
      </w:r>
    </w:p>
    <w:p>
      <w:pPr>
        <w:ind w:left="900" w:right="7420" w:hanging="895"/>
        <w:spacing w:after="0" w:line="461" w:lineRule="auto"/>
        <w:tabs>
          <w:tab w:leader="none" w:pos="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7100" w:hanging="895"/>
        <w:spacing w:after="0" w:line="461" w:lineRule="auto"/>
        <w:tabs>
          <w:tab w:leader="none" w:pos="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5,357,169</w:t>
      </w:r>
    </w:p>
    <w:p>
      <w:pPr>
        <w:ind w:left="900" w:right="2260" w:hanging="895"/>
        <w:spacing w:after="0" w:line="461" w:lineRule="auto"/>
        <w:tabs>
          <w:tab w:leader="none" w:pos="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5,357,169</w:t>
      </w:r>
    </w:p>
    <w:p>
      <w:pPr>
        <w:ind w:left="900" w:hanging="895"/>
        <w:spacing w:after="0"/>
        <w:tabs>
          <w:tab w:leader="none" w:pos="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960" w:hanging="895"/>
        <w:spacing w:after="0" w:line="461" w:lineRule="auto"/>
        <w:tabs>
          <w:tab w:leader="none" w:pos="9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12.21%</w:t>
      </w:r>
    </w:p>
    <w:p>
      <w:pPr>
        <w:ind w:left="900" w:right="7120" w:hanging="895"/>
        <w:spacing w:after="0" w:line="489" w:lineRule="auto"/>
        <w:tabs>
          <w:tab w:leader="none" w:pos="9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297180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949" w:right="439" w:bottom="1158"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3360" w:type="dxa"/>
            <w:vAlign w:val="bottom"/>
            <w:tcBorders>
              <w:bottom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629337106</w:t>
            </w:r>
          </w:p>
        </w:tc>
      </w:tr>
    </w:tbl>
    <w:p>
      <w:pPr>
        <w:spacing w:after="0" w:line="216" w:lineRule="exact"/>
        <w:rPr>
          <w:sz w:val="20"/>
          <w:szCs w:val="20"/>
          <w:color w:val="auto"/>
        </w:rPr>
      </w:pPr>
    </w:p>
    <w:p>
      <w:pPr>
        <w:ind w:left="900" w:hanging="895"/>
        <w:spacing w:after="0"/>
        <w:tabs>
          <w:tab w:leader="none" w:pos="9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w:t>
      </w:r>
    </w:p>
    <w:p>
      <w:pPr>
        <w:spacing w:after="0" w:line="2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John Barrett</w:t>
      </w:r>
    </w:p>
    <w:p>
      <w:pPr>
        <w:spacing w:after="0" w:line="233" w:lineRule="exact"/>
        <w:rPr>
          <w:sz w:val="20"/>
          <w:szCs w:val="20"/>
          <w:color w:val="auto"/>
        </w:rPr>
      </w:pPr>
    </w:p>
    <w:p>
      <w:pPr>
        <w:spacing w:after="0"/>
        <w:tabs>
          <w:tab w:leader="none" w:pos="880" w:val="left"/>
          <w:tab w:leader="none" w:pos="10100" w:val="left"/>
          <w:tab w:leader="none" w:pos="1066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2"/>
          <w:szCs w:val="22"/>
          <w:color w:val="auto"/>
        </w:rPr>
        <w:t>CHECK THE APPROPRIATE BOX IF A MEMBER OF A GROUP</w:t>
      </w:r>
      <w:r>
        <w:rPr>
          <w:sz w:val="20"/>
          <w:szCs w:val="20"/>
          <w:color w:val="auto"/>
        </w:rPr>
        <w:tab/>
      </w: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[_]</w:t>
      </w:r>
    </w:p>
    <w:p>
      <w:pPr>
        <w:spacing w:after="0" w:line="14" w:lineRule="exact"/>
        <w:rPr>
          <w:sz w:val="20"/>
          <w:szCs w:val="20"/>
          <w:color w:val="auto"/>
        </w:rPr>
      </w:pPr>
    </w:p>
    <w:p>
      <w:pPr>
        <w:ind w:left="10120"/>
        <w:spacing w:after="0"/>
        <w:tabs>
          <w:tab w:leader="none" w:pos="106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hanging="895"/>
        <w:spacing w:after="0"/>
        <w:tabs>
          <w:tab w:leader="none" w:pos="9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900" w:right="8180" w:hanging="895"/>
        <w:spacing w:after="0" w:line="461" w:lineRule="auto"/>
        <w:tabs>
          <w:tab w:leader="none" w:pos="9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AF</w:t>
      </w:r>
    </w:p>
    <w:p>
      <w:pPr>
        <w:ind w:left="900" w:hanging="895"/>
        <w:spacing w:after="0"/>
        <w:tabs>
          <w:tab w:leader="none" w:pos="9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720" w:hanging="895"/>
        <w:spacing w:after="0" w:line="489" w:lineRule="auto"/>
        <w:tabs>
          <w:tab w:leader="none" w:pos="9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 of America</w:t>
      </w:r>
    </w:p>
    <w:p>
      <w:pPr>
        <w:spacing w:after="0" w:line="200" w:lineRule="exact"/>
        <w:rPr>
          <w:sz w:val="20"/>
          <w:szCs w:val="20"/>
          <w:color w:val="auto"/>
        </w:rPr>
      </w:pPr>
    </w:p>
    <w:p>
      <w:pPr>
        <w:spacing w:after="0" w:line="227" w:lineRule="exact"/>
        <w:rPr>
          <w:sz w:val="20"/>
          <w:szCs w:val="20"/>
          <w:color w:val="auto"/>
        </w:rPr>
      </w:pPr>
    </w:p>
    <w:p>
      <w:pPr>
        <w:ind w:left="900" w:right="7900" w:hanging="895"/>
        <w:spacing w:after="0" w:line="461" w:lineRule="auto"/>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580" w:hanging="895"/>
        <w:spacing w:after="0" w:line="461" w:lineRule="auto"/>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5,357,169</w:t>
      </w:r>
    </w:p>
    <w:p>
      <w:pPr>
        <w:ind w:left="900" w:right="7420" w:hanging="895"/>
        <w:spacing w:after="0" w:line="461" w:lineRule="auto"/>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7100" w:hanging="895"/>
        <w:spacing w:after="0" w:line="461" w:lineRule="auto"/>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5,357,169</w:t>
      </w:r>
    </w:p>
    <w:p>
      <w:pPr>
        <w:ind w:left="900" w:right="2260" w:hanging="895"/>
        <w:spacing w:after="0" w:line="461" w:lineRule="auto"/>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5,357,169</w:t>
      </w:r>
    </w:p>
    <w:p>
      <w:pPr>
        <w:ind w:left="900" w:hanging="895"/>
        <w:spacing w:after="0"/>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960" w:hanging="895"/>
        <w:spacing w:after="0" w:line="461" w:lineRule="auto"/>
        <w:tabs>
          <w:tab w:leader="none" w:pos="9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12.21%</w:t>
      </w:r>
    </w:p>
    <w:p>
      <w:pPr>
        <w:ind w:left="900" w:right="7120" w:hanging="895"/>
        <w:spacing w:after="0" w:line="489" w:lineRule="auto"/>
        <w:tabs>
          <w:tab w:leader="none" w:pos="9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297180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949" w:right="439" w:bottom="1158"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3360" w:type="dxa"/>
            <w:vAlign w:val="bottom"/>
            <w:tcBorders>
              <w:bottom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629337106</w:t>
            </w:r>
          </w:p>
        </w:tc>
      </w:tr>
    </w:tbl>
    <w:p>
      <w:pPr>
        <w:spacing w:after="0" w:line="216" w:lineRule="exact"/>
        <w:rPr>
          <w:sz w:val="20"/>
          <w:szCs w:val="20"/>
          <w:color w:val="auto"/>
        </w:rPr>
      </w:pPr>
    </w:p>
    <w:p>
      <w:pPr>
        <w:ind w:left="900" w:hanging="895"/>
        <w:spacing w:after="0"/>
        <w:tabs>
          <w:tab w:leader="none" w:pos="9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w:t>
      </w:r>
    </w:p>
    <w:p>
      <w:pPr>
        <w:spacing w:after="0" w:line="2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Eric Soderlund</w:t>
      </w:r>
    </w:p>
    <w:p>
      <w:pPr>
        <w:spacing w:after="0" w:line="233" w:lineRule="exact"/>
        <w:rPr>
          <w:sz w:val="20"/>
          <w:szCs w:val="20"/>
          <w:color w:val="auto"/>
        </w:rPr>
      </w:pPr>
    </w:p>
    <w:p>
      <w:pPr>
        <w:spacing w:after="0"/>
        <w:tabs>
          <w:tab w:leader="none" w:pos="880" w:val="left"/>
          <w:tab w:leader="none" w:pos="10100" w:val="left"/>
          <w:tab w:leader="none" w:pos="1066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2"/>
          <w:szCs w:val="22"/>
          <w:color w:val="auto"/>
        </w:rPr>
        <w:t>CHECK THE APPROPRIATE BOX IF A MEMBER OF A GROUP</w:t>
      </w:r>
      <w:r>
        <w:rPr>
          <w:sz w:val="20"/>
          <w:szCs w:val="20"/>
          <w:color w:val="auto"/>
        </w:rPr>
        <w:tab/>
      </w: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[_]</w:t>
      </w:r>
    </w:p>
    <w:p>
      <w:pPr>
        <w:spacing w:after="0" w:line="14" w:lineRule="exact"/>
        <w:rPr>
          <w:sz w:val="20"/>
          <w:szCs w:val="20"/>
          <w:color w:val="auto"/>
        </w:rPr>
      </w:pPr>
    </w:p>
    <w:p>
      <w:pPr>
        <w:ind w:left="10120"/>
        <w:spacing w:after="0"/>
        <w:tabs>
          <w:tab w:leader="none" w:pos="106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hanging="895"/>
        <w:spacing w:after="0"/>
        <w:tabs>
          <w:tab w:leader="none" w:pos="9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900" w:right="8180" w:hanging="895"/>
        <w:spacing w:after="0" w:line="461" w:lineRule="auto"/>
        <w:tabs>
          <w:tab w:leader="none" w:pos="9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AF</w:t>
      </w:r>
    </w:p>
    <w:p>
      <w:pPr>
        <w:ind w:left="900" w:hanging="895"/>
        <w:spacing w:after="0"/>
        <w:tabs>
          <w:tab w:leader="none" w:pos="9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720" w:hanging="895"/>
        <w:spacing w:after="0" w:line="489" w:lineRule="auto"/>
        <w:tabs>
          <w:tab w:leader="none" w:pos="9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 of America</w:t>
      </w:r>
    </w:p>
    <w:p>
      <w:pPr>
        <w:spacing w:after="0" w:line="200" w:lineRule="exact"/>
        <w:rPr>
          <w:sz w:val="20"/>
          <w:szCs w:val="20"/>
          <w:color w:val="auto"/>
        </w:rPr>
      </w:pPr>
    </w:p>
    <w:p>
      <w:pPr>
        <w:spacing w:after="0" w:line="227" w:lineRule="exact"/>
        <w:rPr>
          <w:sz w:val="20"/>
          <w:szCs w:val="20"/>
          <w:color w:val="auto"/>
        </w:rPr>
      </w:pPr>
    </w:p>
    <w:p>
      <w:pPr>
        <w:ind w:left="900" w:right="7900" w:hanging="895"/>
        <w:spacing w:after="0" w:line="461" w:lineRule="auto"/>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580" w:hanging="895"/>
        <w:spacing w:after="0" w:line="461" w:lineRule="auto"/>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5,357,169</w:t>
      </w:r>
    </w:p>
    <w:p>
      <w:pPr>
        <w:ind w:left="900" w:right="7420" w:hanging="895"/>
        <w:spacing w:after="0" w:line="461" w:lineRule="auto"/>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7100" w:hanging="895"/>
        <w:spacing w:after="0" w:line="461" w:lineRule="auto"/>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5,357,169</w:t>
      </w:r>
    </w:p>
    <w:p>
      <w:pPr>
        <w:ind w:left="900" w:right="2260" w:hanging="895"/>
        <w:spacing w:after="0" w:line="461" w:lineRule="auto"/>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5,357,169</w:t>
      </w:r>
    </w:p>
    <w:p>
      <w:pPr>
        <w:ind w:left="900" w:hanging="895"/>
        <w:spacing w:after="0"/>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960" w:hanging="895"/>
        <w:spacing w:after="0" w:line="461" w:lineRule="auto"/>
        <w:tabs>
          <w:tab w:leader="none" w:pos="9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12.21%</w:t>
      </w:r>
    </w:p>
    <w:p>
      <w:pPr>
        <w:ind w:left="900" w:right="7120" w:hanging="895"/>
        <w:spacing w:after="0" w:line="489" w:lineRule="auto"/>
        <w:tabs>
          <w:tab w:leader="none" w:pos="9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297180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949" w:right="439" w:bottom="1158"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0"/>
        </w:trPr>
        <w:tc>
          <w:tcPr>
            <w:tcW w:w="11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CUSIP No.</w:t>
            </w:r>
          </w:p>
        </w:tc>
        <w:tc>
          <w:tcPr>
            <w:tcW w:w="8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360" w:type="dxa"/>
            <w:vAlign w:val="bottom"/>
            <w:tcBorders>
              <w:bottom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629337106</w:t>
            </w:r>
          </w:p>
        </w:tc>
        <w:tc>
          <w:tcPr>
            <w:tcW w:w="5380" w:type="dxa"/>
            <w:vAlign w:val="bottom"/>
          </w:tcPr>
          <w:p>
            <w:pPr>
              <w:spacing w:after="0"/>
              <w:rPr>
                <w:sz w:val="23"/>
                <w:szCs w:val="23"/>
                <w:color w:val="auto"/>
              </w:rPr>
            </w:pPr>
          </w:p>
        </w:tc>
      </w:tr>
      <w:tr>
        <w:trPr>
          <w:trHeight w:val="491"/>
        </w:trPr>
        <w:tc>
          <w:tcPr>
            <w:tcW w:w="11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Item 1.</w:t>
            </w: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Security and Issuer.</w:t>
            </w:r>
          </w:p>
        </w:tc>
      </w:tr>
      <w:tr>
        <w:trPr>
          <w:trHeight w:val="447"/>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The name of the issuer is NN, Inc., a Delaware corporation (the "Issuer"). The address of the Issuer's principal</w:t>
            </w:r>
          </w:p>
        </w:tc>
      </w:tr>
      <w:tr>
        <w:trPr>
          <w:trHeight w:val="243"/>
        </w:trPr>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14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22"/>
                <w:szCs w:val="22"/>
                <w:color w:val="auto"/>
              </w:rPr>
              <w:t>executive offices is 6210 Ardrey Kell Road, Suite 600, Charlotte, North Carolina 28277. This Schedule 13D</w:t>
            </w:r>
          </w:p>
        </w:tc>
      </w:tr>
      <w:tr>
        <w:trPr>
          <w:trHeight w:val="270"/>
        </w:trPr>
        <w:tc>
          <w:tcPr>
            <w:tcW w:w="10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1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amendment relates to the Issuer's common stock, par value $0.01 per share (the "Shares").</w:t>
            </w:r>
          </w:p>
        </w:tc>
      </w:tr>
      <w:tr>
        <w:trPr>
          <w:trHeight w:val="735"/>
        </w:trPr>
        <w:tc>
          <w:tcPr>
            <w:tcW w:w="11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Item 2.</w:t>
            </w: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Identity and Background.</w:t>
            </w:r>
          </w:p>
        </w:tc>
      </w:tr>
      <w:tr>
        <w:trPr>
          <w:trHeight w:val="447"/>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 (f)</w:t>
            </w:r>
          </w:p>
        </w:tc>
        <w:tc>
          <w:tcPr>
            <w:tcW w:w="9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This Schedule 13D amendment is being filed jointly by (i) Corre Opportunities Qualified Master</w:t>
            </w:r>
          </w:p>
        </w:tc>
      </w:tr>
      <w:tr>
        <w:trPr>
          <w:trHeight w:val="243"/>
        </w:trPr>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3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Fund, LP, a Cayman Islands exempted limited partnership (the “Fund”); (ii) Corre Partners</w:t>
            </w:r>
          </w:p>
        </w:tc>
      </w:tr>
      <w:tr>
        <w:trPr>
          <w:trHeight w:val="243"/>
        </w:trPr>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3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Advisors, LLC, a Delaware limited liability company (the “General Partner”), which serves as the</w:t>
            </w:r>
          </w:p>
        </w:tc>
      </w:tr>
      <w:tr>
        <w:trPr>
          <w:trHeight w:val="243"/>
        </w:trPr>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3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general partner of the Fund; (iii) Corre Partners Management, LLC, a Delaware limited liability</w:t>
            </w:r>
          </w:p>
        </w:tc>
      </w:tr>
      <w:tr>
        <w:trPr>
          <w:trHeight w:val="243"/>
        </w:trPr>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3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company (the “Investment Adviser”), which has been delegated investment authority over the</w:t>
            </w:r>
          </w:p>
        </w:tc>
      </w:tr>
      <w:tr>
        <w:trPr>
          <w:trHeight w:val="243"/>
        </w:trPr>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3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assets of the Fund by the General Partner; (iv) Mr. John Barrett, who serves as a managing</w:t>
            </w:r>
          </w:p>
        </w:tc>
      </w:tr>
      <w:tr>
        <w:trPr>
          <w:trHeight w:val="243"/>
        </w:trPr>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3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member of the General Partner and the Investment Adviser; and (v) Mr. Eric Soderlund, who</w:t>
            </w:r>
          </w:p>
        </w:tc>
      </w:tr>
      <w:tr>
        <w:trPr>
          <w:trHeight w:val="243"/>
        </w:trPr>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3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serves as a managing member of the General Partner and the Investment Adviser (each, a</w:t>
            </w:r>
          </w:p>
        </w:tc>
      </w:tr>
      <w:tr>
        <w:trPr>
          <w:trHeight w:val="243"/>
        </w:trPr>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3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“Reporting Person” and collectively, the “Reporting Persons”). Mr. Barrett and Mr. Soderlund are</w:t>
            </w:r>
          </w:p>
        </w:tc>
      </w:tr>
      <w:tr>
        <w:trPr>
          <w:trHeight w:val="282"/>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citizens of the United States.</w:t>
            </w:r>
          </w:p>
        </w:tc>
      </w:tr>
      <w:tr>
        <w:trPr>
          <w:trHeight w:val="456"/>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 (c)</w:t>
            </w:r>
          </w:p>
        </w:tc>
        <w:tc>
          <w:tcPr>
            <w:tcW w:w="9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The Fund is principally engaged in the business of investing in securities. The principal business</w:t>
            </w:r>
          </w:p>
        </w:tc>
      </w:tr>
      <w:tr>
        <w:trPr>
          <w:trHeight w:val="475"/>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address of the Fund is 12 East 49</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Street, 40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Floor, New York, NY 10017.</w:t>
            </w:r>
          </w:p>
        </w:tc>
      </w:tr>
      <w:tr>
        <w:trPr>
          <w:trHeight w:val="299"/>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The General Partner is principally engaged in the business of serving as general partner and/or</w:t>
            </w:r>
          </w:p>
        </w:tc>
      </w:tr>
      <w:tr>
        <w:trPr>
          <w:trHeight w:val="252"/>
        </w:trPr>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managing member to private investment vehicles, including the Fund. The principal business</w:t>
            </w:r>
          </w:p>
        </w:tc>
      </w:tr>
      <w:tr>
        <w:trPr>
          <w:trHeight w:val="475"/>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address of the General Partner is 12 East 49</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Street, 40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Floor, New York, NY 10017.</w:t>
            </w:r>
          </w:p>
        </w:tc>
      </w:tr>
      <w:tr>
        <w:trPr>
          <w:trHeight w:val="299"/>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The Investment Adviser is an investment adviser registered with the Securities and Exchange</w:t>
            </w:r>
          </w:p>
        </w:tc>
      </w:tr>
      <w:tr>
        <w:trPr>
          <w:trHeight w:val="243"/>
        </w:trPr>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3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Commission (the “SEC”) that is principally engaged in the business of providing investment</w:t>
            </w:r>
          </w:p>
        </w:tc>
      </w:tr>
      <w:tr>
        <w:trPr>
          <w:trHeight w:val="252"/>
        </w:trPr>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management services to private investment vehicles, including the Fund. The principal business</w:t>
            </w:r>
          </w:p>
        </w:tc>
      </w:tr>
      <w:tr>
        <w:trPr>
          <w:trHeight w:val="475"/>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address of the Investment Adviser is 12 East 49</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Street, 40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Floor, New York, NY 10017.</w:t>
            </w:r>
          </w:p>
        </w:tc>
      </w:tr>
      <w:tr>
        <w:trPr>
          <w:trHeight w:val="299"/>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Mr. Barrett and Mr. Soderlund are the co-owners and managing members of the General Partner</w:t>
            </w:r>
          </w:p>
        </w:tc>
      </w:tr>
      <w:tr>
        <w:trPr>
          <w:trHeight w:val="252"/>
        </w:trPr>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and the Investment Adviser. The business address of each of Mr. Barrett and Mr. Soderlund is 12</w:t>
            </w:r>
          </w:p>
        </w:tc>
      </w:tr>
      <w:tr>
        <w:trPr>
          <w:trHeight w:val="475"/>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East 49</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Street, 40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Floor, New York, NY 10017.</w:t>
            </w:r>
          </w:p>
        </w:tc>
      </w:tr>
      <w:tr>
        <w:trPr>
          <w:trHeight w:val="299"/>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w:t>
            </w:r>
          </w:p>
        </w:tc>
        <w:tc>
          <w:tcPr>
            <w:tcW w:w="9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None of the Reporting Persons have, during the last five years, been convicted in a criminal</w:t>
            </w:r>
          </w:p>
        </w:tc>
      </w:tr>
      <w:tr>
        <w:trPr>
          <w:trHeight w:val="282"/>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proceeding (excluding traffic violations or similar misdemeanors).</w:t>
            </w:r>
          </w:p>
        </w:tc>
      </w:tr>
      <w:tr>
        <w:trPr>
          <w:trHeight w:val="447"/>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w:t>
            </w:r>
          </w:p>
        </w:tc>
        <w:tc>
          <w:tcPr>
            <w:tcW w:w="9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None of the Reporting Persons have, during the last five years, been a party to a civil proceeding</w:t>
            </w:r>
          </w:p>
        </w:tc>
      </w:tr>
      <w:tr>
        <w:trPr>
          <w:trHeight w:val="243"/>
        </w:trPr>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3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of a judicial or administrative body of competent jurisdiction and as a result of such proceeding</w:t>
            </w:r>
          </w:p>
        </w:tc>
      </w:tr>
      <w:tr>
        <w:trPr>
          <w:trHeight w:val="243"/>
        </w:trPr>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3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was or is subject to a judgment, decree or final order enjoining future violations of, or prohibiting</w:t>
            </w:r>
          </w:p>
        </w:tc>
      </w:tr>
      <w:tr>
        <w:trPr>
          <w:trHeight w:val="243"/>
        </w:trPr>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3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or mandating activities subject to, federal or state securities laws or finding any violation with</w:t>
            </w:r>
          </w:p>
        </w:tc>
      </w:tr>
      <w:tr>
        <w:trPr>
          <w:trHeight w:val="282"/>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respect to such laws.</w:t>
            </w:r>
          </w:p>
        </w:tc>
      </w:tr>
      <w:tr>
        <w:trPr>
          <w:trHeight w:val="231"/>
        </w:trPr>
        <w:tc>
          <w:tcPr>
            <w:tcW w:w="10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p>
        </w:tc>
      </w:tr>
      <w:tr>
        <w:trPr>
          <w:trHeight w:val="479"/>
        </w:trPr>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6" w:right="339" w:bottom="1440" w:gutter="0" w:footer="0" w:header="0"/>
        </w:sectPr>
      </w:pPr>
    </w:p>
    <w:bookmarkStart w:id="7" w:name="page8"/>
    <w:bookmarkEnd w:id="7"/>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233" w:lineRule="exact"/>
        <w:rPr>
          <w:sz w:val="20"/>
          <w:szCs w:val="20"/>
          <w:color w:val="auto"/>
        </w:rPr>
      </w:pPr>
    </w:p>
    <w:p>
      <w:pPr>
        <w:jc w:val="both"/>
        <w:ind w:left="1020"/>
        <w:spacing w:after="0" w:line="235" w:lineRule="auto"/>
        <w:rPr>
          <w:sz w:val="20"/>
          <w:szCs w:val="20"/>
          <w:color w:val="auto"/>
        </w:rPr>
      </w:pPr>
      <w:r>
        <w:rPr>
          <w:rFonts w:ascii="Times New Roman" w:cs="Times New Roman" w:eastAsia="Times New Roman" w:hAnsi="Times New Roman"/>
          <w:sz w:val="22"/>
          <w:szCs w:val="22"/>
          <w:color w:val="auto"/>
        </w:rPr>
        <w:t>The funds for the purchase of the 4,451,434 Shares beneficially owned by the Fund came from the working capital of the Fund, which is the direct owner of the Shares. The funds for the purchase of the 5,357,169 Shares beneficially owned by the other Reporting Persons (which include the 4,451,434 Shares directly owned by the Fund) came from the working capital of the Fund and other private investment vehicles managed by the Investment Adviser, which are the direct owners of such Shares. The net investment cost (including commissions, if any) of the Shares owned by the Reporting Persons is approximately $37,394,074. No borrowed funds were used to purchase the Shares, other than any borrowed funds used for working capital purposes (including certain leverage arrangements)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147955</wp:posOffset>
            </wp:positionV>
            <wp:extent cx="6489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233" w:lineRule="exact"/>
        <w:rPr>
          <w:sz w:val="20"/>
          <w:szCs w:val="20"/>
          <w:color w:val="auto"/>
        </w:rPr>
      </w:pPr>
    </w:p>
    <w:p>
      <w:pPr>
        <w:jc w:val="both"/>
        <w:ind w:left="1020"/>
        <w:spacing w:after="0" w:line="236" w:lineRule="auto"/>
        <w:rPr>
          <w:sz w:val="20"/>
          <w:szCs w:val="20"/>
          <w:color w:val="auto"/>
        </w:rPr>
      </w:pPr>
      <w:r>
        <w:rPr>
          <w:rFonts w:ascii="Times New Roman" w:cs="Times New Roman" w:eastAsia="Times New Roman" w:hAnsi="Times New Roman"/>
          <w:sz w:val="22"/>
          <w:szCs w:val="22"/>
          <w:color w:val="auto"/>
        </w:rPr>
        <w:t>The Reporting Persons originally acquired the Shares for investment purposes. The Reporting Persons have had discussions with certain representatives of the Issuer and management of the Issuer. The Reporting Persons have entered into a Cooperation Agreement with Issuer pursuant to which the Issuer increased the size of the Issuer’s Board of Directors (the “Board”) from 9 to 10 directors and appointed Dr. Rajeev Gautam to fill the newly created directorship on the recommendation of the Reporting Persons. The Cooperation Agreement is further described in Item 6 below.</w:t>
      </w:r>
    </w:p>
    <w:p>
      <w:pPr>
        <w:spacing w:after="0" w:line="208" w:lineRule="exact"/>
        <w:rPr>
          <w:sz w:val="20"/>
          <w:szCs w:val="20"/>
          <w:color w:val="auto"/>
        </w:rPr>
      </w:pPr>
    </w:p>
    <w:p>
      <w:pPr>
        <w:jc w:val="both"/>
        <w:ind w:left="1020"/>
        <w:spacing w:after="0" w:line="232" w:lineRule="auto"/>
        <w:rPr>
          <w:sz w:val="20"/>
          <w:szCs w:val="20"/>
          <w:color w:val="auto"/>
        </w:rPr>
      </w:pPr>
      <w:r>
        <w:rPr>
          <w:rFonts w:ascii="Times New Roman" w:cs="Times New Roman" w:eastAsia="Times New Roman" w:hAnsi="Times New Roman"/>
          <w:sz w:val="22"/>
          <w:szCs w:val="22"/>
          <w:color w:val="auto"/>
        </w:rPr>
        <w:t>The Reporting Persons intend to review their investment in the Issuer on a continuing basis. Depending on various factors, including the Issuer’s financial position and strategic direction, actions taken by the Board, price levels of the Shares, other investment opportunities available to the Reporting Persons, conditions in the securities market and general economic and industry conditions, the Reporting Persons may take such actions with respect to their investment in the Issuer as they deem appropriate including, without limitation, purchasing additional Shares, other securities or derivative instruments related thereto or selling some or all of their Shares, other securities or derivative instruments, engaging in hedging or similar transactions with respect to the Shares and, alone or with others, may engage in communications with directors and officers of the Issuer, other stockholders of the Issuer or other third parties or may take steps to implement a course of action, including, without limitation, engaging advisors, including legal, financial, regulatory, technical and/or industry advisors, to assist in any review. Such discussions and other actions may relate to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its subsidiaries, a sale or transfer of a material amount of assets of the Issuer or any of its subsidiaries; material asset purchases; the formation of joint ventures with the Issuer or its subsidiaries or the entry into other material projects; changes in the present business, operations, strategy, future plans or prospects of the Issuer, financial or governance matters; changes to the Board (including Board composition) or management of the Issuer; acting as a participant in debt financings of the Issuer or its subsidiaries; changes to the capitalization, ownership structure, dividend policy, business or corporate structure or governance documents of the Issuer; de-listing or de-registration of the Issuer’s securities, or any action similar to those enumerated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305435</wp:posOffset>
            </wp:positionV>
            <wp:extent cx="64890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622935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420" w:top="949" w:right="879" w:bottom="1440" w:gutter="0" w:footer="0" w:header="0"/>
        </w:sectPr>
      </w:pPr>
    </w:p>
    <w:bookmarkStart w:id="8" w:name="page9"/>
    <w:bookmarkEnd w:id="8"/>
    <w:p>
      <w:pPr>
        <w:spacing w:after="0"/>
        <w:tabs>
          <w:tab w:leader="none" w:pos="98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233" w:lineRule="exact"/>
        <w:rPr>
          <w:sz w:val="20"/>
          <w:szCs w:val="20"/>
          <w:color w:val="auto"/>
        </w:rPr>
      </w:pPr>
    </w:p>
    <w:p>
      <w:pPr>
        <w:ind w:left="2240" w:right="20" w:hanging="1236"/>
        <w:spacing w:after="0" w:line="236" w:lineRule="auto"/>
        <w:tabs>
          <w:tab w:leader="none" w:pos="130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(d)As of the date hereof (i) the Fund may be deemed to be the beneficial owner of 4,451,434 Shares, constituting 10.14% of the Shares in the aggregate and (ii) each of the General Partner, the Investment Adviser, Mr. Barrett and Mr. Soderlund may be deemed to be the beneficial owner of 5,357,169 Shares, constituting 12.21% of the Shares in the aggregate, in each case based upon 43,890,305 Shares outstanding at March 31, 2022, as determined based on reports by the Issuer.</w:t>
      </w:r>
    </w:p>
    <w:p>
      <w:pPr>
        <w:spacing w:after="0" w:line="208" w:lineRule="exact"/>
        <w:rPr>
          <w:sz w:val="20"/>
          <w:szCs w:val="20"/>
          <w:color w:val="auto"/>
        </w:rPr>
      </w:pPr>
    </w:p>
    <w:p>
      <w:pPr>
        <w:jc w:val="both"/>
        <w:ind w:left="2240" w:right="20"/>
        <w:spacing w:after="0" w:line="261" w:lineRule="auto"/>
        <w:rPr>
          <w:sz w:val="20"/>
          <w:szCs w:val="20"/>
          <w:color w:val="auto"/>
        </w:rPr>
      </w:pPr>
      <w:r>
        <w:rPr>
          <w:rFonts w:ascii="Times New Roman" w:cs="Times New Roman" w:eastAsia="Times New Roman" w:hAnsi="Times New Roman"/>
          <w:sz w:val="21"/>
          <w:szCs w:val="21"/>
          <w:color w:val="auto"/>
        </w:rPr>
        <w:t>The Fund has the sole power to vote or direct the vote of 0 Shares; has the shared power to vote or direct the vote of 4,451,434 Shares; has the sole power to dispose or direct the disposition of 0 Shares; and has the shared power to dispose or direct the disposition of 4,451,434 Shares.</w:t>
      </w:r>
    </w:p>
    <w:p>
      <w:pPr>
        <w:spacing w:after="0" w:line="184" w:lineRule="exact"/>
        <w:rPr>
          <w:sz w:val="20"/>
          <w:szCs w:val="20"/>
          <w:color w:val="auto"/>
        </w:rPr>
      </w:pPr>
    </w:p>
    <w:p>
      <w:pPr>
        <w:jc w:val="both"/>
        <w:ind w:left="2240"/>
        <w:spacing w:after="0" w:line="239" w:lineRule="auto"/>
        <w:rPr>
          <w:sz w:val="20"/>
          <w:szCs w:val="20"/>
          <w:color w:val="auto"/>
        </w:rPr>
      </w:pPr>
      <w:r>
        <w:rPr>
          <w:rFonts w:ascii="Times New Roman" w:cs="Times New Roman" w:eastAsia="Times New Roman" w:hAnsi="Times New Roman"/>
          <w:sz w:val="22"/>
          <w:szCs w:val="22"/>
          <w:color w:val="auto"/>
        </w:rPr>
        <w:t>The General Partner has the sole power to vote or direct the vote of 0 Shares; has the shared power to vote or direct the vote of 5,357,169 Shares; has the sole power to dispose or direct the disposition of 0 Shares; and has the shared power to dispose or direct the disposition of 5,357,169 Shares.</w:t>
      </w:r>
    </w:p>
    <w:p>
      <w:pPr>
        <w:spacing w:after="0" w:line="207" w:lineRule="exact"/>
        <w:rPr>
          <w:sz w:val="20"/>
          <w:szCs w:val="20"/>
          <w:color w:val="auto"/>
        </w:rPr>
      </w:pPr>
    </w:p>
    <w:p>
      <w:pPr>
        <w:jc w:val="both"/>
        <w:ind w:left="2240"/>
        <w:spacing w:after="0" w:line="239" w:lineRule="auto"/>
        <w:rPr>
          <w:sz w:val="20"/>
          <w:szCs w:val="20"/>
          <w:color w:val="auto"/>
        </w:rPr>
      </w:pPr>
      <w:r>
        <w:rPr>
          <w:rFonts w:ascii="Times New Roman" w:cs="Times New Roman" w:eastAsia="Times New Roman" w:hAnsi="Times New Roman"/>
          <w:sz w:val="22"/>
          <w:szCs w:val="22"/>
          <w:color w:val="auto"/>
        </w:rPr>
        <w:t>The Investment Adviser has the sole power to vote or direct the vote of 0 Shares; has the shared power to vote or direct the vote of 5,357,169 Shares; has the sole power to dispose or direct the disposition of 0 Shares; and has the shared power to dispose or direct the disposition of 5,357,169 Shares.</w:t>
      </w:r>
    </w:p>
    <w:p>
      <w:pPr>
        <w:spacing w:after="0" w:line="207" w:lineRule="exact"/>
        <w:rPr>
          <w:sz w:val="20"/>
          <w:szCs w:val="20"/>
          <w:color w:val="auto"/>
        </w:rPr>
      </w:pPr>
    </w:p>
    <w:p>
      <w:pPr>
        <w:jc w:val="both"/>
        <w:ind w:left="2240" w:right="20"/>
        <w:spacing w:after="0" w:line="239" w:lineRule="auto"/>
        <w:rPr>
          <w:sz w:val="20"/>
          <w:szCs w:val="20"/>
          <w:color w:val="auto"/>
        </w:rPr>
      </w:pPr>
      <w:r>
        <w:rPr>
          <w:rFonts w:ascii="Times New Roman" w:cs="Times New Roman" w:eastAsia="Times New Roman" w:hAnsi="Times New Roman"/>
          <w:sz w:val="22"/>
          <w:szCs w:val="22"/>
          <w:color w:val="auto"/>
        </w:rPr>
        <w:t>Mr. Barrett has the sole power to vote or direct the vote of 0 Shares; has the shared power to vote or direct the vote of 5,357,169 Shares; has the sole power to dispose or direct the disposition of 0 Shares; and has the shared power to dispose or direct the disposition of 5,357,169 Shares.</w:t>
      </w:r>
    </w:p>
    <w:p>
      <w:pPr>
        <w:spacing w:after="0" w:line="207" w:lineRule="exact"/>
        <w:rPr>
          <w:sz w:val="20"/>
          <w:szCs w:val="20"/>
          <w:color w:val="auto"/>
        </w:rPr>
      </w:pPr>
    </w:p>
    <w:p>
      <w:pPr>
        <w:jc w:val="both"/>
        <w:ind w:left="2240" w:right="20"/>
        <w:spacing w:after="0" w:line="239" w:lineRule="auto"/>
        <w:rPr>
          <w:sz w:val="20"/>
          <w:szCs w:val="20"/>
          <w:color w:val="auto"/>
        </w:rPr>
      </w:pPr>
      <w:r>
        <w:rPr>
          <w:rFonts w:ascii="Times New Roman" w:cs="Times New Roman" w:eastAsia="Times New Roman" w:hAnsi="Times New Roman"/>
          <w:sz w:val="22"/>
          <w:szCs w:val="22"/>
          <w:color w:val="auto"/>
        </w:rPr>
        <w:t>Mr. Soderlund has the sole power to vote or direct the vote of 0 Shares; has the shared power to vote or direct the vote of 5,357,169 Shares; has the sole power to dispose or direct the disposition of 0 Shares; and has the shared power to dispose or direct the disposition of 5,357,169 Shares.</w:t>
      </w:r>
    </w:p>
    <w:p>
      <w:pPr>
        <w:spacing w:after="0" w:line="207" w:lineRule="exact"/>
        <w:rPr>
          <w:sz w:val="20"/>
          <w:szCs w:val="20"/>
          <w:color w:val="auto"/>
        </w:rPr>
      </w:pPr>
    </w:p>
    <w:p>
      <w:pPr>
        <w:jc w:val="both"/>
        <w:ind w:left="2240" w:right="20"/>
        <w:spacing w:after="0" w:line="244" w:lineRule="auto"/>
        <w:rPr>
          <w:sz w:val="20"/>
          <w:szCs w:val="20"/>
          <w:color w:val="auto"/>
        </w:rPr>
      </w:pPr>
      <w:r>
        <w:rPr>
          <w:rFonts w:ascii="Times New Roman" w:cs="Times New Roman" w:eastAsia="Times New Roman" w:hAnsi="Times New Roman"/>
          <w:sz w:val="22"/>
          <w:szCs w:val="22"/>
          <w:color w:val="auto"/>
        </w:rPr>
        <w:t>The transactions by the Reporting Persons in the securities of the Issuer since the last Schedule 13D filing by the Reporting Persons in respect of the Issuer are set forth in Exhibit B. All such transactions were carried out in open market transactions.</w:t>
      </w:r>
    </w:p>
    <w:p>
      <w:pPr>
        <w:spacing w:after="0" w:line="200" w:lineRule="exact"/>
        <w:rPr>
          <w:sz w:val="20"/>
          <w:szCs w:val="20"/>
          <w:color w:val="auto"/>
        </w:rPr>
      </w:pPr>
    </w:p>
    <w:p>
      <w:pPr>
        <w:spacing w:after="0" w:line="243" w:lineRule="exact"/>
        <w:rPr>
          <w:sz w:val="20"/>
          <w:szCs w:val="20"/>
          <w:color w:val="auto"/>
        </w:rPr>
      </w:pPr>
    </w:p>
    <w:p>
      <w:pPr>
        <w:ind w:left="2240" w:hanging="1236"/>
        <w:spacing w:after="0"/>
        <w:tabs>
          <w:tab w:leader="none" w:pos="22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165100</wp:posOffset>
            </wp:positionV>
            <wp:extent cx="64979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482600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420" w:top="949" w:right="899" w:bottom="1440" w:gutter="0" w:footer="0" w:header="0"/>
        </w:sectPr>
      </w:pPr>
    </w:p>
    <w:bookmarkStart w:id="9" w:name="page10"/>
    <w:bookmarkEnd w:id="9"/>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233" w:lineRule="exact"/>
        <w:rPr>
          <w:sz w:val="20"/>
          <w:szCs w:val="20"/>
          <w:color w:val="auto"/>
        </w:rPr>
      </w:pPr>
    </w:p>
    <w:p>
      <w:pPr>
        <w:jc w:val="both"/>
        <w:ind w:left="1020"/>
        <w:spacing w:after="0" w:line="239" w:lineRule="auto"/>
        <w:rPr>
          <w:sz w:val="20"/>
          <w:szCs w:val="20"/>
          <w:color w:val="auto"/>
        </w:rPr>
      </w:pPr>
      <w:r>
        <w:rPr>
          <w:rFonts w:ascii="Times New Roman" w:cs="Times New Roman" w:eastAsia="Times New Roman" w:hAnsi="Times New Roman"/>
          <w:sz w:val="22"/>
          <w:szCs w:val="22"/>
          <w:color w:val="auto"/>
        </w:rPr>
        <w:t>The Fund and other private investment vehicles managed by the Investment Adviser (the “Corre Holders”) hold common stock purchase warrants of the Issuer (the “Warrants”), pursuant to the terms of that certain Securities Purchase Agreement, dated December 5, 2019 (the “Purchase Agreement”). See Exhibit C for the Purchase Agreement.</w:t>
      </w:r>
    </w:p>
    <w:p>
      <w:pPr>
        <w:spacing w:after="0" w:line="207" w:lineRule="exact"/>
        <w:rPr>
          <w:sz w:val="20"/>
          <w:szCs w:val="20"/>
          <w:color w:val="auto"/>
        </w:rPr>
      </w:pPr>
    </w:p>
    <w:p>
      <w:pPr>
        <w:jc w:val="both"/>
        <w:ind w:left="1020"/>
        <w:spacing w:after="0" w:line="233" w:lineRule="auto"/>
        <w:rPr>
          <w:sz w:val="20"/>
          <w:szCs w:val="20"/>
          <w:color w:val="auto"/>
        </w:rPr>
      </w:pPr>
      <w:r>
        <w:rPr>
          <w:rFonts w:ascii="Times New Roman" w:cs="Times New Roman" w:eastAsia="Times New Roman" w:hAnsi="Times New Roman"/>
          <w:sz w:val="22"/>
          <w:szCs w:val="22"/>
          <w:color w:val="auto"/>
        </w:rPr>
        <w:t>The Warrants are exercisable, in full or in part, at any time prior to the seventh anniversary of their issuance, at an exercise price of $12.00 per share, subject to customary anti-dilution adjustments in the event of future below market issuances, stock splits, stock dividends, combinations or similar events set forth in the Warrants. The Warrants held by the Reporting Persons are subject to limitations on the right to exercise to the extent that after giving effect to such issuance after exercise, the Reporting Persons (together with the Reporting Persons’ affiliates, any other accounts managed by or over which the Investment Adviser or one of its affiliates has discretionary investment authority, or any other person or entity whose beneficial ownership of Shares would be aggregated with such persons’ beneficial ownership for purposes of Section 13(d) or Section 16 of the Securities Exchange Act of 1934), would beneficially own Shares in excess of 9.99% of the number of Shares outstanding (measured after giving effect to the issuance of Shares issuable upon exercise of the Warrants). See Exhibit D for the Warrants.</w:t>
      </w:r>
    </w:p>
    <w:p>
      <w:pPr>
        <w:spacing w:after="0" w:line="214" w:lineRule="exact"/>
        <w:rPr>
          <w:sz w:val="20"/>
          <w:szCs w:val="20"/>
          <w:color w:val="auto"/>
        </w:rPr>
      </w:pPr>
    </w:p>
    <w:p>
      <w:pPr>
        <w:jc w:val="both"/>
        <w:ind w:left="1020"/>
        <w:spacing w:after="0" w:line="236" w:lineRule="auto"/>
        <w:rPr>
          <w:sz w:val="20"/>
          <w:szCs w:val="20"/>
          <w:color w:val="auto"/>
        </w:rPr>
      </w:pPr>
      <w:r>
        <w:rPr>
          <w:rFonts w:ascii="Times New Roman" w:cs="Times New Roman" w:eastAsia="Times New Roman" w:hAnsi="Times New Roman"/>
          <w:sz w:val="22"/>
          <w:szCs w:val="22"/>
          <w:color w:val="auto"/>
        </w:rPr>
        <w:t>In connection with the issuance of certain Series B Convertible Preferred Stock of the Issuer, par value $0.01 per share (the “Preferred Stock”), previously held by the Corre Holders, all of which has been redeemed by the Issuer for cash, the Issuer entered into a registration rights agreement with the purchasers to provide certain customary demand registration rights exercisable beginning on March 31, 2021, with respect to their shares of common stock, including those underlying the Preferred Stock and Warrants, shares of Preferred Stock, and the Warrants. See Exhibit E for the Registration Rights Agreement.</w:t>
      </w:r>
    </w:p>
    <w:p>
      <w:pPr>
        <w:spacing w:after="0" w:line="208" w:lineRule="exact"/>
        <w:rPr>
          <w:sz w:val="20"/>
          <w:szCs w:val="20"/>
          <w:color w:val="auto"/>
        </w:rPr>
      </w:pPr>
    </w:p>
    <w:p>
      <w:pPr>
        <w:jc w:val="both"/>
        <w:ind w:left="1020"/>
        <w:spacing w:after="0" w:line="243" w:lineRule="auto"/>
        <w:rPr>
          <w:sz w:val="20"/>
          <w:szCs w:val="20"/>
          <w:color w:val="auto"/>
        </w:rPr>
      </w:pPr>
      <w:r>
        <w:rPr>
          <w:rFonts w:ascii="Times New Roman" w:cs="Times New Roman" w:eastAsia="Times New Roman" w:hAnsi="Times New Roman"/>
          <w:sz w:val="21"/>
          <w:szCs w:val="21"/>
          <w:color w:val="auto"/>
        </w:rPr>
        <w:t>The Reporting Persons have entered into a Cooperation Agreement with the Issuer as of May 13, 2021. Pursuant to the Cooperation Agreement, the Issuer increased the size of the Board from 9 to 10 directors and appointed Dr. Rajeev Gautam to fill the newly created directorship. Dr. Gautam will serve as a director with an initial term expiring at the Issuer’s 2021 annual meeting and will be included in the Issuer’s slate of director nominees for election at the 2021 and 2022 annual meeting. The Cooperation Agreement requires the Reporting Persons to, at the Issuer’s 2021 annual meeting and at any meeting of the Issuer’s stockholders held prior to the date of termination of the Standstill Period (as defined below), vote all of its Shares in favor of the election of directors nominated by the Board and otherwise in accordance with the Board’s recommendation with respect to all other matters, subject to certain exceptions for extraordinary transactions, adoption of corporate defenses, and matters with a contrary recommendation from either or both Institutional Shareholder Services Inc. and Glass Lewis &amp; Co., LLC. The Cooperation Agreement, among other things, contains certain customary standstill restrictions that apply to the Reporting Persons during the period from May 13, 2021 until the date that is 20 calendar days prior to the last day of the advance notice period for the submission by shareholders of director nominations for the Issuer’s 2023 annual meeting, as set forth in the advance notice provisions of the Issuer’s Amended and Restated Bylaws (the “</w:t>
      </w:r>
      <w:r>
        <w:rPr>
          <w:rFonts w:ascii="Times New Roman" w:cs="Times New Roman" w:eastAsia="Times New Roman" w:hAnsi="Times New Roman"/>
          <w:sz w:val="21"/>
          <w:szCs w:val="21"/>
          <w:u w:val="single" w:color="auto"/>
          <w:color w:val="auto"/>
        </w:rPr>
        <w:t>Standstill Period</w:t>
      </w:r>
      <w:r>
        <w:rPr>
          <w:rFonts w:ascii="Times New Roman" w:cs="Times New Roman" w:eastAsia="Times New Roman" w:hAnsi="Times New Roman"/>
          <w:sz w:val="21"/>
          <w:szCs w:val="21"/>
          <w:color w:val="auto"/>
        </w:rPr>
        <w:t>”). During the Standstill Period, the Reporting Persons are, among other things, restricted from engaging in any solicitation of proxies or written consents relating to the Issuer, acquiring any assets of the Issuer, or acquiring any voting stock that would result in the Reporting Persons having beneficial ownership of more than 15.0% of the Issuer’s outstanding common stock. See Exhibit F for the Cooperation Agreement.</w:t>
      </w:r>
    </w:p>
    <w:p>
      <w:pPr>
        <w:spacing w:after="0" w:line="214"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21"/>
          <w:szCs w:val="21"/>
          <w:color w:val="auto"/>
        </w:rPr>
        <w:t>The Reporting Persons do not have any contract, arrangement, understanding or relationship with any person with respect to securities of the Issuer that is not described above and/or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120015</wp:posOffset>
            </wp:positionV>
            <wp:extent cx="6489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436880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420" w:top="949" w:right="879" w:bottom="1440" w:gutter="0" w:footer="0" w:header="0"/>
        </w:sectPr>
      </w:pPr>
    </w:p>
    <w:bookmarkStart w:id="10" w:name="page11"/>
    <w:bookmarkEnd w:id="10"/>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2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Exhibit A: Joint Filing Agreement</w:t>
      </w:r>
    </w:p>
    <w:p>
      <w:pPr>
        <w:spacing w:after="0" w:line="2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Exhibit B: Schedule of Transactions in Shares</w:t>
      </w:r>
    </w:p>
    <w:p>
      <w:pPr>
        <w:spacing w:after="0" w:line="233" w:lineRule="exact"/>
        <w:rPr>
          <w:sz w:val="20"/>
          <w:szCs w:val="20"/>
          <w:color w:val="auto"/>
        </w:rPr>
      </w:pPr>
    </w:p>
    <w:p>
      <w:pPr>
        <w:ind w:left="1020"/>
        <w:spacing w:after="0" w:line="258" w:lineRule="auto"/>
        <w:rPr>
          <w:sz w:val="20"/>
          <w:szCs w:val="20"/>
          <w:color w:val="auto"/>
        </w:rPr>
      </w:pPr>
      <w:r>
        <w:rPr>
          <w:rFonts w:ascii="Times New Roman" w:cs="Times New Roman" w:eastAsia="Times New Roman" w:hAnsi="Times New Roman"/>
          <w:sz w:val="22"/>
          <w:szCs w:val="22"/>
          <w:color w:val="auto"/>
        </w:rPr>
        <w:t>Exhibit C: Securities Purchase Agreement (incorporated by reference to Exhibit 10.1 to the Form 8-K filed with the SEC by the Issuer on December 11, 2019)</w:t>
      </w:r>
    </w:p>
    <w:p>
      <w:pPr>
        <w:spacing w:after="0" w:line="185" w:lineRule="exact"/>
        <w:rPr>
          <w:sz w:val="20"/>
          <w:szCs w:val="20"/>
          <w:color w:val="auto"/>
        </w:rPr>
      </w:pPr>
    </w:p>
    <w:p>
      <w:pPr>
        <w:ind w:left="1020"/>
        <w:spacing w:after="0" w:line="258" w:lineRule="auto"/>
        <w:rPr>
          <w:sz w:val="20"/>
          <w:szCs w:val="20"/>
          <w:color w:val="auto"/>
        </w:rPr>
      </w:pPr>
      <w:r>
        <w:rPr>
          <w:rFonts w:ascii="Times New Roman" w:cs="Times New Roman" w:eastAsia="Times New Roman" w:hAnsi="Times New Roman"/>
          <w:sz w:val="22"/>
          <w:szCs w:val="22"/>
          <w:color w:val="auto"/>
        </w:rPr>
        <w:t>Exhibit D: Common Stock Purchase Warrant (incorporated by reference to Exhibit 4.1 to the Form 8-K filed with the SEC by the Issuer on December 11, 2019)</w:t>
      </w:r>
    </w:p>
    <w:p>
      <w:pPr>
        <w:spacing w:after="0" w:line="185" w:lineRule="exact"/>
        <w:rPr>
          <w:sz w:val="20"/>
          <w:szCs w:val="20"/>
          <w:color w:val="auto"/>
        </w:rPr>
      </w:pPr>
    </w:p>
    <w:p>
      <w:pPr>
        <w:ind w:left="1020"/>
        <w:spacing w:after="0" w:line="258" w:lineRule="auto"/>
        <w:rPr>
          <w:sz w:val="20"/>
          <w:szCs w:val="20"/>
          <w:color w:val="auto"/>
        </w:rPr>
      </w:pPr>
      <w:r>
        <w:rPr>
          <w:rFonts w:ascii="Times New Roman" w:cs="Times New Roman" w:eastAsia="Times New Roman" w:hAnsi="Times New Roman"/>
          <w:sz w:val="22"/>
          <w:szCs w:val="22"/>
          <w:color w:val="auto"/>
        </w:rPr>
        <w:t>Exhibit E: Registration Rights Agreement (incorporated by reference to Exhibit 10.2 to the Form 8-K filed with the SEC by the Issuer on December 11, 2019)</w:t>
      </w:r>
    </w:p>
    <w:p>
      <w:pPr>
        <w:spacing w:after="0" w:line="185" w:lineRule="exact"/>
        <w:rPr>
          <w:sz w:val="20"/>
          <w:szCs w:val="20"/>
          <w:color w:val="auto"/>
        </w:rPr>
      </w:pPr>
    </w:p>
    <w:p>
      <w:pPr>
        <w:ind w:left="1020" w:right="20"/>
        <w:spacing w:after="0" w:line="258" w:lineRule="auto"/>
        <w:rPr>
          <w:sz w:val="20"/>
          <w:szCs w:val="20"/>
          <w:color w:val="auto"/>
        </w:rPr>
      </w:pPr>
      <w:r>
        <w:rPr>
          <w:rFonts w:ascii="Times New Roman" w:cs="Times New Roman" w:eastAsia="Times New Roman" w:hAnsi="Times New Roman"/>
          <w:sz w:val="22"/>
          <w:szCs w:val="22"/>
          <w:color w:val="auto"/>
        </w:rPr>
        <w:t>Exhibit F: Cooperation Agreement (incorporated by reference to Exhibit 10.1 to the Form 8-K filed with the SEC by the Issuer on May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135255</wp:posOffset>
            </wp:positionV>
            <wp:extent cx="64890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452120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420" w:top="949" w:right="87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28"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22"/>
          <w:szCs w:val="22"/>
          <w:color w:val="auto"/>
        </w:rPr>
        <w:t>May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10795</wp:posOffset>
            </wp:positionV>
            <wp:extent cx="23488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8"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5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By: Corre Partners Advisors, LLC, its general partner</w:t>
      </w:r>
    </w:p>
    <w:p>
      <w:pPr>
        <w:spacing w:after="0" w:line="20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w:t>
      </w:r>
      <w:r>
        <w:rPr>
          <w:rFonts w:ascii="Times New Roman" w:cs="Times New Roman" w:eastAsia="Times New Roman" w:hAnsi="Times New Roman"/>
          <w:sz w:val="22"/>
          <w:szCs w:val="22"/>
          <w:u w:val="single" w:color="auto"/>
          <w:color w:val="auto"/>
        </w:rPr>
        <w:t>s/ Eric Soderlund</w:t>
      </w:r>
    </w:p>
    <w:p>
      <w:pPr>
        <w:spacing w:after="0" w:line="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Eric Soderlund</w:t>
      </w:r>
    </w:p>
    <w:p>
      <w:pPr>
        <w:ind w:left="406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Corre Partners Advisors, LLC*</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Eric Soderlund</w:t>
      </w:r>
    </w:p>
    <w:p>
      <w:pPr>
        <w:spacing w:after="0" w:line="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Eric Soderlund</w:t>
      </w:r>
    </w:p>
    <w:p>
      <w:pPr>
        <w:ind w:left="406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Corre Partners Management, LLC*</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Eric Soderlund</w:t>
      </w:r>
    </w:p>
    <w:p>
      <w:pPr>
        <w:spacing w:after="0" w:line="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Eric Soderlund</w:t>
      </w:r>
    </w:p>
    <w:p>
      <w:pPr>
        <w:ind w:left="406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John Barrett*</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u w:val="single" w:color="auto"/>
          <w:color w:val="auto"/>
        </w:rPr>
        <w:t>/s/ John Barrett</w:t>
      </w:r>
    </w:p>
    <w:p>
      <w:pPr>
        <w:spacing w:after="0" w:line="200" w:lineRule="exact"/>
        <w:rPr>
          <w:sz w:val="20"/>
          <w:szCs w:val="20"/>
          <w:color w:val="auto"/>
        </w:rPr>
      </w:pPr>
    </w:p>
    <w:p>
      <w:pPr>
        <w:spacing w:after="0" w:line="2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Eric Soderlund*</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u w:val="single" w:color="auto"/>
          <w:color w:val="auto"/>
        </w:rPr>
        <w:t>/s/ Eric Soderlund</w:t>
      </w:r>
    </w:p>
    <w:p>
      <w:pPr>
        <w:spacing w:after="0" w:line="233" w:lineRule="exact"/>
        <w:rPr>
          <w:sz w:val="20"/>
          <w:szCs w:val="20"/>
          <w:color w:val="auto"/>
        </w:rPr>
      </w:pPr>
    </w:p>
    <w:p>
      <w:pPr>
        <w:jc w:val="both"/>
        <w:ind w:firstLine="8"/>
        <w:spacing w:after="0" w:line="244" w:lineRule="auto"/>
        <w:tabs>
          <w:tab w:leader="none" w:pos="19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disclaims beneficial ownership of the reported securities except to the extent of his or its pecuniary interests therein, and this report shall not be deemed an admission that such person is the beneficial owner of these securities for purposes of Section 16 of the U.S. Securities Exchange Act of 1934, as amended, or for any other purpose.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undersigned agree that this Schedule 13D amendment, dated May 25, 2022, relating to the common stock, par value $0.01 per share, of NN, Inc. shall be filed on behalf of the undersigned.</w:t>
      </w:r>
    </w:p>
    <w:p>
      <w:pPr>
        <w:spacing w:after="0" w:line="200" w:lineRule="exact"/>
        <w:rPr>
          <w:sz w:val="20"/>
          <w:szCs w:val="20"/>
          <w:color w:val="auto"/>
        </w:rPr>
      </w:pPr>
    </w:p>
    <w:p>
      <w:pPr>
        <w:spacing w:after="0" w:line="228" w:lineRule="exact"/>
        <w:rPr>
          <w:sz w:val="20"/>
          <w:szCs w:val="20"/>
          <w:color w:val="auto"/>
        </w:rPr>
      </w:pPr>
    </w:p>
    <w:p>
      <w:pPr>
        <w:jc w:val="center"/>
        <w:ind w:left="3840"/>
        <w:spacing w:after="0"/>
        <w:rPr>
          <w:sz w:val="20"/>
          <w:szCs w:val="20"/>
          <w:color w:val="auto"/>
        </w:rPr>
      </w:pPr>
      <w:r>
        <w:rPr>
          <w:rFonts w:ascii="Times New Roman" w:cs="Times New Roman" w:eastAsia="Times New Roman" w:hAnsi="Times New Roman"/>
          <w:sz w:val="22"/>
          <w:szCs w:val="22"/>
          <w:color w:val="auto"/>
        </w:rPr>
        <w:t>May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10795</wp:posOffset>
            </wp:positionV>
            <wp:extent cx="21342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8" w:lineRule="exact"/>
        <w:rPr>
          <w:sz w:val="20"/>
          <w:szCs w:val="20"/>
          <w:color w:val="auto"/>
        </w:rPr>
      </w:pPr>
    </w:p>
    <w:p>
      <w:pPr>
        <w:jc w:val="center"/>
        <w:ind w:left="384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1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By: Corre Partners Advisors, LLC, its general partner</w:t>
      </w:r>
    </w:p>
    <w:p>
      <w:pPr>
        <w:spacing w:after="0" w:line="20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By: /</w:t>
      </w:r>
      <w:r>
        <w:rPr>
          <w:rFonts w:ascii="Times New Roman" w:cs="Times New Roman" w:eastAsia="Times New Roman" w:hAnsi="Times New Roman"/>
          <w:sz w:val="22"/>
          <w:szCs w:val="22"/>
          <w:u w:val="single" w:color="auto"/>
          <w:color w:val="auto"/>
        </w:rPr>
        <w:t>s/ Eric Soderlund</w:t>
      </w:r>
    </w:p>
    <w:p>
      <w:pPr>
        <w:spacing w:after="0" w:line="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 Eric Soderlund</w:t>
      </w:r>
    </w:p>
    <w:p>
      <w:pPr>
        <w:ind w:left="384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Corre Partners Advisors, LLC</w:t>
      </w:r>
    </w:p>
    <w:p>
      <w:pPr>
        <w:spacing w:after="0" w:line="2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Eric Soderlund</w:t>
      </w:r>
    </w:p>
    <w:p>
      <w:pPr>
        <w:spacing w:after="0" w:line="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 Eric Soderlund</w:t>
      </w:r>
    </w:p>
    <w:p>
      <w:pPr>
        <w:ind w:left="384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Corre Partners Management, LLC</w:t>
      </w:r>
    </w:p>
    <w:p>
      <w:pPr>
        <w:spacing w:after="0" w:line="2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Eric Soderlund</w:t>
      </w:r>
    </w:p>
    <w:p>
      <w:pPr>
        <w:spacing w:after="0" w:line="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 Eric Soderlund</w:t>
      </w:r>
    </w:p>
    <w:p>
      <w:pPr>
        <w:ind w:left="384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John Barrett</w:t>
      </w:r>
    </w:p>
    <w:p>
      <w:pPr>
        <w:spacing w:after="0" w:line="2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u w:val="single" w:color="auto"/>
          <w:color w:val="auto"/>
        </w:rPr>
        <w:t>/s/ John Barrett</w:t>
      </w:r>
    </w:p>
    <w:p>
      <w:pPr>
        <w:spacing w:after="0" w:line="200" w:lineRule="exact"/>
        <w:rPr>
          <w:sz w:val="20"/>
          <w:szCs w:val="20"/>
          <w:color w:val="auto"/>
        </w:rPr>
      </w:pPr>
    </w:p>
    <w:p>
      <w:pPr>
        <w:spacing w:after="0" w:line="27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Eric Soderlund</w:t>
      </w:r>
    </w:p>
    <w:p>
      <w:pPr>
        <w:spacing w:after="0" w:line="2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u w:val="single" w:color="auto"/>
          <w:color w:val="auto"/>
        </w:rPr>
        <w:t>/s/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3" w:name="page14"/>
    <w:bookmarkEnd w:id="13"/>
    <w:tbl>
      <w:tblPr>
        <w:tblLayout w:type="fixed"/>
        <w:tblInd w:w="92" w:type="dxa"/>
        <w:tblCellMar>
          <w:top w:w="0" w:type="dxa"/>
          <w:left w:w="0" w:type="dxa"/>
          <w:bottom w:w="0" w:type="dxa"/>
          <w:right w:w="0" w:type="dxa"/>
        </w:tblCellMar>
      </w:tblPr>
      <w:tr>
        <w:trPr>
          <w:trHeight w:val="282"/>
        </w:trPr>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w w:val="96"/>
              </w:rPr>
              <w:t>Exhibit B</w:t>
            </w:r>
          </w:p>
        </w:tc>
        <w:tc>
          <w:tcPr>
            <w:tcW w:w="0" w:type="dxa"/>
            <w:vAlign w:val="bottom"/>
          </w:tcPr>
          <w:p>
            <w:pPr>
              <w:spacing w:after="0"/>
              <w:rPr>
                <w:sz w:val="1"/>
                <w:szCs w:val="1"/>
                <w:color w:val="auto"/>
              </w:rPr>
            </w:pPr>
          </w:p>
        </w:tc>
      </w:tr>
      <w:tr>
        <w:trPr>
          <w:trHeight w:val="729"/>
        </w:trPr>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0" w:type="dxa"/>
            <w:vAlign w:val="bottom"/>
            <w:gridSpan w:val="6"/>
          </w:tcPr>
          <w:p>
            <w:pPr>
              <w:ind w:left="260"/>
              <w:spacing w:after="0"/>
              <w:rPr>
                <w:sz w:val="20"/>
                <w:szCs w:val="20"/>
                <w:color w:val="auto"/>
              </w:rPr>
            </w:pPr>
            <w:r>
              <w:rPr>
                <w:rFonts w:ascii="Times New Roman" w:cs="Times New Roman" w:eastAsia="Times New Roman" w:hAnsi="Times New Roman"/>
                <w:sz w:val="22"/>
                <w:szCs w:val="22"/>
                <w:b w:val="1"/>
                <w:bCs w:val="1"/>
                <w:color w:val="auto"/>
              </w:rPr>
              <w:t>Schedule of Transactions in Shares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Number of Shares</w:t>
            </w:r>
          </w:p>
        </w:tc>
        <w:tc>
          <w:tcPr>
            <w:tcW w:w="1100" w:type="dxa"/>
            <w:vAlign w:val="bottom"/>
            <w:gridSpan w:val="6"/>
          </w:tcPr>
          <w:p>
            <w:pPr>
              <w:jc w:val="center"/>
              <w:ind w:right="160"/>
              <w:spacing w:after="0"/>
              <w:rPr>
                <w:sz w:val="20"/>
                <w:szCs w:val="20"/>
                <w:color w:val="auto"/>
              </w:rPr>
            </w:pPr>
            <w:r>
              <w:rPr>
                <w:rFonts w:ascii="Times New Roman" w:cs="Times New Roman" w:eastAsia="Times New Roman" w:hAnsi="Times New Roman"/>
                <w:sz w:val="22"/>
                <w:szCs w:val="22"/>
                <w:color w:val="auto"/>
                <w:w w:val="97"/>
              </w:rPr>
              <w:t>Number of</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Date of Transaction</w:t>
            </w:r>
          </w:p>
        </w:tc>
        <w:tc>
          <w:tcPr>
            <w:tcW w:w="380" w:type="dxa"/>
            <w:vAlign w:val="bottom"/>
            <w:vMerge w:val="restart"/>
          </w:tcPr>
          <w:p>
            <w:pPr>
              <w:spacing w:after="0"/>
              <w:rPr>
                <w:sz w:val="19"/>
                <w:szCs w:val="19"/>
                <w:color w:val="auto"/>
              </w:rPr>
            </w:pPr>
          </w:p>
        </w:tc>
        <w:tc>
          <w:tcPr>
            <w:tcW w:w="380" w:type="dxa"/>
            <w:vAlign w:val="bottom"/>
            <w:vMerge w:val="restart"/>
          </w:tcPr>
          <w:p>
            <w:pPr>
              <w:spacing w:after="0"/>
              <w:rPr>
                <w:sz w:val="19"/>
                <w:szCs w:val="19"/>
                <w:color w:val="auto"/>
              </w:rPr>
            </w:pPr>
          </w:p>
        </w:tc>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Title of Class</w:t>
            </w:r>
          </w:p>
        </w:tc>
        <w:tc>
          <w:tcPr>
            <w:tcW w:w="2420" w:type="dxa"/>
            <w:vAlign w:val="bottom"/>
            <w:gridSpan w:val="5"/>
            <w:vMerge w:val="continue"/>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4"/>
          </w:tcPr>
          <w:p>
            <w:pPr>
              <w:jc w:val="center"/>
              <w:ind w:right="60"/>
              <w:spacing w:after="0" w:line="223" w:lineRule="exact"/>
              <w:rPr>
                <w:sz w:val="20"/>
                <w:szCs w:val="20"/>
                <w:color w:val="auto"/>
              </w:rPr>
            </w:pPr>
            <w:r>
              <w:rPr>
                <w:rFonts w:ascii="Times New Roman" w:cs="Times New Roman" w:eastAsia="Times New Roman" w:hAnsi="Times New Roman"/>
                <w:sz w:val="22"/>
                <w:szCs w:val="22"/>
                <w:color w:val="auto"/>
                <w:w w:val="98"/>
              </w:rPr>
              <w:t>Shares</w:t>
            </w:r>
          </w:p>
        </w:tc>
        <w:tc>
          <w:tcPr>
            <w:tcW w:w="160" w:type="dxa"/>
            <w:vAlign w:val="bottom"/>
          </w:tcPr>
          <w:p>
            <w:pPr>
              <w:spacing w:after="0"/>
              <w:rPr>
                <w:sz w:val="19"/>
                <w:szCs w:val="19"/>
                <w:color w:val="auto"/>
              </w:rPr>
            </w:pPr>
          </w:p>
        </w:tc>
        <w:tc>
          <w:tcPr>
            <w:tcW w:w="1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Price Per Share</w:t>
            </w:r>
          </w:p>
        </w:tc>
        <w:tc>
          <w:tcPr>
            <w:tcW w:w="0" w:type="dxa"/>
            <w:vAlign w:val="bottom"/>
          </w:tcPr>
          <w:p>
            <w:pPr>
              <w:spacing w:after="0"/>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354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center"/>
              <w:ind w:right="400"/>
              <w:spacing w:after="0" w:line="223" w:lineRule="exact"/>
              <w:rPr>
                <w:sz w:val="20"/>
                <w:szCs w:val="20"/>
                <w:color w:val="auto"/>
              </w:rPr>
            </w:pPr>
            <w:r>
              <w:rPr>
                <w:rFonts w:ascii="Times New Roman" w:cs="Times New Roman" w:eastAsia="Times New Roman" w:hAnsi="Times New Roman"/>
                <w:sz w:val="22"/>
                <w:szCs w:val="22"/>
                <w:color w:val="auto"/>
                <w:w w:val="97"/>
              </w:rPr>
              <w:t>Acquired</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70"/>
              </w:rPr>
              <w:t>Disposed</w:t>
            </w:r>
          </w:p>
        </w:tc>
        <w:tc>
          <w:tcPr>
            <w:tcW w:w="1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5/13/2022</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Common Stock, par value $0.01 per</w:t>
            </w:r>
          </w:p>
        </w:tc>
        <w:tc>
          <w:tcPr>
            <w:tcW w:w="1600" w:type="dxa"/>
            <w:vAlign w:val="bottom"/>
            <w:gridSpan w:val="3"/>
          </w:tcPr>
          <w:p>
            <w:pPr>
              <w:jc w:val="center"/>
              <w:ind w:left="712"/>
              <w:spacing w:after="0"/>
              <w:rPr>
                <w:sz w:val="20"/>
                <w:szCs w:val="20"/>
                <w:color w:val="auto"/>
              </w:rPr>
            </w:pPr>
            <w:r>
              <w:rPr>
                <w:rFonts w:ascii="Times New Roman" w:cs="Times New Roman" w:eastAsia="Times New Roman" w:hAnsi="Times New Roman"/>
                <w:sz w:val="22"/>
                <w:szCs w:val="22"/>
                <w:color w:val="auto"/>
                <w:w w:val="97"/>
              </w:rPr>
              <w:t>106,621</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color w:val="auto"/>
                <w:w w:val="97"/>
              </w:rPr>
              <w:t>$2.3389 (1)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920" w:type="dxa"/>
            <w:vAlign w:val="bottom"/>
            <w:gridSpan w:val="3"/>
          </w:tcPr>
          <w:p>
            <w:pPr>
              <w:ind w:left="3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5/16/2022</w:t>
            </w:r>
          </w:p>
        </w:tc>
        <w:tc>
          <w:tcPr>
            <w:tcW w:w="380" w:type="dxa"/>
            <w:vAlign w:val="bottom"/>
          </w:tcPr>
          <w:p>
            <w:pPr>
              <w:spacing w:after="0"/>
              <w:rPr>
                <w:sz w:val="21"/>
                <w:szCs w:val="21"/>
                <w:color w:val="auto"/>
              </w:rPr>
            </w:pPr>
          </w:p>
        </w:tc>
        <w:tc>
          <w:tcPr>
            <w:tcW w:w="3920" w:type="dxa"/>
            <w:vAlign w:val="bottom"/>
            <w:gridSpan w:val="3"/>
          </w:tcPr>
          <w:p>
            <w:pPr>
              <w:ind w:left="3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1600" w:type="dxa"/>
            <w:vAlign w:val="bottom"/>
            <w:gridSpan w:val="3"/>
          </w:tcPr>
          <w:p>
            <w:pPr>
              <w:jc w:val="center"/>
              <w:ind w:left="692"/>
              <w:spacing w:after="0" w:line="243" w:lineRule="exact"/>
              <w:rPr>
                <w:sz w:val="20"/>
                <w:szCs w:val="20"/>
                <w:color w:val="auto"/>
              </w:rPr>
            </w:pPr>
            <w:r>
              <w:rPr>
                <w:rFonts w:ascii="Times New Roman" w:cs="Times New Roman" w:eastAsia="Times New Roman" w:hAnsi="Times New Roman"/>
                <w:sz w:val="22"/>
                <w:szCs w:val="22"/>
                <w:color w:val="auto"/>
                <w:w w:val="96"/>
              </w:rPr>
              <w:t>2,800</w:t>
            </w: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center"/>
              <w:ind w:left="52"/>
              <w:spacing w:after="0" w:line="243" w:lineRule="exact"/>
              <w:rPr>
                <w:sz w:val="20"/>
                <w:szCs w:val="20"/>
                <w:color w:val="auto"/>
              </w:rPr>
            </w:pPr>
            <w:r>
              <w:rPr>
                <w:rFonts w:ascii="Times New Roman" w:cs="Times New Roman" w:eastAsia="Times New Roman" w:hAnsi="Times New Roman"/>
                <w:sz w:val="22"/>
                <w:szCs w:val="22"/>
                <w:color w:val="auto"/>
                <w:w w:val="97"/>
              </w:rPr>
              <w:t>$2.3373 (2)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920" w:type="dxa"/>
            <w:vAlign w:val="bottom"/>
            <w:gridSpan w:val="3"/>
          </w:tcPr>
          <w:p>
            <w:pPr>
              <w:ind w:left="3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5/17/2022</w:t>
            </w:r>
          </w:p>
        </w:tc>
        <w:tc>
          <w:tcPr>
            <w:tcW w:w="380" w:type="dxa"/>
            <w:vAlign w:val="bottom"/>
          </w:tcPr>
          <w:p>
            <w:pPr>
              <w:spacing w:after="0"/>
              <w:rPr>
                <w:sz w:val="21"/>
                <w:szCs w:val="21"/>
                <w:color w:val="auto"/>
              </w:rPr>
            </w:pPr>
          </w:p>
        </w:tc>
        <w:tc>
          <w:tcPr>
            <w:tcW w:w="3920" w:type="dxa"/>
            <w:vAlign w:val="bottom"/>
            <w:gridSpan w:val="3"/>
          </w:tcPr>
          <w:p>
            <w:pPr>
              <w:ind w:left="3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1600" w:type="dxa"/>
            <w:vAlign w:val="bottom"/>
            <w:gridSpan w:val="3"/>
          </w:tcPr>
          <w:p>
            <w:pPr>
              <w:jc w:val="center"/>
              <w:ind w:left="712"/>
              <w:spacing w:after="0" w:line="243" w:lineRule="exact"/>
              <w:rPr>
                <w:sz w:val="20"/>
                <w:szCs w:val="20"/>
                <w:color w:val="auto"/>
              </w:rPr>
            </w:pPr>
            <w:r>
              <w:rPr>
                <w:rFonts w:ascii="Times New Roman" w:cs="Times New Roman" w:eastAsia="Times New Roman" w:hAnsi="Times New Roman"/>
                <w:sz w:val="22"/>
                <w:szCs w:val="22"/>
                <w:color w:val="auto"/>
                <w:w w:val="97"/>
              </w:rPr>
              <w:t>454,767</w:t>
            </w: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center"/>
              <w:ind w:left="52"/>
              <w:spacing w:after="0" w:line="243" w:lineRule="exact"/>
              <w:rPr>
                <w:sz w:val="20"/>
                <w:szCs w:val="20"/>
                <w:color w:val="auto"/>
              </w:rPr>
            </w:pPr>
            <w:r>
              <w:rPr>
                <w:rFonts w:ascii="Times New Roman" w:cs="Times New Roman" w:eastAsia="Times New Roman" w:hAnsi="Times New Roman"/>
                <w:sz w:val="22"/>
                <w:szCs w:val="22"/>
                <w:color w:val="auto"/>
                <w:w w:val="97"/>
              </w:rPr>
              <w:t>$2.3901 (3)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2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share</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8" w:firstLine="8"/>
        <w:spacing w:after="0" w:line="239" w:lineRule="auto"/>
        <w:tabs>
          <w:tab w:leader="none" w:pos="32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$2.30 to $2.35.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32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$2.31 to $2.35.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207"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32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purchased in multiple transactions within the range of $2.39 to $2.438. The Reporting Persons undertake to provide to the Issuer, any security holder of the Issuer or the staff of the SEC, upon request, full information regarding the number of shares purchased at each separate price within the range set forth in this footnote.</w:t>
      </w:r>
    </w:p>
    <w:sectPr>
      <w:pgSz w:w="11900" w:h="16838" w:orient="portrait"/>
      <w:cols w:equalWidth="0" w:num="1">
        <w:col w:w="11232"/>
      </w:cols>
      <w:pgMar w:left="328" w:top="7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lvl w:ilvl="1">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1."/>
      <w:numFmt w:val="decimal"/>
      <w:start w:val="6"/>
    </w:lvl>
  </w:abstractNum>
  <w:abstractNum w:abstractNumId="4">
    <w:nsid w:val="519B500D"/>
    <w:multiLevelType w:val="hybridMultilevel"/>
    <w:lvl w:ilvl="0">
      <w:lvlJc w:val="left"/>
      <w:lvlText w:val="%1."/>
      <w:numFmt w:val="decimal"/>
      <w:start w:val="7"/>
    </w:lvl>
  </w:abstractNum>
  <w:abstractNum w:abstractNumId="5">
    <w:nsid w:val="431BD7B7"/>
    <w:multiLevelType w:val="hybridMultilevel"/>
    <w:lvl w:ilvl="0">
      <w:lvlJc w:val="left"/>
      <w:lvlText w:val="%1."/>
      <w:numFmt w:val="decimal"/>
      <w:start w:val="13"/>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3"/>
    </w:lvl>
  </w:abstractNum>
  <w:abstractNum w:abstractNumId="8">
    <w:nsid w:val="257130A3"/>
    <w:multiLevelType w:val="hybridMultilevel"/>
    <w:lvl w:ilvl="0">
      <w:lvlJc w:val="left"/>
      <w:lvlText w:val="%1."/>
      <w:numFmt w:val="decimal"/>
      <w:start w:val="6"/>
    </w:lvl>
  </w:abstractNum>
  <w:abstractNum w:abstractNumId="9">
    <w:nsid w:val="62BBD95A"/>
    <w:multiLevelType w:val="hybridMultilevel"/>
    <w:lvl w:ilvl="0">
      <w:lvlJc w:val="left"/>
      <w:lvlText w:val="%1."/>
      <w:numFmt w:val="decimal"/>
      <w:start w:val="7"/>
    </w:lvl>
  </w:abstractNum>
  <w:abstractNum w:abstractNumId="10">
    <w:nsid w:val="436C6125"/>
    <w:multiLevelType w:val="hybridMultilevel"/>
    <w:lvl w:ilvl="0">
      <w:lvlJc w:val="left"/>
      <w:lvlText w:val="%1."/>
      <w:numFmt w:val="decimal"/>
      <w:start w:val="13"/>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3"/>
    </w:lvl>
  </w:abstractNum>
  <w:abstractNum w:abstractNumId="13">
    <w:nsid w:val="721DA317"/>
    <w:multiLevelType w:val="hybridMultilevel"/>
    <w:lvl w:ilvl="0">
      <w:lvlJc w:val="left"/>
      <w:lvlText w:val="%1."/>
      <w:numFmt w:val="decimal"/>
      <w:start w:val="6"/>
    </w:lvl>
  </w:abstractNum>
  <w:abstractNum w:abstractNumId="14">
    <w:nsid w:val="2443A858"/>
    <w:multiLevelType w:val="hybridMultilevel"/>
    <w:lvl w:ilvl="0">
      <w:lvlJc w:val="left"/>
      <w:lvlText w:val="%1."/>
      <w:numFmt w:val="decimal"/>
      <w:start w:val="7"/>
    </w:lvl>
  </w:abstractNum>
  <w:abstractNum w:abstractNumId="15">
    <w:nsid w:val="2D1D5AE9"/>
    <w:multiLevelType w:val="hybridMultilevel"/>
    <w:lvl w:ilvl="0">
      <w:lvlJc w:val="left"/>
      <w:lvlText w:val="%1."/>
      <w:numFmt w:val="decimal"/>
      <w:start w:val="13"/>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3"/>
    </w:lvl>
  </w:abstractNum>
  <w:abstractNum w:abstractNumId="18">
    <w:nsid w:val="8EDBDAB"/>
    <w:multiLevelType w:val="hybridMultilevel"/>
    <w:lvl w:ilvl="0">
      <w:lvlJc w:val="left"/>
      <w:lvlText w:val="%1."/>
      <w:numFmt w:val="decimal"/>
      <w:start w:val="6"/>
    </w:lvl>
  </w:abstractNum>
  <w:abstractNum w:abstractNumId="19">
    <w:nsid w:val="79838CB2"/>
    <w:multiLevelType w:val="hybridMultilevel"/>
    <w:lvl w:ilvl="0">
      <w:lvlJc w:val="left"/>
      <w:lvlText w:val="%1."/>
      <w:numFmt w:val="decimal"/>
      <w:start w:val="7"/>
    </w:lvl>
  </w:abstractNum>
  <w:abstractNum w:abstractNumId="20">
    <w:nsid w:val="4353D0CD"/>
    <w:multiLevelType w:val="hybridMultilevel"/>
    <w:lvl w:ilvl="0">
      <w:lvlJc w:val="left"/>
      <w:lvlText w:val="%1."/>
      <w:numFmt w:val="decimal"/>
      <w:start w:val="13"/>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3"/>
    </w:lvl>
  </w:abstractNum>
  <w:abstractNum w:abstractNumId="23">
    <w:nsid w:val="54E49EB4"/>
    <w:multiLevelType w:val="hybridMultilevel"/>
    <w:lvl w:ilvl="0">
      <w:lvlJc w:val="left"/>
      <w:lvlText w:val="%1."/>
      <w:numFmt w:val="decimal"/>
      <w:start w:val="6"/>
    </w:lvl>
  </w:abstractNum>
  <w:abstractNum w:abstractNumId="24">
    <w:nsid w:val="71F32454"/>
    <w:multiLevelType w:val="hybridMultilevel"/>
    <w:lvl w:ilvl="0">
      <w:lvlJc w:val="left"/>
      <w:lvlText w:val="%1."/>
      <w:numFmt w:val="decimal"/>
      <w:start w:val="7"/>
    </w:lvl>
  </w:abstractNum>
  <w:abstractNum w:abstractNumId="25">
    <w:nsid w:val="2CA88611"/>
    <w:multiLevelType w:val="hybridMultilevel"/>
    <w:lvl w:ilvl="0">
      <w:lvlJc w:val="left"/>
      <w:lvlText w:val="%1."/>
      <w:numFmt w:val="decimal"/>
      <w:start w:val="13"/>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Letter"/>
      <w:start w:val="5"/>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2022-05-25T20:14:20Z</dcterms:created>
  <dcterms:modified xsi:type="dcterms:W3CDTF">2022-05-25T20:14:20Z</dcterms:modified>
</cp:coreProperties>
</file>