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6" w:lineRule="auto"/>
        <w:framePr w:w="1500" w:h="160" w:wrap="auto" w:vAnchor="page" w:hAnchor="page" w:x="5200" w:y="574"/>
        <w:rPr>
          <w:rFonts w:ascii="Arial" w:cs="Arial" w:eastAsia="Arial" w:hAnsi="Arial"/>
          <w:sz w:val="17"/>
          <w:szCs w:val="17"/>
          <w:b w:val="1"/>
          <w:bCs w:val="1"/>
          <w:color w:val="auto"/>
        </w:rPr>
      </w:pPr>
      <w:r>
        <w:rPr>
          <w:rFonts w:ascii="Arial" w:cs="Arial" w:eastAsia="Arial" w:hAnsi="Arial"/>
          <w:sz w:val="17"/>
          <w:szCs w:val="17"/>
          <w:b w:val="1"/>
          <w:bCs w:val="1"/>
          <w:color w:val="auto"/>
        </w:rPr>
        <w:t>UNITED STATES</w:t>
      </w:r>
    </w:p>
    <w:p>
      <w:pPr>
        <w:spacing w:after="0" w:line="185" w:lineRule="auto"/>
        <w:framePr w:w="3960" w:h="160" w:wrap="auto" w:vAnchor="page" w:hAnchor="page" w:x="3980" w:y="790"/>
        <w:rPr>
          <w:rFonts w:ascii="Arial" w:cs="Arial" w:eastAsia="Arial" w:hAnsi="Arial"/>
          <w:sz w:val="18"/>
          <w:szCs w:val="18"/>
          <w:b w:val="1"/>
          <w:bCs w:val="1"/>
          <w:color w:val="auto"/>
        </w:rPr>
      </w:pPr>
      <w:r>
        <w:rPr>
          <w:rFonts w:ascii="Arial" w:cs="Arial" w:eastAsia="Arial" w:hAnsi="Arial"/>
          <w:sz w:val="18"/>
          <w:szCs w:val="18"/>
          <w:b w:val="1"/>
          <w:bCs w:val="1"/>
          <w:color w:val="auto"/>
        </w:rPr>
        <w:t>SECURITIES AND EXCHANGE COMMISSION</w:t>
      </w:r>
    </w:p>
    <w:p>
      <w:pPr>
        <w:spacing w:after="0" w:line="196" w:lineRule="auto"/>
        <w:framePr w:w="2180" w:h="160" w:wrap="auto" w:vAnchor="page" w:hAnchor="page" w:x="4860" w:y="1006"/>
        <w:rPr>
          <w:rFonts w:ascii="Arial" w:cs="Arial" w:eastAsia="Arial" w:hAnsi="Arial"/>
          <w:sz w:val="17"/>
          <w:szCs w:val="17"/>
          <w:b w:val="1"/>
          <w:bCs w:val="1"/>
          <w:color w:val="auto"/>
        </w:rPr>
      </w:pPr>
      <w:r>
        <w:rPr>
          <w:rFonts w:ascii="Arial" w:cs="Arial" w:eastAsia="Arial" w:hAnsi="Arial"/>
          <w:sz w:val="17"/>
          <w:szCs w:val="17"/>
          <w:b w:val="1"/>
          <w:bCs w:val="1"/>
          <w:color w:val="auto"/>
        </w:rPr>
        <w:t>WASHINGTON, DC 20549</w:t>
      </w:r>
    </w:p>
    <w:p>
      <w:pPr>
        <w:spacing w:after="0" w:line="191" w:lineRule="auto"/>
        <w:framePr w:w="1140" w:h="193" w:wrap="auto" w:vAnchor="page" w:hAnchor="page" w:x="5380" w:y="1690"/>
        <w:rPr>
          <w:rFonts w:ascii="Arial" w:cs="Arial" w:eastAsia="Arial" w:hAnsi="Arial"/>
          <w:sz w:val="21"/>
          <w:szCs w:val="21"/>
          <w:b w:val="1"/>
          <w:bCs w:val="1"/>
          <w:color w:val="auto"/>
        </w:rPr>
      </w:pPr>
      <w:r>
        <w:rPr>
          <w:rFonts w:ascii="Arial" w:cs="Arial" w:eastAsia="Arial" w:hAnsi="Arial"/>
          <w:sz w:val="21"/>
          <w:szCs w:val="21"/>
          <w:b w:val="1"/>
          <w:bCs w:val="1"/>
          <w:color w:val="auto"/>
        </w:rPr>
        <w:t>FORM 8-K</w:t>
      </w:r>
    </w:p>
    <w:p>
      <w:pPr>
        <w:spacing w:after="0" w:line="196" w:lineRule="auto"/>
        <w:framePr w:w="3080" w:h="160" w:wrap="auto" w:vAnchor="page" w:hAnchor="page" w:x="4420" w:y="2181"/>
        <w:rPr>
          <w:rFonts w:ascii="Arial" w:cs="Arial" w:eastAsia="Arial" w:hAnsi="Arial"/>
          <w:sz w:val="17"/>
          <w:szCs w:val="17"/>
          <w:b w:val="1"/>
          <w:bCs w:val="1"/>
          <w:color w:val="auto"/>
        </w:rPr>
      </w:pPr>
      <w:r>
        <w:rPr>
          <w:rFonts w:ascii="Arial" w:cs="Arial" w:eastAsia="Arial" w:hAnsi="Arial"/>
          <w:sz w:val="17"/>
          <w:szCs w:val="17"/>
          <w:b w:val="1"/>
          <w:bCs w:val="1"/>
          <w:color w:val="auto"/>
        </w:rPr>
        <w:t>CURRENT REPORT PURSUANT TO</w:t>
      </w:r>
    </w:p>
    <w:p>
      <w:pPr>
        <w:spacing w:after="0" w:line="196" w:lineRule="auto"/>
        <w:framePr w:w="2600" w:h="160" w:wrap="auto" w:vAnchor="page" w:hAnchor="page" w:x="4660" w:y="2397"/>
        <w:rPr>
          <w:rFonts w:ascii="Arial" w:cs="Arial" w:eastAsia="Arial" w:hAnsi="Arial"/>
          <w:sz w:val="17"/>
          <w:szCs w:val="17"/>
          <w:b w:val="1"/>
          <w:bCs w:val="1"/>
          <w:color w:val="auto"/>
        </w:rPr>
      </w:pPr>
      <w:r>
        <w:rPr>
          <w:rFonts w:ascii="Arial" w:cs="Arial" w:eastAsia="Arial" w:hAnsi="Arial"/>
          <w:sz w:val="17"/>
          <w:szCs w:val="17"/>
          <w:b w:val="1"/>
          <w:bCs w:val="1"/>
          <w:color w:val="auto"/>
        </w:rPr>
        <w:t>SECTION 13 OR 15(d) OF THE</w:t>
      </w:r>
    </w:p>
    <w:p>
      <w:pPr>
        <w:spacing w:after="0" w:line="196" w:lineRule="auto"/>
        <w:framePr w:w="3380" w:h="160" w:wrap="auto" w:vAnchor="page" w:hAnchor="page" w:x="4260" w:y="2613"/>
        <w:rPr>
          <w:rFonts w:ascii="Arial" w:cs="Arial" w:eastAsia="Arial" w:hAnsi="Arial"/>
          <w:sz w:val="17"/>
          <w:szCs w:val="17"/>
          <w:b w:val="1"/>
          <w:bCs w:val="1"/>
          <w:color w:val="auto"/>
        </w:rPr>
      </w:pPr>
      <w:r>
        <w:rPr>
          <w:rFonts w:ascii="Arial" w:cs="Arial" w:eastAsia="Arial" w:hAnsi="Arial"/>
          <w:sz w:val="17"/>
          <w:szCs w:val="17"/>
          <w:b w:val="1"/>
          <w:bCs w:val="1"/>
          <w:color w:val="auto"/>
        </w:rPr>
        <w:t>SECURITIES EXCHANGE ACT OF 1934</w:t>
      </w:r>
    </w:p>
    <w:p>
      <w:pPr>
        <w:spacing w:after="0" w:line="209" w:lineRule="auto"/>
        <w:framePr w:w="4740" w:h="160" w:wrap="auto" w:vAnchor="page" w:hAnchor="page" w:x="3580" w:y="3315"/>
        <w:rPr>
          <w:rFonts w:ascii="Arial" w:cs="Arial" w:eastAsia="Arial" w:hAnsi="Arial"/>
          <w:sz w:val="16"/>
          <w:szCs w:val="16"/>
          <w:b w:val="1"/>
          <w:bCs w:val="1"/>
          <w:color w:val="auto"/>
        </w:rPr>
      </w:pPr>
      <w:r>
        <w:rPr>
          <w:rFonts w:ascii="Arial" w:cs="Arial" w:eastAsia="Arial" w:hAnsi="Arial"/>
          <w:sz w:val="16"/>
          <w:szCs w:val="16"/>
          <w:b w:val="1"/>
          <w:bCs w:val="1"/>
          <w:color w:val="auto"/>
        </w:rPr>
        <w:t>Date of Report (Date of earliest event reported): August 7, 2012</w:t>
      </w:r>
    </w:p>
    <w:p>
      <w:pPr>
        <w:spacing w:after="0" w:line="185" w:lineRule="auto"/>
        <w:framePr w:w="1540" w:h="321" w:wrap="auto" w:vAnchor="page" w:hAnchor="page" w:x="5180" w:y="5005"/>
        <w:rPr>
          <w:rFonts w:ascii="Arial" w:cs="Arial" w:eastAsia="Arial" w:hAnsi="Arial"/>
          <w:sz w:val="36"/>
          <w:szCs w:val="36"/>
          <w:b w:val="1"/>
          <w:bCs w:val="1"/>
          <w:u w:val="single" w:color="auto"/>
          <w:color w:val="auto"/>
        </w:rPr>
      </w:pPr>
      <w:r>
        <w:rPr>
          <w:rFonts w:ascii="Arial" w:cs="Arial" w:eastAsia="Arial" w:hAnsi="Arial"/>
          <w:sz w:val="36"/>
          <w:szCs w:val="36"/>
          <w:b w:val="1"/>
          <w:bCs w:val="1"/>
          <w:u w:val="single" w:color="auto"/>
          <w:color w:val="auto"/>
        </w:rPr>
        <w:t>NN, INC.</w:t>
      </w:r>
    </w:p>
    <w:p>
      <w:pPr>
        <w:spacing w:after="0" w:line="200" w:lineRule="exact"/>
        <w:rPr>
          <w:rFonts w:ascii="Arial" w:cs="Arial" w:eastAsia="Arial" w:hAnsi="Arial"/>
          <w:sz w:val="36"/>
          <w:szCs w:val="36"/>
          <w:b w:val="1"/>
          <w:bCs w:val="1"/>
          <w:u w:val="single" w:color="auto"/>
          <w:color w:val="auto"/>
        </w:rPr>
      </w:pPr>
      <w:r>
        <w:rPr>
          <w:rFonts w:ascii="Arial" w:cs="Arial" w:eastAsia="Arial" w:hAnsi="Arial"/>
          <w:sz w:val="36"/>
          <w:szCs w:val="3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3442335</wp:posOffset>
            </wp:positionH>
            <wp:positionV relativeFrom="page">
              <wp:posOffset>843280</wp:posOffset>
            </wp:positionV>
            <wp:extent cx="6775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page">
              <wp:posOffset>3467735</wp:posOffset>
            </wp:positionH>
            <wp:positionV relativeFrom="page">
              <wp:posOffset>2395855</wp:posOffset>
            </wp:positionV>
            <wp:extent cx="62611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366" w:lineRule="exact"/>
        <w:rPr>
          <w:rFonts w:ascii="Arial" w:cs="Arial" w:eastAsia="Arial" w:hAnsi="Arial"/>
          <w:sz w:val="36"/>
          <w:szCs w:val="36"/>
          <w:b w:val="1"/>
          <w:bCs w:val="1"/>
          <w:u w:val="single" w:color="auto"/>
          <w:color w:val="auto"/>
        </w:rPr>
      </w:pPr>
    </w:p>
    <w:tbl>
      <w:tblPr>
        <w:tblLayout w:type="fixed"/>
        <w:tblInd w:w="26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20" w:type="dxa"/>
            <w:vAlign w:val="bottom"/>
            <w:gridSpan w:val="5"/>
          </w:tcPr>
          <w:p>
            <w:pPr>
              <w:ind w:left="1540"/>
              <w:spacing w:after="0"/>
              <w:rPr>
                <w:sz w:val="20"/>
                <w:szCs w:val="20"/>
                <w:color w:val="auto"/>
              </w:rPr>
            </w:pPr>
            <w:r>
              <w:rPr>
                <w:rFonts w:ascii="Arial" w:cs="Arial" w:eastAsia="Arial" w:hAnsi="Arial"/>
                <w:sz w:val="18"/>
                <w:szCs w:val="18"/>
                <w:color w:val="auto"/>
                <w:w w:val="96"/>
              </w:rPr>
              <w:t>(Exact name of registrant as specified in its charter)</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19"/>
        </w:trPr>
        <w:tc>
          <w:tcPr>
            <w:tcW w:w="13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1960" w:type="dxa"/>
            <w:vAlign w:val="bottom"/>
            <w:gridSpan w:val="2"/>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0-23486</w:t>
            </w:r>
          </w:p>
        </w:tc>
        <w:tc>
          <w:tcPr>
            <w:tcW w:w="1860" w:type="dxa"/>
            <w:vAlign w:val="bottom"/>
          </w:tcPr>
          <w:p>
            <w:pPr>
              <w:spacing w:after="0"/>
              <w:rPr>
                <w:sz w:val="24"/>
                <w:szCs w:val="24"/>
                <w:color w:val="auto"/>
              </w:rPr>
            </w:pPr>
          </w:p>
        </w:tc>
        <w:tc>
          <w:tcPr>
            <w:tcW w:w="2860" w:type="dxa"/>
            <w:vAlign w:val="bottom"/>
            <w:gridSpan w:val="5"/>
          </w:tcPr>
          <w:p>
            <w:pPr>
              <w:jc w:val="right"/>
              <w:ind w:right="880"/>
              <w:spacing w:after="0"/>
              <w:rPr>
                <w:sz w:val="20"/>
                <w:szCs w:val="20"/>
                <w:color w:val="auto"/>
              </w:rPr>
            </w:pPr>
            <w:r>
              <w:rPr>
                <w:rFonts w:ascii="Arial" w:cs="Arial" w:eastAsia="Arial" w:hAnsi="Arial"/>
                <w:sz w:val="18"/>
                <w:szCs w:val="18"/>
                <w:color w:val="auto"/>
              </w:rPr>
              <w:t>62-1096725</w:t>
            </w:r>
          </w:p>
        </w:tc>
      </w:tr>
      <w:tr>
        <w:trPr>
          <w:trHeight w:val="20"/>
        </w:trPr>
        <w:tc>
          <w:tcPr>
            <w:tcW w:w="1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64"/>
        </w:trPr>
        <w:tc>
          <w:tcPr>
            <w:tcW w:w="4040" w:type="dxa"/>
            <w:vAlign w:val="bottom"/>
            <w:gridSpan w:val="4"/>
          </w:tcPr>
          <w:p>
            <w:pPr>
              <w:jc w:val="center"/>
              <w:ind w:right="560"/>
              <w:spacing w:after="0"/>
              <w:rPr>
                <w:sz w:val="20"/>
                <w:szCs w:val="20"/>
                <w:color w:val="auto"/>
              </w:rPr>
            </w:pPr>
            <w:r>
              <w:rPr>
                <w:rFonts w:ascii="Arial" w:cs="Arial" w:eastAsia="Arial" w:hAnsi="Arial"/>
                <w:sz w:val="18"/>
                <w:szCs w:val="18"/>
                <w:color w:val="auto"/>
                <w:w w:val="92"/>
              </w:rPr>
              <w:t>(State or Other Jurisdiction of Incorporation)</w:t>
            </w:r>
          </w:p>
        </w:tc>
        <w:tc>
          <w:tcPr>
            <w:tcW w:w="3560" w:type="dxa"/>
            <w:vAlign w:val="bottom"/>
            <w:gridSpan w:val="3"/>
          </w:tcPr>
          <w:p>
            <w:pPr>
              <w:jc w:val="center"/>
              <w:ind w:right="780"/>
              <w:spacing w:after="0"/>
              <w:rPr>
                <w:sz w:val="20"/>
                <w:szCs w:val="20"/>
                <w:color w:val="auto"/>
              </w:rPr>
            </w:pPr>
            <w:r>
              <w:rPr>
                <w:rFonts w:ascii="Arial" w:cs="Arial" w:eastAsia="Arial" w:hAnsi="Arial"/>
                <w:sz w:val="18"/>
                <w:szCs w:val="18"/>
                <w:color w:val="auto"/>
                <w:w w:val="92"/>
              </w:rPr>
              <w:t>(Commission File Number)</w:t>
            </w:r>
          </w:p>
        </w:tc>
        <w:tc>
          <w:tcPr>
            <w:tcW w:w="2860" w:type="dxa"/>
            <w:vAlign w:val="bottom"/>
            <w:gridSpan w:val="5"/>
          </w:tcPr>
          <w:p>
            <w:pPr>
              <w:jc w:val="center"/>
              <w:ind w:left="15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4040" w:type="dxa"/>
            <w:vAlign w:val="bottom"/>
            <w:gridSpan w:val="4"/>
          </w:tcPr>
          <w:p>
            <w:pPr>
              <w:jc w:val="center"/>
              <w:ind w:right="420"/>
              <w:spacing w:after="0"/>
              <w:rPr>
                <w:sz w:val="20"/>
                <w:szCs w:val="20"/>
                <w:color w:val="auto"/>
              </w:rPr>
            </w:pPr>
            <w:r>
              <w:rPr>
                <w:rFonts w:ascii="Arial" w:cs="Arial" w:eastAsia="Arial" w:hAnsi="Arial"/>
                <w:sz w:val="18"/>
                <w:szCs w:val="18"/>
                <w:color w:val="auto"/>
                <w:w w:val="88"/>
              </w:rPr>
              <w:t>2000 Waters Edge Drive, Johnson City, Tennessee</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80" w:type="dxa"/>
            <w:vAlign w:val="bottom"/>
            <w:gridSpan w:val="4"/>
          </w:tcPr>
          <w:p>
            <w:pPr>
              <w:jc w:val="right"/>
              <w:ind w:right="280"/>
              <w:spacing w:after="0"/>
              <w:rPr>
                <w:sz w:val="20"/>
                <w:szCs w:val="20"/>
                <w:color w:val="auto"/>
              </w:rPr>
            </w:pPr>
            <w:r>
              <w:rPr>
                <w:rFonts w:ascii="Arial" w:cs="Arial" w:eastAsia="Arial" w:hAnsi="Arial"/>
                <w:sz w:val="18"/>
                <w:szCs w:val="18"/>
                <w:color w:val="auto"/>
              </w:rPr>
              <w:t>37604</w:t>
            </w:r>
          </w:p>
        </w:tc>
        <w:tc>
          <w:tcPr>
            <w:tcW w:w="880" w:type="dxa"/>
            <w:vAlign w:val="bottom"/>
          </w:tcPr>
          <w:p>
            <w:pPr>
              <w:spacing w:after="0"/>
              <w:rPr>
                <w:sz w:val="24"/>
                <w:szCs w:val="24"/>
                <w:color w:val="auto"/>
              </w:rPr>
            </w:pPr>
          </w:p>
        </w:tc>
      </w:tr>
      <w:tr>
        <w:trPr>
          <w:trHeight w:val="20"/>
        </w:trPr>
        <w:tc>
          <w:tcPr>
            <w:tcW w:w="362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26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860" w:type="dxa"/>
            <w:vAlign w:val="bottom"/>
            <w:gridSpan w:val="5"/>
          </w:tcPr>
          <w:p>
            <w:pPr>
              <w:jc w:val="center"/>
              <w:ind w:left="1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rFonts w:ascii="Arial" w:cs="Arial" w:eastAsia="Arial" w:hAnsi="Arial"/>
          <w:sz w:val="36"/>
          <w:szCs w:val="36"/>
          <w:b w:val="1"/>
          <w:bCs w:val="1"/>
          <w:u w:val="single" w:color="auto"/>
          <w:color w:val="auto"/>
        </w:rPr>
      </w:pPr>
    </w:p>
    <w:p>
      <w:pPr>
        <w:jc w:val="center"/>
        <w:ind w:right="-79"/>
        <w:spacing w:after="0"/>
        <w:rPr>
          <w:sz w:val="20"/>
          <w:szCs w:val="20"/>
          <w:color w:val="auto"/>
        </w:rPr>
      </w:pPr>
      <w:r>
        <w:rPr>
          <w:rFonts w:ascii="Arial" w:cs="Arial" w:eastAsia="Arial" w:hAnsi="Arial"/>
          <w:sz w:val="18"/>
          <w:szCs w:val="18"/>
          <w:u w:val="single" w:color="auto"/>
          <w:color w:val="auto"/>
        </w:rPr>
        <w:t>(423) 743-9151</w:t>
      </w:r>
    </w:p>
    <w:p>
      <w:pPr>
        <w:spacing w:after="0" w:line="23" w:lineRule="exact"/>
        <w:rPr>
          <w:rFonts w:ascii="Arial" w:cs="Arial" w:eastAsia="Arial" w:hAnsi="Arial"/>
          <w:sz w:val="36"/>
          <w:szCs w:val="36"/>
          <w:b w:val="1"/>
          <w:bCs w:val="1"/>
          <w:u w:val="single" w:color="auto"/>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rFonts w:ascii="Arial" w:cs="Arial" w:eastAsia="Arial" w:hAnsi="Arial"/>
          <w:sz w:val="36"/>
          <w:szCs w:val="36"/>
          <w:b w:val="1"/>
          <w:bCs w:val="1"/>
          <w:u w:val="single" w:color="auto"/>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rFonts w:ascii="Arial" w:cs="Arial" w:eastAsia="Arial" w:hAnsi="Arial"/>
          <w:sz w:val="36"/>
          <w:szCs w:val="36"/>
          <w:b w:val="1"/>
          <w:bCs w:val="1"/>
          <w:u w:val="single" w:color="auto"/>
          <w:color w:val="auto"/>
        </w:rPr>
      </w:pPr>
    </w:p>
    <w:p>
      <w:pPr>
        <w:spacing w:after="0" w:line="295" w:lineRule="exact"/>
        <w:rPr>
          <w:rFonts w:ascii="Arial" w:cs="Arial" w:eastAsia="Arial" w:hAnsi="Arial"/>
          <w:sz w:val="36"/>
          <w:szCs w:val="36"/>
          <w:b w:val="1"/>
          <w:bCs w:val="1"/>
          <w:u w:val="single" w:color="auto"/>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97" w:lineRule="exact"/>
        <w:rPr>
          <w:rFonts w:ascii="Arial" w:cs="Arial" w:eastAsia="Arial" w:hAnsi="Arial"/>
          <w:sz w:val="36"/>
          <w:szCs w:val="36"/>
          <w:b w:val="1"/>
          <w:bCs w:val="1"/>
          <w:u w:val="single" w:color="auto"/>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0" w:lineRule="exact"/>
        <w:rPr>
          <w:rFonts w:ascii="Arial" w:cs="Arial" w:eastAsia="Arial" w:hAnsi="Arial"/>
          <w:sz w:val="36"/>
          <w:szCs w:val="36"/>
          <w:b w:val="1"/>
          <w:bCs w:val="1"/>
          <w:u w:val="single" w:color="auto"/>
          <w:color w:val="auto"/>
        </w:rPr>
      </w:pPr>
    </w:p>
    <w:tbl>
      <w:tblPr>
        <w:tblLayout w:type="fixed"/>
        <w:tblInd w:w="0" w:type="dxa"/>
        <w:tblCellMar>
          <w:top w:w="0" w:type="dxa"/>
          <w:left w:w="0" w:type="dxa"/>
          <w:bottom w:w="0" w:type="dxa"/>
          <w:right w:w="0" w:type="dxa"/>
        </w:tblCellMar>
      </w:tblPr>
      <w:tr>
        <w:trPr>
          <w:trHeight w:val="283"/>
        </w:trPr>
        <w:tc>
          <w:tcPr>
            <w:tcW w:w="420" w:type="dxa"/>
            <w:vAlign w:val="bottom"/>
            <w:gridSpan w:val="2"/>
          </w:tcPr>
          <w:p>
            <w:pPr>
              <w:jc w:val="right"/>
              <w:ind w:right="175"/>
              <w:spacing w:after="0" w:line="181" w:lineRule="exact"/>
              <w:rPr>
                <w:sz w:val="20"/>
                <w:szCs w:val="20"/>
                <w:color w:val="auto"/>
              </w:rPr>
            </w:pPr>
            <w:r>
              <w:rPr>
                <w:rFonts w:ascii="MS PGothic" w:cs="MS PGothic" w:eastAsia="MS PGothic" w:hAnsi="MS PGothic"/>
                <w:sz w:val="18"/>
                <w:szCs w:val="18"/>
                <w:color w:val="auto"/>
                <w:w w:val="77"/>
              </w:rPr>
              <w:t>☐</w:t>
            </w:r>
          </w:p>
        </w:tc>
        <w:tc>
          <w:tcPr>
            <w:tcW w:w="8060" w:type="dxa"/>
            <w:vAlign w:val="bottom"/>
          </w:tcPr>
          <w:p>
            <w:pPr>
              <w:ind w:left="240"/>
              <w:spacing w:after="0"/>
              <w:rPr>
                <w:sz w:val="20"/>
                <w:szCs w:val="20"/>
                <w:color w:val="auto"/>
              </w:rPr>
            </w:pPr>
            <w:r>
              <w:rPr>
                <w:rFonts w:ascii="Arial" w:cs="Arial" w:eastAsia="Arial" w:hAnsi="Arial"/>
                <w:sz w:val="18"/>
                <w:szCs w:val="18"/>
                <w:color w:val="auto"/>
                <w:w w:val="91"/>
              </w:rPr>
              <w:t>Pre-commencement communications pursuant to Rule 14d-2(b) under the Exchange Act (17 CFR 240.14d-</w:t>
            </w:r>
          </w:p>
        </w:tc>
        <w:tc>
          <w:tcPr>
            <w:tcW w:w="2940" w:type="dxa"/>
            <w:vAlign w:val="bottom"/>
            <w:gridSpan w:val="2"/>
          </w:tcPr>
          <w:p>
            <w:pPr>
              <w:ind w:left="120"/>
              <w:spacing w:after="0"/>
              <w:rPr>
                <w:sz w:val="20"/>
                <w:szCs w:val="20"/>
                <w:color w:val="auto"/>
              </w:rPr>
            </w:pPr>
            <w:r>
              <w:rPr>
                <w:rFonts w:ascii="Arial" w:cs="Arial" w:eastAsia="Arial" w:hAnsi="Arial"/>
                <w:sz w:val="18"/>
                <w:szCs w:val="18"/>
                <w:color w:val="auto"/>
              </w:rPr>
              <w:t>2(b))</w:t>
            </w: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400" w:type="dxa"/>
            <w:vAlign w:val="bottom"/>
            <w:vMerge w:val="restart"/>
          </w:tcPr>
          <w:p>
            <w:pPr>
              <w:jc w:val="right"/>
              <w:ind w:right="175"/>
              <w:spacing w:after="0" w:line="171" w:lineRule="exact"/>
              <w:rPr>
                <w:sz w:val="20"/>
                <w:szCs w:val="20"/>
                <w:color w:val="auto"/>
              </w:rPr>
            </w:pPr>
            <w:r>
              <w:rPr>
                <w:rFonts w:ascii="MS PGothic" w:cs="MS PGothic" w:eastAsia="MS PGothic" w:hAnsi="MS PGothic"/>
                <w:sz w:val="17"/>
                <w:szCs w:val="17"/>
                <w:color w:val="auto"/>
                <w:w w:val="70"/>
              </w:rPr>
              <w:t>☐</w:t>
            </w:r>
          </w:p>
        </w:tc>
        <w:tc>
          <w:tcPr>
            <w:tcW w:w="8060" w:type="dxa"/>
            <w:vAlign w:val="bottom"/>
            <w:vMerge w:val="restart"/>
          </w:tcPr>
          <w:p>
            <w:pPr>
              <w:ind w:left="240"/>
              <w:spacing w:after="0"/>
              <w:rPr>
                <w:sz w:val="20"/>
                <w:szCs w:val="20"/>
                <w:color w:val="auto"/>
              </w:rPr>
            </w:pPr>
            <w:r>
              <w:rPr>
                <w:rFonts w:ascii="Arial" w:cs="Arial" w:eastAsia="Arial" w:hAnsi="Arial"/>
                <w:sz w:val="18"/>
                <w:szCs w:val="18"/>
                <w:color w:val="auto"/>
                <w:w w:val="91"/>
              </w:rPr>
              <w:t>Pre-commencement communications pursuant to Rule 13e-4(c) under the Exchange Act (17 CFR 240.13e-</w:t>
            </w:r>
          </w:p>
        </w:tc>
        <w:tc>
          <w:tcPr>
            <w:tcW w:w="2920" w:type="dxa"/>
            <w:vAlign w:val="bottom"/>
            <w:vMerge w:val="restart"/>
          </w:tcPr>
          <w:p>
            <w:pPr>
              <w:ind w:left="100"/>
              <w:spacing w:after="0"/>
              <w:rPr>
                <w:sz w:val="20"/>
                <w:szCs w:val="20"/>
                <w:color w:val="auto"/>
              </w:rPr>
            </w:pPr>
            <w:r>
              <w:rPr>
                <w:rFonts w:ascii="Arial" w:cs="Arial" w:eastAsia="Arial" w:hAnsi="Arial"/>
                <w:sz w:val="18"/>
                <w:szCs w:val="18"/>
                <w:color w:val="auto"/>
              </w:rPr>
              <w:t>4(c))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20" w:type="dxa"/>
            <w:vAlign w:val="bottom"/>
            <w:shd w:val="clear" w:color="auto" w:fill="808080"/>
          </w:tcPr>
          <w:p>
            <w:pPr>
              <w:spacing w:after="0"/>
              <w:rPr>
                <w:sz w:val="6"/>
                <w:szCs w:val="6"/>
                <w:color w:val="auto"/>
              </w:rPr>
            </w:pPr>
          </w:p>
        </w:tc>
        <w:tc>
          <w:tcPr>
            <w:tcW w:w="400" w:type="dxa"/>
            <w:vAlign w:val="bottom"/>
            <w:vMerge w:val="continue"/>
          </w:tcPr>
          <w:p>
            <w:pPr>
              <w:spacing w:after="0"/>
              <w:rPr>
                <w:sz w:val="6"/>
                <w:szCs w:val="6"/>
                <w:color w:val="auto"/>
              </w:rPr>
            </w:pPr>
          </w:p>
        </w:tc>
        <w:tc>
          <w:tcPr>
            <w:tcW w:w="8060" w:type="dxa"/>
            <w:vAlign w:val="bottom"/>
            <w:vMerge w:val="continue"/>
          </w:tcPr>
          <w:p>
            <w:pPr>
              <w:spacing w:after="0"/>
              <w:rPr>
                <w:sz w:val="6"/>
                <w:szCs w:val="6"/>
                <w:color w:val="auto"/>
              </w:rPr>
            </w:pPr>
          </w:p>
        </w:tc>
        <w:tc>
          <w:tcPr>
            <w:tcW w:w="2920" w:type="dxa"/>
            <w:vAlign w:val="bottom"/>
            <w:vMerge w:val="continue"/>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753"/>
        </w:trPr>
        <w:tc>
          <w:tcPr>
            <w:tcW w:w="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06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36"/>
          <w:szCs w:val="36"/>
          <w:b w:val="1"/>
          <w:bCs w:val="1"/>
          <w:u w:val="single" w:color="auto"/>
          <w:color w:val="auto"/>
        </w:rPr>
      </w:pPr>
      <w:r>
        <w:rPr>
          <w:rFonts w:ascii="Arial" w:cs="Arial" w:eastAsia="Arial" w:hAnsi="Arial"/>
          <w:sz w:val="36"/>
          <w:szCs w:val="36"/>
          <w:b w:val="1"/>
          <w:bCs w:val="1"/>
          <w:u w:val="single" w:color="auto"/>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50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RESULTS OF OPERATIONS AND FINANCIAL CONDITION</w:t>
            </w:r>
          </w:p>
        </w:tc>
        <w:tc>
          <w:tcPr>
            <w:tcW w:w="0" w:type="dxa"/>
            <w:vAlign w:val="bottom"/>
          </w:tcPr>
          <w:p>
            <w:pPr>
              <w:spacing w:after="0"/>
              <w:rPr>
                <w:sz w:val="1"/>
                <w:szCs w:val="1"/>
                <w:color w:val="auto"/>
              </w:rPr>
            </w:pPr>
          </w:p>
        </w:tc>
      </w:tr>
      <w:tr>
        <w:trPr>
          <w:trHeight w:val="126"/>
        </w:trPr>
        <w:tc>
          <w:tcPr>
            <w:tcW w:w="480" w:type="dxa"/>
            <w:vAlign w:val="bottom"/>
            <w:vMerge w:val="restart"/>
          </w:tcPr>
          <w:p>
            <w:pPr>
              <w:spacing w:after="0"/>
              <w:rPr>
                <w:sz w:val="20"/>
                <w:szCs w:val="20"/>
                <w:color w:val="auto"/>
              </w:rPr>
            </w:pPr>
            <w:r>
              <w:rPr>
                <w:rFonts w:ascii="Arial" w:cs="Arial" w:eastAsia="Arial" w:hAnsi="Arial"/>
                <w:sz w:val="18"/>
                <w:szCs w:val="18"/>
                <w:b w:val="1"/>
                <w:bCs w:val="1"/>
                <w:color w:val="auto"/>
              </w:rPr>
              <w:t>2.02</w:t>
            </w:r>
          </w:p>
        </w:tc>
        <w:tc>
          <w:tcPr>
            <w:tcW w:w="5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vMerge w:val="continue"/>
          </w:tcPr>
          <w:p>
            <w:pPr>
              <w:spacing w:after="0"/>
              <w:rPr>
                <w:sz w:val="9"/>
                <w:szCs w:val="9"/>
                <w:color w:val="auto"/>
              </w:rPr>
            </w:pPr>
          </w:p>
        </w:tc>
        <w:tc>
          <w:tcPr>
            <w:tcW w:w="5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August 7, 2012, NN, Inc. (the “Company”) issued a press release, announcing the Company’s results of operations and financial condition for the second quarter ended June 30, 2012. The full text of the press release is furnished as Exhibit 99.1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37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126"/>
        </w:trPr>
        <w:tc>
          <w:tcPr>
            <w:tcW w:w="480" w:type="dxa"/>
            <w:vAlign w:val="bottom"/>
            <w:vMerge w:val="restart"/>
          </w:tcPr>
          <w:p>
            <w:pPr>
              <w:spacing w:after="0"/>
              <w:rPr>
                <w:sz w:val="20"/>
                <w:szCs w:val="20"/>
                <w:color w:val="auto"/>
              </w:rPr>
            </w:pPr>
            <w:r>
              <w:rPr>
                <w:rFonts w:ascii="Arial" w:cs="Arial" w:eastAsia="Arial" w:hAnsi="Arial"/>
                <w:sz w:val="18"/>
                <w:szCs w:val="18"/>
                <w:b w:val="1"/>
                <w:bCs w:val="1"/>
                <w:color w:val="auto"/>
              </w:rPr>
              <w:t>9.01</w:t>
            </w:r>
          </w:p>
        </w:tc>
        <w:tc>
          <w:tcPr>
            <w:tcW w:w="3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vMerge w:val="continue"/>
          </w:tcPr>
          <w:p>
            <w:pPr>
              <w:spacing w:after="0"/>
              <w:rPr>
                <w:sz w:val="9"/>
                <w:szCs w:val="9"/>
                <w:color w:val="auto"/>
              </w:rPr>
            </w:pPr>
          </w:p>
        </w:tc>
        <w:tc>
          <w:tcPr>
            <w:tcW w:w="3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spacing w:after="0"/>
        <w:rPr>
          <w:sz w:val="20"/>
          <w:szCs w:val="20"/>
          <w:color w:val="auto"/>
        </w:rPr>
      </w:pPr>
      <w:r>
        <w:rPr>
          <w:rFonts w:ascii="Arial" w:cs="Arial" w:eastAsia="Arial" w:hAnsi="Arial"/>
          <w:sz w:val="36"/>
          <w:szCs w:val="36"/>
          <w:b w:val="1"/>
          <w:bCs w:val="1"/>
          <w:u w:val="single" w:color="auto"/>
          <w:color w:val="auto"/>
          <w:vertAlign w:val="superscript"/>
        </w:rPr>
        <w:t>Exhibit</w:t>
      </w:r>
      <w:r>
        <w:rPr>
          <w:rFonts w:ascii="Arial" w:cs="Arial" w:eastAsia="Arial" w:hAnsi="Arial"/>
          <w:sz w:val="18"/>
          <w:szCs w:val="18"/>
          <w:b w:val="1"/>
          <w:bCs w:val="1"/>
          <w:u w:val="single" w:color="auto"/>
          <w:color w:val="auto"/>
        </w:rPr>
        <w:t>Description</w:t>
      </w:r>
    </w:p>
    <w:p>
      <w:pPr>
        <w:spacing w:after="0"/>
        <w:rPr>
          <w:sz w:val="20"/>
          <w:szCs w:val="20"/>
          <w:color w:val="auto"/>
        </w:rPr>
      </w:pPr>
      <w:r>
        <w:rPr>
          <w:rFonts w:ascii="Arial" w:cs="Arial" w:eastAsia="Arial" w:hAnsi="Arial"/>
          <w:sz w:val="18"/>
          <w:szCs w:val="18"/>
          <w:b w:val="1"/>
          <w:bCs w:val="1"/>
          <w:u w:val="single" w:color="auto"/>
          <w:color w:val="auto"/>
        </w:rPr>
        <w:t>No.</w:t>
      </w:r>
    </w:p>
    <w:p>
      <w:pPr>
        <w:spacing w:after="0" w:line="20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NN, Inc. dated August 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72" w:right="3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2012</w:t>
      </w:r>
    </w:p>
    <w:p>
      <w:pPr>
        <w:spacing w:after="0" w:line="200" w:lineRule="exact"/>
        <w:rPr>
          <w:sz w:val="20"/>
          <w:szCs w:val="20"/>
          <w:color w:val="auto"/>
        </w:rPr>
      </w:pPr>
    </w:p>
    <w:p>
      <w:pPr>
        <w:spacing w:after="0" w:line="29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NN, Inc.</w:t>
      </w:r>
    </w:p>
    <w:p>
      <w:pPr>
        <w:spacing w:after="0" w:line="200" w:lineRule="exact"/>
        <w:rPr>
          <w:sz w:val="20"/>
          <w:szCs w:val="20"/>
          <w:color w:val="auto"/>
        </w:rPr>
      </w:pPr>
    </w:p>
    <w:p>
      <w:pPr>
        <w:spacing w:after="0" w:line="29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13036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William C. Kelly, Jr.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Vice President and Chief</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Administrative Officer</w:t>
      </w:r>
    </w:p>
    <w:p>
      <w:pPr>
        <w:sectPr>
          <w:pgSz w:w="11900" w:h="16838" w:orient="portrait"/>
          <w:cols w:equalWidth="0" w:num="1">
            <w:col w:w="11220"/>
          </w:cols>
          <w:pgMar w:left="240" w:top="513" w:right="439" w:bottom="1440" w:gutter="0" w:footer="0" w:header="0"/>
        </w:sectPr>
      </w:pPr>
    </w:p>
    <w:bookmarkStart w:id="3" w:name="page4"/>
    <w:bookmarkEnd w:id="3"/>
    <w:p>
      <w:pPr>
        <w:ind w:left="10060"/>
        <w:spacing w:after="0"/>
        <w:rPr>
          <w:sz w:val="20"/>
          <w:szCs w:val="20"/>
          <w:color w:val="auto"/>
        </w:rPr>
      </w:pPr>
      <w:r>
        <w:rPr>
          <w:rFonts w:ascii="Arial" w:cs="Arial" w:eastAsia="Arial" w:hAnsi="Arial"/>
          <w:sz w:val="22"/>
          <w:szCs w:val="22"/>
          <w:b w:val="1"/>
          <w:bCs w:val="1"/>
          <w:color w:val="auto"/>
        </w:rPr>
        <w:t>EXHIBIT 99.1</w:t>
      </w:r>
    </w:p>
    <w:p>
      <w:pPr>
        <w:sectPr>
          <w:pgSz w:w="11900" w:h="16838" w:orient="portrait"/>
          <w:cols w:equalWidth="0" w:num="1">
            <w:col w:w="11420"/>
          </w:cols>
          <w:pgMar w:left="240" w:top="112" w:right="239" w:bottom="1440" w:gutter="0" w:footer="0" w:header="0"/>
        </w:sectPr>
      </w:pPr>
    </w:p>
    <w:p>
      <w:pPr>
        <w:spacing w:after="0" w:line="359" w:lineRule="exact"/>
        <w:rPr>
          <w:sz w:val="20"/>
          <w:szCs w:val="20"/>
          <w:color w:val="auto"/>
        </w:rPr>
      </w:pPr>
    </w:p>
    <w:p>
      <w:pPr>
        <w:spacing w:after="0"/>
        <w:rPr>
          <w:sz w:val="20"/>
          <w:szCs w:val="20"/>
          <w:color w:val="auto"/>
        </w:rPr>
      </w:pPr>
      <w:r>
        <w:rPr>
          <w:rFonts w:ascii="Arial" w:cs="Arial" w:eastAsia="Arial" w:hAnsi="Arial"/>
          <w:sz w:val="28"/>
          <w:szCs w:val="28"/>
          <w:color w:val="auto"/>
        </w:rPr>
        <w:t>F I N A N C I A L</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RELATIONS BOARD</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63"/>
          <w:szCs w:val="63"/>
          <w:color w:val="auto"/>
        </w:rPr>
        <w:t>n e w s</w:t>
      </w:r>
    </w:p>
    <w:p>
      <w:pPr>
        <w:spacing w:after="0" w:line="228" w:lineRule="exact"/>
        <w:rPr>
          <w:sz w:val="20"/>
          <w:szCs w:val="20"/>
          <w:color w:val="auto"/>
        </w:rPr>
      </w:pPr>
    </w:p>
    <w:p>
      <w:pPr>
        <w:sectPr>
          <w:pgSz w:w="11900" w:h="16838" w:orient="portrait"/>
          <w:cols w:equalWidth="0" w:num="2">
            <w:col w:w="8420" w:space="720"/>
            <w:col w:w="2280"/>
          </w:cols>
          <w:pgMar w:left="240" w:top="112" w:right="239" w:bottom="1440" w:gutter="0" w:footer="0" w:header="0"/>
          <w:type w:val="continuous"/>
        </w:sectPr>
      </w:pPr>
    </w:p>
    <w:p>
      <w:pPr>
        <w:spacing w:after="0" w:line="400"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2000 Waters Edge Drive</w:t>
      </w:r>
    </w:p>
    <w:p>
      <w:pPr>
        <w:spacing w:after="0" w:line="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Johnson City, TN 37604</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w:t>
      </w:r>
    </w:p>
    <w:p>
      <w:pPr>
        <w:spacing w:after="0" w:line="238"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AT FINANCIAL RELATIONS BOARD</w:t>
      </w:r>
    </w:p>
    <w:p>
      <w:pPr>
        <w:spacing w:after="0" w:line="13"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Will Kelly</w:t>
      </w:r>
      <w:r>
        <w:rPr>
          <w:sz w:val="20"/>
          <w:szCs w:val="20"/>
          <w:color w:val="auto"/>
        </w:rPr>
        <w:tab/>
      </w:r>
      <w:r>
        <w:rPr>
          <w:rFonts w:ascii="Arial" w:cs="Arial" w:eastAsia="Arial" w:hAnsi="Arial"/>
          <w:sz w:val="17"/>
          <w:szCs w:val="17"/>
          <w:color w:val="auto"/>
        </w:rPr>
        <w:t>Marilynn Meek</w:t>
      </w:r>
    </w:p>
    <w:p>
      <w:pPr>
        <w:spacing w:after="0" w:line="7"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Vice President and Chief Administrative Officer</w:t>
      </w:r>
      <w:r>
        <w:rPr>
          <w:sz w:val="20"/>
          <w:szCs w:val="20"/>
          <w:color w:val="auto"/>
        </w:rPr>
        <w:tab/>
      </w:r>
      <w:r>
        <w:rPr>
          <w:rFonts w:ascii="Arial" w:cs="Arial" w:eastAsia="Arial" w:hAnsi="Arial"/>
          <w:sz w:val="16"/>
          <w:szCs w:val="16"/>
          <w:color w:val="auto"/>
        </w:rPr>
        <w:t>(General info)</w:t>
      </w:r>
    </w:p>
    <w:p>
      <w:pPr>
        <w:spacing w:after="0" w:line="9"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(423) 743-9151</w:t>
      </w:r>
      <w:r>
        <w:rPr>
          <w:sz w:val="20"/>
          <w:szCs w:val="20"/>
          <w:color w:val="auto"/>
        </w:rPr>
        <w:tab/>
      </w:r>
      <w:r>
        <w:rPr>
          <w:rFonts w:ascii="Arial" w:cs="Arial" w:eastAsia="Arial" w:hAnsi="Arial"/>
          <w:sz w:val="16"/>
          <w:szCs w:val="16"/>
          <w:color w:val="auto"/>
        </w:rPr>
        <w:t>(212) 827-3773</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August 7, 2012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REPORTS SECOND QUARTER AND SIX MONTHS 2012 RESULTS</w:t>
      </w:r>
    </w:p>
    <w:p>
      <w:pPr>
        <w:spacing w:after="0" w:line="256" w:lineRule="exact"/>
        <w:rPr>
          <w:sz w:val="20"/>
          <w:szCs w:val="20"/>
          <w:color w:val="auto"/>
        </w:rPr>
      </w:pPr>
    </w:p>
    <w:p>
      <w:pPr>
        <w:ind w:left="660" w:hanging="139"/>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sales of $98.8 million for the second quarter down 10.7% in local currency from the second quarter of 2011.</w:t>
      </w:r>
    </w:p>
    <w:p>
      <w:pPr>
        <w:spacing w:after="0" w:line="23" w:lineRule="exact"/>
        <w:rPr>
          <w:rFonts w:ascii="Arial" w:cs="Arial" w:eastAsia="Arial" w:hAnsi="Arial"/>
          <w:sz w:val="18"/>
          <w:szCs w:val="18"/>
          <w:b w:val="1"/>
          <w:bCs w:val="1"/>
          <w:color w:val="auto"/>
        </w:rPr>
      </w:pPr>
    </w:p>
    <w:p>
      <w:pPr>
        <w:ind w:left="660" w:right="20" w:hanging="139"/>
        <w:spacing w:after="0" w:line="250"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Normalized net income for the second quarter of $5.9 million, or $0.35 per diluted share, down $0.2 million, or $0.01 per diluted share from the same period in 2011.</w:t>
      </w:r>
    </w:p>
    <w:p>
      <w:pPr>
        <w:ind w:left="660" w:hanging="139"/>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Normalized six months net income of $12.6 million, or $0.74 per diluted share, represents an earnings record.</w:t>
      </w:r>
    </w:p>
    <w:p>
      <w:pPr>
        <w:spacing w:after="0" w:line="9" w:lineRule="exact"/>
        <w:rPr>
          <w:rFonts w:ascii="Arial" w:cs="Arial" w:eastAsia="Arial" w:hAnsi="Arial"/>
          <w:sz w:val="18"/>
          <w:szCs w:val="18"/>
          <w:b w:val="1"/>
          <w:bCs w:val="1"/>
          <w:color w:val="auto"/>
        </w:rPr>
      </w:pPr>
    </w:p>
    <w:p>
      <w:pPr>
        <w:ind w:left="660" w:hanging="139"/>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Weakness in Europe and Asia expected to continue into the second half of 2012.</w:t>
      </w:r>
    </w:p>
    <w:p>
      <w:pPr>
        <w:spacing w:after="0" w:line="9" w:lineRule="exact"/>
        <w:rPr>
          <w:rFonts w:ascii="Arial" w:cs="Arial" w:eastAsia="Arial" w:hAnsi="Arial"/>
          <w:sz w:val="18"/>
          <w:szCs w:val="18"/>
          <w:b w:val="1"/>
          <w:bCs w:val="1"/>
          <w:color w:val="auto"/>
        </w:rPr>
      </w:pPr>
    </w:p>
    <w:p>
      <w:pPr>
        <w:ind w:left="660" w:hanging="139"/>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Full year revenue outlook lowered to $390 million - $400 million from $415 million - $425 million previously forecast.</w:t>
      </w:r>
    </w:p>
    <w:p>
      <w:pPr>
        <w:spacing w:after="0" w:line="200" w:lineRule="exact"/>
        <w:rPr>
          <w:sz w:val="20"/>
          <w:szCs w:val="20"/>
          <w:color w:val="auto"/>
        </w:rPr>
      </w:pPr>
    </w:p>
    <w:p>
      <w:pPr>
        <w:spacing w:after="0" w:line="27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color w:val="auto"/>
        </w:rPr>
        <w:t xml:space="preserve">Johnson City, Tenn, August 7, 2012 – </w:t>
      </w:r>
      <w:r>
        <w:rPr>
          <w:rFonts w:ascii="Arial" w:cs="Arial" w:eastAsia="Arial" w:hAnsi="Arial"/>
          <w:sz w:val="17"/>
          <w:szCs w:val="17"/>
          <w:color w:val="auto"/>
        </w:rPr>
        <w:t>NN, Inc. (NASDAQ: NNBR) today reported its financial results for the period ended June 30, 2012. Net sales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second quarter of 2012 decreased $17.1 million, or 14.7% to $98.8 million, compared to net sales of $115.9 million for the second quarter of</w:t>
      </w:r>
    </w:p>
    <w:p>
      <w:pPr>
        <w:spacing w:after="0" w:line="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2011. Approximately $16.3 million of this decrease was due to lower demand for Company’s products in their Metal Bearing Components and Plastic and Rubber Components segments, mainly due to European automotive end markets. This lower demand was partially offset by increased sales volume of $3.1 million from new multi-year programs in our Precision Metal Components segment and price increases and raw material inflation pass through of $0.8 million. The negative impact of foreign currency exchange accounted for another $4.7 million of the decrease.</w:t>
      </w:r>
    </w:p>
    <w:p>
      <w:pPr>
        <w:spacing w:after="0" w:line="20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Net income for the second quarter of 2012 of $7.0 million, or $0.41 per diluted share, compares to $5.8 million, or $0.34 per diluted share for the same period last year. Net income from normal operations in the second quarter of 2012 was $5.9 million, or $0.35 per diluted share compared to net income from normal operations of $6.1 million, or $0.36 per diluted share for the same period in 2011. Net income from normal operations for the second quarter of 2012 excludes the recording of after-tax foreign currency gains on intercompany loans of $1.1 million, or $0.06 per diluted share. Net income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499745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4" w:name="page5"/>
    <w:bookmarkEnd w:id="4"/>
    <w:p>
      <w:pPr>
        <w:ind w:right="60"/>
        <w:spacing w:after="0" w:line="277" w:lineRule="auto"/>
        <w:rPr>
          <w:sz w:val="20"/>
          <w:szCs w:val="20"/>
          <w:color w:val="auto"/>
        </w:rPr>
      </w:pPr>
      <w:r>
        <w:rPr>
          <w:rFonts w:ascii="Arial" w:cs="Arial" w:eastAsia="Arial" w:hAnsi="Arial"/>
          <w:sz w:val="18"/>
          <w:szCs w:val="18"/>
          <w:color w:val="auto"/>
        </w:rPr>
        <w:t>normal operations for the second quarter of 2011 excludes the recording of foreign exchange losses on intercompany losses of approximately $0.3 million, or $0.02 per diluted share.</w:t>
      </w:r>
    </w:p>
    <w:p>
      <w:pPr>
        <w:spacing w:after="0" w:line="19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Net sales for the first six months of 2012 decreased $23.9 million, or 10.5% to $203.3 million, compared to net sales of $227.2 million for the first six months of 2011. Approximately $27.6 million, of the decrease was attributable to lower demand for the Company’s products in the Metal Bearing Components and Plastic and Rubber Components segments, mainly due to European automotive end markets. This lower demand was partially offset by increased sales volume of $7.5 million from new multi-year programs in our Precision Metal Components segment and raw material inflation pass through, price increases and favorable mix of $2.6 million. The negative impact of foreign currency exchange accounted for another $6.3 million of the decrease.</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Net income for the first six months of 2012 was $12.9 million, or $0.76 per diluted share, compared to net income of $11.3 million, or $0.67 per diluted share, for the comparable period last year. Net income from normal operations in the first six months of 2012 was $12.6, or $0.74 per diluted share, compared to net income from normal operations in the first six months of 2011 of $11.6 million, or $0.69 per diluted share for the same period last year. Net income from normal operations for the first six months of 2012 excludes the recording of after-tax foreign currency gains on intercompany loans of $0.4 million, or $0.02 per diluted share. Net income from normal operations for the first six months of 2011 excluded approximately $1.2 million, or $0.07 per diluted share, in foreign currency exchange losses on inter-company loans and an after-tax gain from deconsolidation of bankrupt subsidiary of $0.8 million, or $0.05 per diluted share. Net income and fully diluted earnings per share from normal operations were at record levels for the first six months of 2012.</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a percentage of net sales, cost of goods sold decreased in the second quarter to 78.8% as compared to 81.7% for last year’s second quarter. Cost of products sold for the first six months of this year were 79.1% as compared to 81.4% for the same period last year. The decrease in cost of products sold as a percentage of sales were attributable to improved levels of profitability at Whirlaway and operational cost improvements driven by our Level 3 programs in each of the global manufacturing facilities.</w:t>
      </w: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Debt, net of cash, was $69.6 million at June 30, 2012, a decrease of $4.0 million over the December 31, 2011 amount of $73.6 million. As of June 30, 2012, approximately $9.1 million, or 46% of the planned capital budget of $20.0 million for the year was spent.</w:t>
      </w:r>
    </w:p>
    <w:p>
      <w:pPr>
        <w:spacing w:after="0" w:line="197"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Roderick R. Baty, Chairman and Chief Executive Officer commented, “Even though the prevailing weak economic conditions in Europe and Asia continued to negatively impact demand, our improved cost structure and operating performance allowed us to significantly improve margins in the second quarter and for the first half of 2012. Additionally, our Whirlaway operation has continued to show improvement in both sales and profitability over the prior year. ”</w:t>
      </w:r>
    </w:p>
    <w:p>
      <w:pPr>
        <w:spacing w:after="0" w:line="17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Mr. Baty concluded, “Although our consolidated year-to-date revenues were down 7.7% in local currencies compared to the same period in 2011, the overall demand outlook was mixed. We experienced good levels of demand in North America, offset by reductions in Europe and Asia. We expect this trend to continue into the second half of the year. Given the uncertainty and lack of visibility, we are lowering the range of our revenue guidance from $415 million to $425 million to $390 million to $400 million. However, due to our continuing companywide operational cost improvements, we still expect solid full year improvements in margins, net income and earnings per share in 2012 as compared to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545465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5" w:name="page6"/>
    <w:bookmarkEnd w:id="5"/>
    <w:p>
      <w:pPr>
        <w:ind w:right="280"/>
        <w:spacing w:after="0" w:line="26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10 manufacturing plants in the United States, Western Europe, Eastern Europe and China. NN, Inc. had sales of US $425 million in 2011.</w:t>
      </w:r>
    </w:p>
    <w:p>
      <w:pPr>
        <w:spacing w:after="0" w:line="200" w:lineRule="exact"/>
        <w:rPr>
          <w:sz w:val="20"/>
          <w:szCs w:val="20"/>
          <w:color w:val="auto"/>
        </w:rPr>
      </w:pPr>
    </w:p>
    <w:p>
      <w:pPr>
        <w:spacing w:after="0" w:line="251"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Form 10-K for the fiscal year ended December 31, 2011.</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5040" w:type="dxa"/>
            <w:vAlign w:val="bottom"/>
            <w:gridSpan w:val="7"/>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19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20"/>
        </w:trPr>
        <w:tc>
          <w:tcPr>
            <w:tcW w:w="3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gridSpan w:val="4"/>
          </w:tcPr>
          <w:p>
            <w:pPr>
              <w:ind w:left="260"/>
              <w:spacing w:after="0"/>
              <w:rPr>
                <w:sz w:val="20"/>
                <w:szCs w:val="20"/>
                <w:color w:val="auto"/>
              </w:rPr>
            </w:pPr>
            <w:r>
              <w:rPr>
                <w:rFonts w:ascii="Arial" w:cs="Arial" w:eastAsia="Arial" w:hAnsi="Arial"/>
                <w:sz w:val="18"/>
                <w:szCs w:val="18"/>
                <w:b w:val="1"/>
                <w:bCs w:val="1"/>
                <w:color w:val="auto"/>
                <w:w w:val="99"/>
              </w:rPr>
              <w:t>June 30,</w:t>
            </w:r>
          </w:p>
        </w:tc>
        <w:tc>
          <w:tcPr>
            <w:tcW w:w="8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3900" w:type="dxa"/>
            <w:vAlign w:val="bottom"/>
          </w:tcPr>
          <w:p>
            <w:pPr>
              <w:spacing w:after="0"/>
              <w:rPr>
                <w:sz w:val="20"/>
                <w:szCs w:val="20"/>
                <w:color w:val="auto"/>
              </w:rPr>
            </w:pP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2011</w:t>
            </w:r>
          </w:p>
        </w:tc>
        <w:tc>
          <w:tcPr>
            <w:tcW w:w="2620" w:type="dxa"/>
            <w:vAlign w:val="bottom"/>
          </w:tcPr>
          <w:p>
            <w:pPr>
              <w:spacing w:after="0"/>
              <w:rPr>
                <w:sz w:val="20"/>
                <w:szCs w:val="20"/>
                <w:color w:val="auto"/>
              </w:rPr>
            </w:pPr>
          </w:p>
        </w:tc>
        <w:tc>
          <w:tcPr>
            <w:tcW w:w="1120" w:type="dxa"/>
            <w:vAlign w:val="bottom"/>
            <w:gridSpan w:val="2"/>
          </w:tcPr>
          <w:p>
            <w:pPr>
              <w:jc w:val="right"/>
              <w:ind w:right="290"/>
              <w:spacing w:after="0"/>
              <w:rPr>
                <w:sz w:val="20"/>
                <w:szCs w:val="20"/>
                <w:color w:val="auto"/>
              </w:rPr>
            </w:pPr>
            <w:r>
              <w:rPr>
                <w:rFonts w:ascii="Arial" w:cs="Arial" w:eastAsia="Arial" w:hAnsi="Arial"/>
                <w:sz w:val="18"/>
                <w:szCs w:val="18"/>
                <w:color w:val="auto"/>
              </w:rPr>
              <w:t>2012</w:t>
            </w:r>
          </w:p>
        </w:tc>
        <w:tc>
          <w:tcPr>
            <w:tcW w:w="40" w:type="dxa"/>
            <w:vAlign w:val="bottom"/>
          </w:tcPr>
          <w:p>
            <w:pPr>
              <w:spacing w:after="0"/>
              <w:rPr>
                <w:sz w:val="20"/>
                <w:szCs w:val="20"/>
                <w:color w:val="auto"/>
              </w:rPr>
            </w:pPr>
          </w:p>
        </w:tc>
        <w:tc>
          <w:tcPr>
            <w:tcW w:w="1320" w:type="dxa"/>
            <w:vAlign w:val="bottom"/>
            <w:gridSpan w:val="3"/>
          </w:tcPr>
          <w:p>
            <w:pPr>
              <w:jc w:val="right"/>
              <w:ind w:right="31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20"/>
                <w:szCs w:val="20"/>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Net sales</w:t>
            </w:r>
          </w:p>
        </w:tc>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0"/>
              </w:rPr>
              <w:t>98,824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7"/>
              </w:rPr>
              <w:t>$ 115,922</w:t>
            </w:r>
          </w:p>
        </w:tc>
        <w:tc>
          <w:tcPr>
            <w:tcW w:w="2620" w:type="dxa"/>
            <w:vAlign w:val="bottom"/>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203,343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227,229</w:t>
            </w:r>
          </w:p>
        </w:tc>
        <w:tc>
          <w:tcPr>
            <w:tcW w:w="20" w:type="dxa"/>
            <w:vAlign w:val="bottom"/>
          </w:tcPr>
          <w:p>
            <w:pPr>
              <w:spacing w:after="0"/>
              <w:rPr>
                <w:sz w:val="17"/>
                <w:szCs w:val="17"/>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Cost of products sold (exclusive of</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00" w:type="dxa"/>
            <w:vAlign w:val="bottom"/>
          </w:tcPr>
          <w:p>
            <w:pPr>
              <w:ind w:left="140"/>
              <w:spacing w:after="0"/>
              <w:rPr>
                <w:sz w:val="20"/>
                <w:szCs w:val="20"/>
                <w:color w:val="auto"/>
              </w:rPr>
            </w:pPr>
            <w:r>
              <w:rPr>
                <w:rFonts w:ascii="Arial" w:cs="Arial" w:eastAsia="Arial" w:hAnsi="Arial"/>
                <w:sz w:val="18"/>
                <w:szCs w:val="18"/>
                <w:color w:val="auto"/>
              </w:rPr>
              <w:t>depreciation shown separately below)</w:t>
            </w:r>
          </w:p>
        </w:tc>
        <w:tc>
          <w:tcPr>
            <w:tcW w:w="6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77,848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gridSpan w:val="2"/>
          </w:tcPr>
          <w:p>
            <w:pPr>
              <w:jc w:val="right"/>
              <w:ind w:right="2620"/>
              <w:spacing w:after="0"/>
              <w:rPr>
                <w:sz w:val="20"/>
                <w:szCs w:val="20"/>
                <w:color w:val="auto"/>
              </w:rPr>
            </w:pPr>
            <w:r>
              <w:rPr>
                <w:rFonts w:ascii="Arial" w:cs="Arial" w:eastAsia="Arial" w:hAnsi="Arial"/>
                <w:sz w:val="18"/>
                <w:szCs w:val="18"/>
                <w:color w:val="auto"/>
              </w:rPr>
              <w:t>94,657</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160,817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184,955</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8,312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gridSpan w:val="2"/>
          </w:tcPr>
          <w:p>
            <w:pPr>
              <w:jc w:val="right"/>
              <w:ind w:right="2620"/>
              <w:spacing w:after="0"/>
              <w:rPr>
                <w:sz w:val="20"/>
                <w:szCs w:val="20"/>
                <w:color w:val="auto"/>
              </w:rPr>
            </w:pPr>
            <w:r>
              <w:rPr>
                <w:rFonts w:ascii="Arial" w:cs="Arial" w:eastAsia="Arial" w:hAnsi="Arial"/>
                <w:sz w:val="18"/>
                <w:szCs w:val="18"/>
                <w:color w:val="auto"/>
              </w:rPr>
              <w:t>7,720</w:t>
            </w:r>
          </w:p>
        </w:tc>
        <w:tc>
          <w:tcPr>
            <w:tcW w:w="5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16,379</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15,686</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4,389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gridSpan w:val="2"/>
          </w:tcPr>
          <w:p>
            <w:pPr>
              <w:jc w:val="right"/>
              <w:ind w:right="2620"/>
              <w:spacing w:after="0"/>
              <w:rPr>
                <w:sz w:val="20"/>
                <w:szCs w:val="20"/>
                <w:color w:val="auto"/>
              </w:rPr>
            </w:pPr>
            <w:r>
              <w:rPr>
                <w:rFonts w:ascii="Arial" w:cs="Arial" w:eastAsia="Arial" w:hAnsi="Arial"/>
                <w:sz w:val="18"/>
                <w:szCs w:val="18"/>
                <w:color w:val="auto"/>
              </w:rPr>
              <w:t>4,291</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8,846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8,326</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Loss (gain) on disposal of assets</w:t>
            </w:r>
          </w:p>
        </w:tc>
        <w:tc>
          <w:tcPr>
            <w:tcW w:w="6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gridSpan w:val="2"/>
          </w:tcPr>
          <w:p>
            <w:pPr>
              <w:jc w:val="right"/>
              <w:ind w:right="262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w w:val="99"/>
              </w:rPr>
              <w:t>Gain from deconsolidation of bankrupt subsidiary</w:t>
            </w:r>
          </w:p>
        </w:tc>
        <w:tc>
          <w:tcPr>
            <w:tcW w:w="62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gridSpan w:val="2"/>
          </w:tcPr>
          <w:p>
            <w:pPr>
              <w:jc w:val="right"/>
              <w:ind w:right="26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r>
      <w:tr>
        <w:trPr>
          <w:trHeight w:val="230"/>
        </w:trPr>
        <w:tc>
          <w:tcPr>
            <w:tcW w:w="3900" w:type="dxa"/>
            <w:vAlign w:val="bottom"/>
          </w:tcPr>
          <w:p>
            <w:pPr>
              <w:ind w:left="100"/>
              <w:spacing w:after="0"/>
              <w:rPr>
                <w:sz w:val="20"/>
                <w:szCs w:val="20"/>
                <w:color w:val="auto"/>
              </w:rPr>
            </w:pPr>
            <w:r>
              <w:rPr>
                <w:rFonts w:ascii="Arial" w:cs="Arial" w:eastAsia="Arial" w:hAnsi="Arial"/>
                <w:sz w:val="18"/>
                <w:szCs w:val="18"/>
                <w:color w:val="auto"/>
              </w:rPr>
              <w:t>Income from operations</w:t>
            </w:r>
          </w:p>
        </w:tc>
        <w:tc>
          <w:tcPr>
            <w:tcW w:w="6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8,275</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9,251</w:t>
            </w:r>
          </w:p>
        </w:tc>
        <w:tc>
          <w:tcPr>
            <w:tcW w:w="26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17,309</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18,468</w:t>
            </w:r>
          </w:p>
        </w:tc>
        <w:tc>
          <w:tcPr>
            <w:tcW w:w="20" w:type="dxa"/>
            <w:vAlign w:val="bottom"/>
          </w:tcPr>
          <w:p>
            <w:pPr>
              <w:spacing w:after="0"/>
              <w:rPr>
                <w:sz w:val="20"/>
                <w:szCs w:val="20"/>
                <w:color w:val="auto"/>
              </w:rPr>
            </w:pPr>
          </w:p>
        </w:tc>
      </w:tr>
      <w:tr>
        <w:trPr>
          <w:trHeight w:val="404"/>
        </w:trPr>
        <w:tc>
          <w:tcPr>
            <w:tcW w:w="3900" w:type="dxa"/>
            <w:vAlign w:val="bottom"/>
          </w:tcPr>
          <w:p>
            <w:pPr>
              <w:spacing w:after="0"/>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1,116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20" w:type="dxa"/>
            <w:vAlign w:val="bottom"/>
            <w:gridSpan w:val="2"/>
          </w:tcPr>
          <w:p>
            <w:pPr>
              <w:jc w:val="right"/>
              <w:ind w:right="2620"/>
              <w:spacing w:after="0"/>
              <w:rPr>
                <w:sz w:val="20"/>
                <w:szCs w:val="20"/>
                <w:color w:val="auto"/>
              </w:rPr>
            </w:pPr>
            <w:r>
              <w:rPr>
                <w:rFonts w:ascii="Arial" w:cs="Arial" w:eastAsia="Arial" w:hAnsi="Arial"/>
                <w:sz w:val="18"/>
                <w:szCs w:val="18"/>
                <w:color w:val="auto"/>
              </w:rPr>
              <w:t>1,220</w:t>
            </w:r>
          </w:p>
        </w:tc>
        <w:tc>
          <w:tcPr>
            <w:tcW w:w="5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2,327</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2,444</w:t>
            </w: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62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(1,239)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gridSpan w:val="2"/>
          </w:tcPr>
          <w:p>
            <w:pPr>
              <w:jc w:val="right"/>
              <w:ind w:right="2620"/>
              <w:spacing w:after="0"/>
              <w:rPr>
                <w:sz w:val="20"/>
                <w:szCs w:val="20"/>
                <w:color w:val="auto"/>
              </w:rPr>
            </w:pPr>
            <w:r>
              <w:rPr>
                <w:rFonts w:ascii="Arial" w:cs="Arial" w:eastAsia="Arial" w:hAnsi="Arial"/>
                <w:sz w:val="18"/>
                <w:szCs w:val="18"/>
                <w:color w:val="auto"/>
              </w:rPr>
              <w:t>155</w:t>
            </w:r>
          </w:p>
        </w:tc>
        <w:tc>
          <w:tcPr>
            <w:tcW w:w="54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1,191</w:t>
            </w: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Income before provision for income taxes</w:t>
            </w:r>
          </w:p>
        </w:tc>
        <w:tc>
          <w:tcPr>
            <w:tcW w:w="6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8,398</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7,876</w:t>
            </w:r>
          </w:p>
        </w:tc>
        <w:tc>
          <w:tcPr>
            <w:tcW w:w="26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15,782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14,833</w:t>
            </w:r>
          </w:p>
        </w:tc>
        <w:tc>
          <w:tcPr>
            <w:tcW w:w="20" w:type="dxa"/>
            <w:vAlign w:val="bottom"/>
          </w:tcPr>
          <w:p>
            <w:pPr>
              <w:spacing w:after="0"/>
              <w:rPr>
                <w:sz w:val="17"/>
                <w:szCs w:val="17"/>
                <w:color w:val="auto"/>
              </w:rPr>
            </w:pP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2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1,360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gridSpan w:val="2"/>
          </w:tcPr>
          <w:p>
            <w:pPr>
              <w:jc w:val="right"/>
              <w:ind w:right="2620"/>
              <w:spacing w:after="0"/>
              <w:rPr>
                <w:sz w:val="20"/>
                <w:szCs w:val="20"/>
                <w:color w:val="auto"/>
              </w:rPr>
            </w:pPr>
            <w:r>
              <w:rPr>
                <w:rFonts w:ascii="Arial" w:cs="Arial" w:eastAsia="Arial" w:hAnsi="Arial"/>
                <w:sz w:val="18"/>
                <w:szCs w:val="18"/>
                <w:color w:val="auto"/>
              </w:rPr>
              <w:t>2,049</w:t>
            </w:r>
          </w:p>
        </w:tc>
        <w:tc>
          <w:tcPr>
            <w:tcW w:w="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2,835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3,499</w:t>
            </w:r>
          </w:p>
        </w:tc>
      </w:tr>
      <w:tr>
        <w:trPr>
          <w:trHeight w:val="216"/>
        </w:trPr>
        <w:tc>
          <w:tcPr>
            <w:tcW w:w="390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7,038</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$ 5,827</w:t>
            </w:r>
          </w:p>
        </w:tc>
        <w:tc>
          <w:tcPr>
            <w:tcW w:w="26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$ 11,334</w:t>
            </w:r>
          </w:p>
        </w:tc>
        <w:tc>
          <w:tcPr>
            <w:tcW w:w="20" w:type="dxa"/>
            <w:vAlign w:val="bottom"/>
          </w:tcPr>
          <w:p>
            <w:pPr>
              <w:spacing w:after="0"/>
              <w:rPr>
                <w:sz w:val="18"/>
                <w:szCs w:val="18"/>
                <w:color w:val="auto"/>
              </w:rPr>
            </w:pPr>
          </w:p>
        </w:tc>
      </w:tr>
      <w:tr>
        <w:trPr>
          <w:trHeight w:val="21"/>
        </w:trPr>
        <w:tc>
          <w:tcPr>
            <w:tcW w:w="39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3900" w:type="dxa"/>
            <w:vAlign w:val="bottom"/>
          </w:tcPr>
          <w:p>
            <w:pPr>
              <w:spacing w:after="0"/>
              <w:rPr>
                <w:sz w:val="20"/>
                <w:szCs w:val="20"/>
                <w:color w:val="auto"/>
              </w:rPr>
            </w:pPr>
            <w:r>
              <w:rPr>
                <w:rFonts w:ascii="Arial" w:cs="Arial" w:eastAsia="Arial" w:hAnsi="Arial"/>
                <w:sz w:val="18"/>
                <w:szCs w:val="18"/>
                <w:color w:val="auto"/>
              </w:rPr>
              <w:t>Diluted income per common share</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0.41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0.34</w:t>
            </w:r>
          </w:p>
        </w:tc>
        <w:tc>
          <w:tcPr>
            <w:tcW w:w="26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0.76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0.67</w:t>
            </w:r>
          </w:p>
        </w:tc>
      </w:tr>
      <w:tr>
        <w:trPr>
          <w:trHeight w:val="21"/>
        </w:trPr>
        <w:tc>
          <w:tcPr>
            <w:tcW w:w="39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3"/>
        </w:trPr>
        <w:tc>
          <w:tcPr>
            <w:tcW w:w="3900" w:type="dxa"/>
            <w:vAlign w:val="bottom"/>
          </w:tcPr>
          <w:p>
            <w:pPr>
              <w:spacing w:after="0"/>
              <w:rPr>
                <w:sz w:val="20"/>
                <w:szCs w:val="20"/>
                <w:color w:val="auto"/>
              </w:rPr>
            </w:pPr>
            <w:r>
              <w:rPr>
                <w:rFonts w:ascii="Arial" w:cs="Arial" w:eastAsia="Arial" w:hAnsi="Arial"/>
                <w:sz w:val="18"/>
                <w:szCs w:val="18"/>
                <w:color w:val="auto"/>
              </w:rPr>
              <w:t>Weighted average diluted shares</w:t>
            </w:r>
          </w:p>
        </w:tc>
        <w:tc>
          <w:tcPr>
            <w:tcW w:w="62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17,139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20" w:type="dxa"/>
            <w:vAlign w:val="bottom"/>
            <w:gridSpan w:val="2"/>
          </w:tcPr>
          <w:p>
            <w:pPr>
              <w:jc w:val="right"/>
              <w:ind w:right="2620"/>
              <w:spacing w:after="0"/>
              <w:rPr>
                <w:sz w:val="20"/>
                <w:szCs w:val="20"/>
                <w:color w:val="auto"/>
              </w:rPr>
            </w:pPr>
            <w:r>
              <w:rPr>
                <w:rFonts w:ascii="Arial" w:cs="Arial" w:eastAsia="Arial" w:hAnsi="Arial"/>
                <w:sz w:val="18"/>
                <w:szCs w:val="18"/>
                <w:color w:val="auto"/>
              </w:rPr>
              <w:t>17,119</w:t>
            </w:r>
          </w:p>
        </w:tc>
        <w:tc>
          <w:tcPr>
            <w:tcW w:w="54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17,097</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16,974</w:t>
            </w:r>
          </w:p>
        </w:tc>
      </w:tr>
      <w:tr>
        <w:trPr>
          <w:trHeight w:val="1631"/>
        </w:trPr>
        <w:tc>
          <w:tcPr>
            <w:tcW w:w="3900" w:type="dxa"/>
            <w:vAlign w:val="bottom"/>
            <w:tcBorders>
              <w:bottom w:val="single" w:sz="8" w:color="808080"/>
            </w:tcBorders>
          </w:tcPr>
          <w:p>
            <w:pPr>
              <w:spacing w:after="0"/>
              <w:rPr>
                <w:sz w:val="24"/>
                <w:szCs w:val="24"/>
                <w:color w:val="auto"/>
              </w:rPr>
            </w:pPr>
          </w:p>
        </w:tc>
        <w:tc>
          <w:tcPr>
            <w:tcW w:w="620" w:type="dxa"/>
            <w:vAlign w:val="bottom"/>
            <w:tcBorders>
              <w:top w:val="single" w:sz="8" w:color="auto"/>
              <w:bottom w:val="single" w:sz="8" w:color="808080"/>
            </w:tcBorders>
          </w:tcPr>
          <w:p>
            <w:pPr>
              <w:spacing w:after="0"/>
              <w:rPr>
                <w:sz w:val="24"/>
                <w:szCs w:val="24"/>
                <w:color w:val="auto"/>
              </w:rPr>
            </w:pPr>
          </w:p>
        </w:tc>
        <w:tc>
          <w:tcPr>
            <w:tcW w:w="520" w:type="dxa"/>
            <w:vAlign w:val="bottom"/>
            <w:tcBorders>
              <w:top w:val="single" w:sz="8" w:color="auto"/>
              <w:bottom w:val="single" w:sz="8" w:color="808080"/>
            </w:tcBorders>
          </w:tcPr>
          <w:p>
            <w:pPr>
              <w:spacing w:after="0"/>
              <w:rPr>
                <w:sz w:val="24"/>
                <w:szCs w:val="24"/>
                <w:color w:val="auto"/>
              </w:rPr>
            </w:pPr>
          </w:p>
        </w:tc>
        <w:tc>
          <w:tcPr>
            <w:tcW w:w="20" w:type="dxa"/>
            <w:vAlign w:val="bottom"/>
            <w:tcBorders>
              <w:top w:val="single" w:sz="8" w:color="auto"/>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800" w:type="dxa"/>
            <w:vAlign w:val="bottom"/>
            <w:tcBorders>
              <w:top w:val="single" w:sz="8" w:color="auto"/>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540" w:type="dxa"/>
            <w:vAlign w:val="bottom"/>
            <w:tcBorders>
              <w:top w:val="single" w:sz="8" w:color="auto"/>
              <w:bottom w:val="single" w:sz="8" w:color="808080"/>
            </w:tcBorders>
          </w:tcPr>
          <w:p>
            <w:pPr>
              <w:spacing w:after="0"/>
              <w:rPr>
                <w:sz w:val="24"/>
                <w:szCs w:val="24"/>
                <w:color w:val="auto"/>
              </w:rPr>
            </w:pPr>
          </w:p>
        </w:tc>
        <w:tc>
          <w:tcPr>
            <w:tcW w:w="580" w:type="dxa"/>
            <w:vAlign w:val="bottom"/>
            <w:tcBorders>
              <w:top w:val="single" w:sz="8" w:color="auto"/>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60" w:type="dxa"/>
            <w:vAlign w:val="bottom"/>
            <w:tcBorders>
              <w:top w:val="single" w:sz="8" w:color="auto"/>
              <w:bottom w:val="single" w:sz="8" w:color="808080"/>
            </w:tcBorders>
          </w:tcPr>
          <w:p>
            <w:pPr>
              <w:spacing w:after="0"/>
              <w:rPr>
                <w:sz w:val="24"/>
                <w:szCs w:val="24"/>
                <w:color w:val="auto"/>
              </w:rPr>
            </w:pPr>
          </w:p>
        </w:tc>
        <w:tc>
          <w:tcPr>
            <w:tcW w:w="580" w:type="dxa"/>
            <w:vAlign w:val="bottom"/>
            <w:tcBorders>
              <w:top w:val="single" w:sz="8" w:color="auto"/>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4000" w:type="dxa"/>
            <w:vAlign w:val="bottom"/>
            <w:gridSpan w:val="3"/>
          </w:tcPr>
          <w:p>
            <w:pPr>
              <w:ind w:left="420"/>
              <w:spacing w:after="0"/>
              <w:rPr>
                <w:sz w:val="20"/>
                <w:szCs w:val="20"/>
                <w:color w:val="auto"/>
              </w:rPr>
            </w:pPr>
            <w:r>
              <w:rPr>
                <w:rFonts w:ascii="Arial" w:cs="Arial" w:eastAsia="Arial" w:hAnsi="Arial"/>
                <w:sz w:val="18"/>
                <w:szCs w:val="18"/>
                <w:b w:val="1"/>
                <w:bCs w:val="1"/>
                <w:color w:val="auto"/>
              </w:rPr>
              <w:t>June 30,</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41"/>
        </w:trPr>
        <w:tc>
          <w:tcPr>
            <w:tcW w:w="6180" w:type="dxa"/>
            <w:vAlign w:val="bottom"/>
          </w:tcPr>
          <w:p>
            <w:pPr>
              <w:spacing w:after="0"/>
              <w:rPr>
                <w:sz w:val="20"/>
                <w:szCs w:val="20"/>
                <w:color w:val="auto"/>
              </w:rPr>
            </w:pPr>
          </w:p>
        </w:tc>
        <w:tc>
          <w:tcPr>
            <w:tcW w:w="148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520" w:type="dxa"/>
            <w:vAlign w:val="bottom"/>
          </w:tcPr>
          <w:p>
            <w:pPr>
              <w:spacing w:after="0"/>
              <w:rPr>
                <w:sz w:val="20"/>
                <w:szCs w:val="20"/>
                <w:color w:val="auto"/>
              </w:rPr>
            </w:pPr>
          </w:p>
        </w:tc>
        <w:tc>
          <w:tcPr>
            <w:tcW w:w="12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1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Current Assets:</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Cash</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12,002</w:t>
            </w:r>
          </w:p>
        </w:tc>
        <w:tc>
          <w:tcPr>
            <w:tcW w:w="2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4,536</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71,317</w:t>
            </w:r>
          </w:p>
        </w:tc>
        <w:tc>
          <w:tcPr>
            <w:tcW w:w="2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66,707</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Inventories, net</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45,364</w:t>
            </w:r>
          </w:p>
        </w:tc>
        <w:tc>
          <w:tcPr>
            <w:tcW w:w="2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46,023</w:t>
            </w: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r>
              <w:rPr>
                <w:rFonts w:ascii="Arial" w:cs="Arial" w:eastAsia="Arial" w:hAnsi="Arial"/>
                <w:sz w:val="18"/>
                <w:szCs w:val="18"/>
                <w:color w:val="auto"/>
              </w:rPr>
              <w:t>Other current assets</w:t>
            </w:r>
          </w:p>
        </w:tc>
        <w:tc>
          <w:tcPr>
            <w:tcW w:w="8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5,530</w:t>
            </w:r>
          </w:p>
        </w:tc>
        <w:tc>
          <w:tcPr>
            <w:tcW w:w="2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6,759</w:t>
            </w:r>
          </w:p>
        </w:tc>
        <w:tc>
          <w:tcPr>
            <w:tcW w:w="0" w:type="dxa"/>
            <w:vAlign w:val="bottom"/>
          </w:tcPr>
          <w:p>
            <w:pPr>
              <w:spacing w:after="0"/>
              <w:rPr>
                <w:sz w:val="1"/>
                <w:szCs w:val="1"/>
                <w:color w:val="auto"/>
              </w:rPr>
            </w:pPr>
          </w:p>
        </w:tc>
      </w:tr>
      <w:tr>
        <w:trPr>
          <w:trHeight w:val="230"/>
        </w:trPr>
        <w:tc>
          <w:tcPr>
            <w:tcW w:w="618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134,213</w:t>
            </w:r>
          </w:p>
        </w:tc>
        <w:tc>
          <w:tcPr>
            <w:tcW w:w="25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124,025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61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8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118,734</w:t>
            </w:r>
          </w:p>
        </w:tc>
        <w:tc>
          <w:tcPr>
            <w:tcW w:w="2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120,528</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Goodwill, net</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7,606</w:t>
            </w:r>
          </w:p>
        </w:tc>
        <w:tc>
          <w:tcPr>
            <w:tcW w:w="2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8,039</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Intangible assets</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900</w:t>
            </w:r>
          </w:p>
        </w:tc>
        <w:tc>
          <w:tcPr>
            <w:tcW w:w="2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3,305</w:t>
            </w:r>
          </w:p>
        </w:tc>
        <w:tc>
          <w:tcPr>
            <w:tcW w:w="2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5,969</w:t>
            </w:r>
          </w:p>
        </w:tc>
        <w:tc>
          <w:tcPr>
            <w:tcW w:w="0" w:type="dxa"/>
            <w:vAlign w:val="bottom"/>
          </w:tcPr>
          <w:p>
            <w:pPr>
              <w:spacing w:after="0"/>
              <w:rPr>
                <w:sz w:val="1"/>
                <w:szCs w:val="1"/>
                <w:color w:val="auto"/>
              </w:rPr>
            </w:pPr>
          </w:p>
        </w:tc>
      </w:tr>
      <w:tr>
        <w:trPr>
          <w:trHeight w:val="216"/>
        </w:trPr>
        <w:tc>
          <w:tcPr>
            <w:tcW w:w="6180" w:type="dxa"/>
            <w:vAlign w:val="bottom"/>
          </w:tcPr>
          <w:p>
            <w:pPr>
              <w:ind w:left="140"/>
              <w:spacing w:after="0" w:line="196" w:lineRule="exact"/>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264,758</w:t>
            </w:r>
          </w:p>
        </w:tc>
        <w:tc>
          <w:tcPr>
            <w:tcW w:w="25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259,461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1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61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Current liabilities:</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Accounts payable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40,146</w:t>
            </w:r>
          </w:p>
        </w:tc>
        <w:tc>
          <w:tcPr>
            <w:tcW w:w="2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48,217</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Accrued salaries, wages and benefits</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10,846</w:t>
            </w:r>
          </w:p>
        </w:tc>
        <w:tc>
          <w:tcPr>
            <w:tcW w:w="2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11,697</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6,650</w:t>
            </w:r>
          </w:p>
        </w:tc>
        <w:tc>
          <w:tcPr>
            <w:tcW w:w="2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6,503</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Income taxes payable</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605</w:t>
            </w:r>
          </w:p>
        </w:tc>
        <w:tc>
          <w:tcPr>
            <w:tcW w:w="2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8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6,845</w:t>
            </w:r>
          </w:p>
        </w:tc>
        <w:tc>
          <w:tcPr>
            <w:tcW w:w="2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30"/>
        </w:trPr>
        <w:tc>
          <w:tcPr>
            <w:tcW w:w="618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65,092</w:t>
            </w:r>
          </w:p>
        </w:tc>
        <w:tc>
          <w:tcPr>
            <w:tcW w:w="25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618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8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3,668</w:t>
            </w:r>
          </w:p>
        </w:tc>
        <w:tc>
          <w:tcPr>
            <w:tcW w:w="2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74,915</w:t>
            </w:r>
          </w:p>
        </w:tc>
        <w:tc>
          <w:tcPr>
            <w:tcW w:w="2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71,629</w:t>
            </w: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8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10,728</w:t>
            </w:r>
          </w:p>
        </w:tc>
        <w:tc>
          <w:tcPr>
            <w:tcW w:w="2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11,305</w:t>
            </w: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Total liabilities</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154,403</w:t>
            </w:r>
          </w:p>
        </w:tc>
        <w:tc>
          <w:tcPr>
            <w:tcW w:w="25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159,785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61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110,355</w:t>
            </w:r>
          </w:p>
        </w:tc>
        <w:tc>
          <w:tcPr>
            <w:tcW w:w="25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264,758</w:t>
            </w:r>
          </w:p>
        </w:tc>
        <w:tc>
          <w:tcPr>
            <w:tcW w:w="25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259,461</w:t>
            </w: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4"/>
        </w:trPr>
        <w:tc>
          <w:tcPr>
            <w:tcW w:w="6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600" w:type="dxa"/>
            <w:vAlign w:val="bottom"/>
            <w:gridSpan w:val="5"/>
          </w:tcPr>
          <w:p>
            <w:pPr>
              <w:ind w:left="70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7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June 30, 2012</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w w:val="93"/>
              </w:rPr>
              <w:t>June 30, 2011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0"/>
              </w:rPr>
              <w:t>Diluted Earnings</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0"/>
              </w:rPr>
              <w:t>Diluted Earnings</w:t>
            </w:r>
          </w:p>
        </w:tc>
      </w:tr>
      <w:tr>
        <w:trPr>
          <w:trHeight w:val="241"/>
        </w:trPr>
        <w:tc>
          <w:tcPr>
            <w:tcW w:w="4800" w:type="dxa"/>
            <w:vAlign w:val="bottom"/>
          </w:tcPr>
          <w:p>
            <w:pPr>
              <w:spacing w:after="0"/>
              <w:rPr>
                <w:sz w:val="20"/>
                <w:szCs w:val="20"/>
                <w:color w:val="auto"/>
              </w:rPr>
            </w:pPr>
          </w:p>
        </w:tc>
        <w:tc>
          <w:tcPr>
            <w:tcW w:w="1720" w:type="dxa"/>
            <w:vAlign w:val="bottom"/>
            <w:gridSpan w:val="4"/>
          </w:tcPr>
          <w:p>
            <w:pPr>
              <w:ind w:left="140"/>
              <w:spacing w:after="0"/>
              <w:rPr>
                <w:sz w:val="20"/>
                <w:szCs w:val="20"/>
                <w:color w:val="auto"/>
              </w:rPr>
            </w:pPr>
            <w:r>
              <w:rPr>
                <w:rFonts w:ascii="Arial" w:cs="Arial" w:eastAsia="Arial" w:hAnsi="Arial"/>
                <w:sz w:val="18"/>
                <w:szCs w:val="18"/>
                <w:b w:val="1"/>
                <w:bCs w:val="1"/>
                <w:color w:val="auto"/>
              </w:rPr>
              <w:t>In Thousands</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Per Share</w:t>
            </w:r>
          </w:p>
        </w:tc>
        <w:tc>
          <w:tcPr>
            <w:tcW w:w="1840" w:type="dxa"/>
            <w:vAlign w:val="bottom"/>
            <w:gridSpan w:val="3"/>
          </w:tcPr>
          <w:p>
            <w:pPr>
              <w:ind w:left="200"/>
              <w:spacing w:after="0"/>
              <w:rPr>
                <w:sz w:val="20"/>
                <w:szCs w:val="20"/>
                <w:color w:val="auto"/>
              </w:rPr>
            </w:pPr>
            <w:r>
              <w:rPr>
                <w:rFonts w:ascii="Arial" w:cs="Arial" w:eastAsia="Arial" w:hAnsi="Arial"/>
                <w:sz w:val="18"/>
                <w:szCs w:val="18"/>
                <w:b w:val="1"/>
                <w:bCs w:val="1"/>
                <w:color w:val="auto"/>
              </w:rPr>
              <w:t>In Thousands</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Per Share</w:t>
            </w:r>
          </w:p>
        </w:tc>
      </w:tr>
      <w:tr>
        <w:trPr>
          <w:trHeight w:val="202"/>
        </w:trPr>
        <w:tc>
          <w:tcPr>
            <w:tcW w:w="4800" w:type="dxa"/>
            <w:vAlign w:val="bottom"/>
          </w:tcPr>
          <w:p>
            <w:pPr>
              <w:spacing w:after="0" w:line="201" w:lineRule="exact"/>
              <w:rPr>
                <w:sz w:val="20"/>
                <w:szCs w:val="20"/>
                <w:color w:val="auto"/>
              </w:rPr>
            </w:pPr>
            <w:r>
              <w:rPr>
                <w:rFonts w:ascii="Arial" w:cs="Arial" w:eastAsia="Arial" w:hAnsi="Arial"/>
                <w:sz w:val="18"/>
                <w:szCs w:val="18"/>
                <w:color w:val="auto"/>
              </w:rPr>
              <w:t>Net income</w:t>
            </w:r>
          </w:p>
        </w:tc>
        <w:tc>
          <w:tcPr>
            <w:tcW w:w="800" w:type="dxa"/>
            <w:vAlign w:val="bottom"/>
            <w:tcBorders>
              <w:top w:val="single" w:sz="8" w:color="auto"/>
            </w:tcBorders>
          </w:tcPr>
          <w:p>
            <w:pPr>
              <w:ind w:left="700"/>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7,038</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0.41</w:t>
            </w:r>
          </w:p>
        </w:tc>
        <w:tc>
          <w:tcPr>
            <w:tcW w:w="400" w:type="dxa"/>
            <w:vAlign w:val="bottom"/>
          </w:tcPr>
          <w:p>
            <w:pPr>
              <w:spacing w:after="0"/>
              <w:rPr>
                <w:sz w:val="17"/>
                <w:szCs w:val="17"/>
                <w:color w:val="auto"/>
              </w:rPr>
            </w:pP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5,827</w:t>
            </w:r>
          </w:p>
        </w:tc>
        <w:tc>
          <w:tcPr>
            <w:tcW w:w="380" w:type="dxa"/>
            <w:vAlign w:val="bottom"/>
          </w:tcPr>
          <w:p>
            <w:pPr>
              <w:spacing w:after="0"/>
              <w:rPr>
                <w:sz w:val="17"/>
                <w:szCs w:val="17"/>
                <w:color w:val="auto"/>
              </w:rPr>
            </w:pPr>
          </w:p>
        </w:tc>
        <w:tc>
          <w:tcPr>
            <w:tcW w:w="9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0.34</w:t>
            </w:r>
          </w:p>
        </w:tc>
        <w:tc>
          <w:tcPr>
            <w:tcW w:w="20" w:type="dxa"/>
            <w:vAlign w:val="bottom"/>
          </w:tcPr>
          <w:p>
            <w:pPr>
              <w:spacing w:after="0"/>
              <w:rPr>
                <w:sz w:val="17"/>
                <w:szCs w:val="17"/>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w w:val="97"/>
              </w:rPr>
              <w:t>After-tax foreign exchange (gain) loss on inter-company loans</w:t>
            </w:r>
          </w:p>
        </w:tc>
        <w:tc>
          <w:tcPr>
            <w:tcW w:w="8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(1,109)</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(0.06)</w:t>
            </w:r>
          </w:p>
        </w:tc>
        <w:tc>
          <w:tcPr>
            <w:tcW w:w="9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304</w:t>
            </w:r>
          </w:p>
        </w:tc>
        <w:tc>
          <w:tcPr>
            <w:tcW w:w="9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Net income from normal operations</w:t>
            </w:r>
          </w:p>
        </w:tc>
        <w:tc>
          <w:tcPr>
            <w:tcW w:w="800" w:type="dxa"/>
            <w:vAlign w:val="bottom"/>
          </w:tcPr>
          <w:p>
            <w:pPr>
              <w:ind w:left="70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5,929</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0.35</w:t>
            </w: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6,131</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0.36</w:t>
            </w:r>
          </w:p>
        </w:tc>
      </w:tr>
      <w:tr>
        <w:trPr>
          <w:trHeight w:val="21"/>
        </w:trPr>
        <w:tc>
          <w:tcPr>
            <w:tcW w:w="48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gridSpan w:val="5"/>
          </w:tcPr>
          <w:p>
            <w:pPr>
              <w:jc w:val="right"/>
              <w:ind w:right="1200"/>
              <w:spacing w:after="0"/>
              <w:rPr>
                <w:sz w:val="20"/>
                <w:szCs w:val="20"/>
                <w:color w:val="auto"/>
              </w:rPr>
            </w:pPr>
            <w:r>
              <w:rPr>
                <w:rFonts w:ascii="Arial" w:cs="Arial" w:eastAsia="Arial" w:hAnsi="Arial"/>
                <w:sz w:val="18"/>
                <w:szCs w:val="18"/>
                <w:b w:val="1"/>
                <w:bCs w:val="1"/>
                <w:color w:val="auto"/>
                <w:w w:val="92"/>
              </w:rPr>
              <w:t>Six Months Ended</w:t>
            </w:r>
          </w:p>
        </w:tc>
        <w:tc>
          <w:tcPr>
            <w:tcW w:w="860" w:type="dxa"/>
            <w:vAlign w:val="bottom"/>
          </w:tcPr>
          <w:p>
            <w:pPr>
              <w:spacing w:after="0"/>
              <w:rPr>
                <w:sz w:val="18"/>
                <w:szCs w:val="18"/>
                <w:color w:val="auto"/>
              </w:rPr>
            </w:pPr>
          </w:p>
        </w:tc>
        <w:tc>
          <w:tcPr>
            <w:tcW w:w="18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0"/>
              </w:rPr>
              <w:t>Six Months Ended</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gridSpan w:val="5"/>
          </w:tcPr>
          <w:p>
            <w:pPr>
              <w:jc w:val="right"/>
              <w:ind w:right="1400"/>
              <w:spacing w:after="0"/>
              <w:rPr>
                <w:sz w:val="20"/>
                <w:szCs w:val="20"/>
                <w:color w:val="auto"/>
              </w:rPr>
            </w:pPr>
            <w:r>
              <w:rPr>
                <w:rFonts w:ascii="Arial" w:cs="Arial" w:eastAsia="Arial" w:hAnsi="Arial"/>
                <w:sz w:val="18"/>
                <w:szCs w:val="18"/>
                <w:b w:val="1"/>
                <w:bCs w:val="1"/>
                <w:color w:val="auto"/>
              </w:rPr>
              <w:t>June 30, 2012</w:t>
            </w:r>
          </w:p>
        </w:tc>
        <w:tc>
          <w:tcPr>
            <w:tcW w:w="860" w:type="dxa"/>
            <w:vAlign w:val="bottom"/>
          </w:tcPr>
          <w:p>
            <w:pPr>
              <w:spacing w:after="0"/>
              <w:rPr>
                <w:sz w:val="18"/>
                <w:szCs w:val="18"/>
                <w:color w:val="auto"/>
              </w:rPr>
            </w:pPr>
          </w:p>
        </w:tc>
        <w:tc>
          <w:tcPr>
            <w:tcW w:w="186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June 30, 2011</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Diluted Earnings</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0"/>
              </w:rPr>
              <w:t>Diluted Earnings</w:t>
            </w:r>
          </w:p>
        </w:tc>
      </w:tr>
      <w:tr>
        <w:trPr>
          <w:trHeight w:val="241"/>
        </w:trPr>
        <w:tc>
          <w:tcPr>
            <w:tcW w:w="4800" w:type="dxa"/>
            <w:vAlign w:val="bottom"/>
          </w:tcPr>
          <w:p>
            <w:pPr>
              <w:spacing w:after="0"/>
              <w:rPr>
                <w:sz w:val="20"/>
                <w:szCs w:val="20"/>
                <w:color w:val="auto"/>
              </w:rPr>
            </w:pPr>
          </w:p>
        </w:tc>
        <w:tc>
          <w:tcPr>
            <w:tcW w:w="1720" w:type="dxa"/>
            <w:vAlign w:val="bottom"/>
            <w:gridSpan w:val="4"/>
          </w:tcPr>
          <w:p>
            <w:pPr>
              <w:ind w:left="140"/>
              <w:spacing w:after="0"/>
              <w:rPr>
                <w:sz w:val="20"/>
                <w:szCs w:val="20"/>
                <w:color w:val="auto"/>
              </w:rPr>
            </w:pPr>
            <w:r>
              <w:rPr>
                <w:rFonts w:ascii="Arial" w:cs="Arial" w:eastAsia="Arial" w:hAnsi="Arial"/>
                <w:sz w:val="18"/>
                <w:szCs w:val="18"/>
                <w:b w:val="1"/>
                <w:bCs w:val="1"/>
                <w:color w:val="auto"/>
              </w:rPr>
              <w:t>In Thousands</w:t>
            </w:r>
          </w:p>
        </w:tc>
        <w:tc>
          <w:tcPr>
            <w:tcW w:w="17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Per Share</w:t>
            </w:r>
          </w:p>
        </w:tc>
        <w:tc>
          <w:tcPr>
            <w:tcW w:w="1840" w:type="dxa"/>
            <w:vAlign w:val="bottom"/>
            <w:gridSpan w:val="3"/>
          </w:tcPr>
          <w:p>
            <w:pPr>
              <w:ind w:left="200"/>
              <w:spacing w:after="0"/>
              <w:rPr>
                <w:sz w:val="20"/>
                <w:szCs w:val="20"/>
                <w:color w:val="auto"/>
              </w:rPr>
            </w:pPr>
            <w:r>
              <w:rPr>
                <w:rFonts w:ascii="Arial" w:cs="Arial" w:eastAsia="Arial" w:hAnsi="Arial"/>
                <w:sz w:val="18"/>
                <w:szCs w:val="18"/>
                <w:b w:val="1"/>
                <w:bCs w:val="1"/>
                <w:color w:val="auto"/>
              </w:rPr>
              <w:t>In Thousands</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Per Share</w:t>
            </w:r>
          </w:p>
        </w:tc>
      </w:tr>
      <w:tr>
        <w:trPr>
          <w:trHeight w:val="202"/>
        </w:trPr>
        <w:tc>
          <w:tcPr>
            <w:tcW w:w="4800" w:type="dxa"/>
            <w:vAlign w:val="bottom"/>
          </w:tcPr>
          <w:p>
            <w:pPr>
              <w:spacing w:after="0" w:line="201" w:lineRule="exact"/>
              <w:rPr>
                <w:sz w:val="20"/>
                <w:szCs w:val="20"/>
                <w:color w:val="auto"/>
              </w:rPr>
            </w:pPr>
            <w:r>
              <w:rPr>
                <w:rFonts w:ascii="Arial" w:cs="Arial" w:eastAsia="Arial" w:hAnsi="Arial"/>
                <w:sz w:val="18"/>
                <w:szCs w:val="18"/>
                <w:color w:val="auto"/>
              </w:rPr>
              <w:t>Net income</w:t>
            </w: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4"/>
              </w:rPr>
              <w:t>12,947</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$ 0.76</w:t>
            </w:r>
          </w:p>
        </w:tc>
        <w:tc>
          <w:tcPr>
            <w:tcW w:w="400" w:type="dxa"/>
            <w:vAlign w:val="bottom"/>
          </w:tcPr>
          <w:p>
            <w:pPr>
              <w:spacing w:after="0"/>
              <w:rPr>
                <w:sz w:val="17"/>
                <w:szCs w:val="17"/>
                <w:color w:val="auto"/>
              </w:rPr>
            </w:pP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11,334</w:t>
            </w:r>
          </w:p>
        </w:tc>
        <w:tc>
          <w:tcPr>
            <w:tcW w:w="380" w:type="dxa"/>
            <w:vAlign w:val="bottom"/>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0.67</w:t>
            </w:r>
          </w:p>
        </w:tc>
        <w:tc>
          <w:tcPr>
            <w:tcW w:w="20" w:type="dxa"/>
            <w:vAlign w:val="bottom"/>
          </w:tcPr>
          <w:p>
            <w:pPr>
              <w:spacing w:after="0"/>
              <w:rPr>
                <w:sz w:val="17"/>
                <w:szCs w:val="17"/>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w w:val="97"/>
              </w:rPr>
              <w:t>After-tax foreign exchange (gain) loss on inter-company loans</w:t>
            </w:r>
          </w:p>
        </w:tc>
        <w:tc>
          <w:tcPr>
            <w:tcW w:w="7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(376)</w:t>
            </w:r>
          </w:p>
        </w:tc>
        <w:tc>
          <w:tcPr>
            <w:tcW w:w="38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(0.02)</w:t>
            </w:r>
          </w:p>
        </w:tc>
        <w:tc>
          <w:tcPr>
            <w:tcW w:w="8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1,155</w:t>
            </w:r>
          </w:p>
        </w:tc>
        <w:tc>
          <w:tcPr>
            <w:tcW w:w="8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r>
      <w:tr>
        <w:trPr>
          <w:trHeight w:val="237"/>
        </w:trPr>
        <w:tc>
          <w:tcPr>
            <w:tcW w:w="4800" w:type="dxa"/>
            <w:vAlign w:val="bottom"/>
          </w:tcPr>
          <w:p>
            <w:pPr>
              <w:spacing w:after="0"/>
              <w:rPr>
                <w:sz w:val="20"/>
                <w:szCs w:val="20"/>
                <w:color w:val="auto"/>
              </w:rPr>
            </w:pPr>
            <w:r>
              <w:rPr>
                <w:rFonts w:ascii="Arial" w:cs="Arial" w:eastAsia="Arial" w:hAnsi="Arial"/>
                <w:sz w:val="18"/>
                <w:szCs w:val="18"/>
                <w:color w:val="auto"/>
              </w:rPr>
              <w:t>After-tax gain from deconsolidation of bankrupt subsidiary</w:t>
            </w:r>
          </w:p>
        </w:tc>
        <w:tc>
          <w:tcPr>
            <w:tcW w:w="78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(840)</w:t>
            </w:r>
          </w:p>
        </w:tc>
        <w:tc>
          <w:tcPr>
            <w:tcW w:w="88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(0.05)</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Net income from normal operations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12,571</w:t>
            </w:r>
          </w:p>
        </w:tc>
        <w:tc>
          <w:tcPr>
            <w:tcW w:w="380" w:type="dxa"/>
            <w:vAlign w:val="bottom"/>
            <w:tcBorders>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0.74</w:t>
            </w:r>
          </w:p>
        </w:tc>
        <w:tc>
          <w:tcPr>
            <w:tcW w:w="40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11,649</w:t>
            </w:r>
          </w:p>
        </w:tc>
        <w:tc>
          <w:tcPr>
            <w:tcW w:w="380" w:type="dxa"/>
            <w:vAlign w:val="bottom"/>
            <w:tcBorders>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20" w:type="dxa"/>
            <w:vAlign w:val="bottom"/>
            <w:tcBorders>
              <w:bottom w:val="single" w:sz="8" w:color="auto"/>
            </w:tcBorders>
          </w:tcPr>
          <w:p>
            <w:pPr>
              <w:spacing w:after="0"/>
              <w:rPr>
                <w:sz w:val="18"/>
                <w:szCs w:val="18"/>
                <w:color w:val="auto"/>
              </w:rPr>
            </w:pPr>
          </w:p>
        </w:tc>
      </w:tr>
      <w:tr>
        <w:trPr>
          <w:trHeight w:val="21"/>
        </w:trPr>
        <w:tc>
          <w:tcPr>
            <w:tcW w:w="4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Company’s management evaluates operating performance excluding unusual and/or nonrecurring items. The Company believes excluding such items provides a more effective and comparable measure of performance and a clearer view of underlying trends. Since net income excluding these items is not a measure calculated in accordance with GAAP, this should not be considered as a substitute for other GAAP measures, including net income, as an indicator of performance. Accordingly, net income/loss excluding the above items is reconciled to net income/loss on a GAAP basis.</w:t>
      </w:r>
    </w:p>
    <w:sectPr>
      <w:pgSz w:w="11900" w:h="16838" w:orient="portrait"/>
      <w:cols w:equalWidth="0" w:num="1">
        <w:col w:w="11420"/>
      </w:cols>
      <w:pgMar w:left="240" w:top="1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2019-12-09T10:16:22Z</dcterms:created>
  <dcterms:modified xsi:type="dcterms:W3CDTF">2019-12-09T10:16:22Z</dcterms:modified>
</cp:coreProperties>
</file>