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13d-102)</w:t>
      </w:r>
    </w:p>
    <w:p>
      <w:pPr>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860" w:right="7579" w:hanging="9"/>
        <w:spacing w:after="0" w:line="547" w:lineRule="auto"/>
        <w:tabs>
          <w:tab w:leader="none" w:pos="12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tabs>
          <w:tab w:leader="none" w:pos="674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Page 2 of 4 Pages</w:t>
      </w:r>
    </w:p>
    <w:p>
      <w:pPr>
        <w:spacing w:after="0" w:line="200" w:lineRule="exact"/>
        <w:rPr>
          <w:sz w:val="24"/>
          <w:szCs w:val="24"/>
          <w:color w:val="auto"/>
        </w:rPr>
      </w:pPr>
    </w:p>
    <w:p>
      <w:pPr>
        <w:spacing w:after="0" w:line="204"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860"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w:t>
      </w:r>
    </w:p>
    <w:p>
      <w:pPr>
        <w:spacing w:after="0" w:line="208" w:lineRule="exact"/>
        <w:rPr>
          <w:rFonts w:ascii="Courier New" w:cs="Courier New" w:eastAsia="Courier New" w:hAnsi="Courier New"/>
          <w:sz w:val="18"/>
          <w:szCs w:val="18"/>
          <w:color w:val="auto"/>
        </w:rPr>
      </w:pPr>
    </w:p>
    <w:p>
      <w:pPr>
        <w:ind w:left="860" w:right="5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Paradigm Capital Management, Inc. 14-1770168</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(a)_____</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(b)_____</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3740" w:type="dxa"/>
            <w:vAlign w:val="bottom"/>
            <w:gridSpan w:val="3"/>
          </w:tcPr>
          <w:p>
            <w:pPr>
              <w:spacing w:after="0"/>
              <w:rPr>
                <w:sz w:val="20"/>
                <w:szCs w:val="20"/>
                <w:color w:val="auto"/>
              </w:rPr>
            </w:pPr>
            <w:r>
              <w:rPr>
                <w:rFonts w:ascii="Courier New" w:cs="Courier New" w:eastAsia="Courier New" w:hAnsi="Courier New"/>
                <w:sz w:val="18"/>
                <w:szCs w:val="18"/>
                <w:color w:val="auto"/>
                <w:w w:val="98"/>
              </w:rPr>
              <w:t>NUMBER OF SHARES BENEFICIALLY OWNED</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w w:val="97"/>
              </w:rPr>
              <w:t>BY EACH REPORTING PERSON WITH</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7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852,750</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3100" w:type="dxa"/>
            <w:vAlign w:val="bottom"/>
          </w:tcPr>
          <w:p>
            <w:pPr>
              <w:spacing w:after="0"/>
              <w:rPr>
                <w:sz w:val="17"/>
                <w:szCs w:val="17"/>
                <w:color w:val="auto"/>
              </w:rPr>
            </w:pPr>
          </w:p>
        </w:tc>
      </w:tr>
    </w:tbl>
    <w:p>
      <w:pPr>
        <w:ind w:left="1700" w:hanging="849"/>
        <w:spacing w:after="0" w:line="238" w:lineRule="auto"/>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852,750</w:t>
      </w:r>
    </w:p>
    <w:p>
      <w:pPr>
        <w:ind w:left="1700" w:hanging="849"/>
        <w:spacing w:after="0" w:line="238" w:lineRule="auto"/>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Power-0-</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852,750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860" w:right="2619" w:hanging="852"/>
        <w:spacing w:after="0" w:line="470"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Not Applicable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860" w:right="4199" w:hanging="852"/>
        <w:spacing w:after="0" w:line="470"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901" w:lineRule="auto"/>
        <w:rPr>
          <w:sz w:val="20"/>
          <w:szCs w:val="20"/>
          <w:color w:val="auto"/>
        </w:rPr>
      </w:pPr>
      <w:r>
        <w:rPr>
          <w:rFonts w:ascii="Courier New" w:cs="Courier New" w:eastAsia="Courier New" w:hAnsi="Courier New"/>
          <w:sz w:val="16"/>
          <w:szCs w:val="16"/>
          <w:color w:val="auto"/>
        </w:rPr>
        <w:t>CUSIP NO. Item 1(a) Item 1(b) Item 2(a)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WATERS EDGE DR, JOHNSON CITY, TN 37604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Paradigm Capital Management,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4 Pages</w:t>
      </w:r>
    </w:p>
    <w:p>
      <w:pPr>
        <w:spacing w:after="0" w:line="2740" w:lineRule="exact"/>
        <w:rPr>
          <w:sz w:val="20"/>
          <w:szCs w:val="20"/>
          <w:color w:val="auto"/>
        </w:rPr>
      </w:pPr>
    </w:p>
    <w:p>
      <w:pPr>
        <w:sectPr>
          <w:pgSz w:w="11900" w:h="16838" w:orient="portrait"/>
          <w:cols w:equalWidth="0" w:num="3">
            <w:col w:w="980" w:space="720"/>
            <w:col w:w="5060" w:space="0"/>
            <w:col w:w="3459"/>
          </w:cols>
          <w:pgMar w:left="240" w:top="136" w:right="1440" w:bottom="0" w:gutter="0" w:footer="0" w:header="0"/>
          <w:type w:val="continuous"/>
        </w:sectPr>
      </w:pPr>
    </w:p>
    <w:p>
      <w:pPr>
        <w:spacing w:after="0" w:line="117" w:lineRule="exact"/>
        <w:rPr>
          <w:sz w:val="20"/>
          <w:szCs w:val="20"/>
          <w:color w:val="auto"/>
        </w:rPr>
      </w:pPr>
    </w:p>
    <w:p>
      <w:pPr>
        <w:jc w:val="both"/>
        <w:ind w:right="20"/>
        <w:spacing w:after="0" w:line="1019" w:lineRule="auto"/>
        <w:rPr>
          <w:sz w:val="20"/>
          <w:szCs w:val="20"/>
          <w:color w:val="auto"/>
        </w:rPr>
      </w:pPr>
      <w:r>
        <w:rPr>
          <w:rFonts w:ascii="Courier New" w:cs="Courier New" w:eastAsia="Courier New" w:hAnsi="Courier New"/>
          <w:sz w:val="16"/>
          <w:szCs w:val="16"/>
          <w:color w:val="auto"/>
        </w:rPr>
        <w:t>Item 2(b) Item 2(c) Item 2(d) Item 2(e) Item 3.</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8"/>
          <w:szCs w:val="18"/>
          <w:color w:val="auto"/>
        </w:rPr>
        <w:t>Nine Elk Street, Albany, New York</w:t>
      </w:r>
      <w:r>
        <w:rPr>
          <w:sz w:val="20"/>
          <w:szCs w:val="20"/>
          <w:color w:val="auto"/>
        </w:rPr>
        <w:tab/>
      </w:r>
      <w:r>
        <w:rPr>
          <w:rFonts w:ascii="Courier New" w:cs="Courier New" w:eastAsia="Courier New" w:hAnsi="Courier New"/>
          <w:sz w:val="16"/>
          <w:szCs w:val="16"/>
          <w:color w:val="auto"/>
        </w:rPr>
        <w:t>12207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New York State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filed pursuant to 240.13d-1(b) or 240.13d-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or 9c), check whether the person filing is a:</w:t>
      </w:r>
    </w:p>
    <w:p>
      <w:pPr>
        <w:spacing w:after="0" w:line="206"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(e) [X] an investment adviser in accordance with 240.13d-1(b)</w:t>
      </w:r>
    </w:p>
    <w:p>
      <w:pPr>
        <w:sectPr>
          <w:pgSz w:w="11900" w:h="16838" w:orient="portrait"/>
          <w:cols w:equalWidth="0" w:num="1">
            <w:col w:w="10219"/>
          </w:cols>
          <w:pgMar w:left="240" w:top="136"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3300" w:type="dxa"/>
            <w:vAlign w:val="bottom"/>
          </w:tcPr>
          <w:p>
            <w:pPr>
              <w:ind w:left="260"/>
              <w:spacing w:after="0"/>
              <w:rPr>
                <w:sz w:val="20"/>
                <w:szCs w:val="20"/>
                <w:color w:val="auto"/>
              </w:rPr>
            </w:pPr>
            <w:r>
              <w:rPr>
                <w:rFonts w:ascii="Courier New" w:cs="Courier New" w:eastAsia="Courier New" w:hAnsi="Courier New"/>
                <w:sz w:val="18"/>
                <w:szCs w:val="18"/>
                <w:color w:val="auto"/>
              </w:rPr>
              <w:t>(1)(ii)(E).</w:t>
            </w:r>
          </w:p>
        </w:tc>
        <w:tc>
          <w:tcPr>
            <w:tcW w:w="106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0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1060" w:type="dxa"/>
            <w:vAlign w:val="bottom"/>
          </w:tcPr>
          <w:p>
            <w:pPr>
              <w:spacing w:after="0"/>
              <w:rPr>
                <w:sz w:val="24"/>
                <w:szCs w:val="24"/>
                <w:color w:val="auto"/>
              </w:rPr>
            </w:pPr>
          </w:p>
        </w:tc>
      </w:tr>
      <w:tr>
        <w:trPr>
          <w:trHeight w:val="405"/>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(a)</w:t>
            </w:r>
          </w:p>
        </w:tc>
        <w:tc>
          <w:tcPr>
            <w:tcW w:w="3300" w:type="dxa"/>
            <w:vAlign w:val="bottom"/>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w w:val="95"/>
              </w:rPr>
              <w:t>852,750</w:t>
            </w:r>
          </w:p>
        </w:tc>
      </w:tr>
      <w:tr>
        <w:trPr>
          <w:trHeight w:val="405"/>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(b)</w:t>
            </w:r>
          </w:p>
        </w:tc>
        <w:tc>
          <w:tcPr>
            <w:tcW w:w="330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5.2%</w:t>
            </w:r>
          </w:p>
        </w:tc>
      </w:tr>
    </w:tbl>
    <w:p>
      <w:pPr>
        <w:spacing w:after="0" w:line="201" w:lineRule="exact"/>
        <w:rPr>
          <w:sz w:val="20"/>
          <w:szCs w:val="20"/>
          <w:color w:val="auto"/>
        </w:rPr>
      </w:pPr>
    </w:p>
    <w:p>
      <w:pPr>
        <w:ind w:left="1700" w:hanging="849"/>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3380" w:right="251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852,750</w:t>
      </w:r>
    </w:p>
    <w:p>
      <w:pPr>
        <w:spacing w:after="0" w:line="11" w:lineRule="exact"/>
        <w:rPr>
          <w:rFonts w:ascii="Courier New" w:cs="Courier New" w:eastAsia="Courier New" w:hAnsi="Courier New"/>
          <w:sz w:val="18"/>
          <w:szCs w:val="18"/>
          <w:color w:val="auto"/>
        </w:rPr>
      </w:pPr>
    </w:p>
    <w:p>
      <w:pPr>
        <w:ind w:left="3380" w:right="261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-0-</w:t>
      </w:r>
    </w:p>
    <w:p>
      <w:pPr>
        <w:spacing w:after="0" w:line="11" w:lineRule="exact"/>
        <w:rPr>
          <w:rFonts w:ascii="Courier New" w:cs="Courier New" w:eastAsia="Courier New" w:hAnsi="Courier New"/>
          <w:sz w:val="18"/>
          <w:szCs w:val="18"/>
          <w:color w:val="auto"/>
        </w:rPr>
      </w:pPr>
    </w:p>
    <w:p>
      <w:pPr>
        <w:ind w:left="3380" w:right="115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852,750</w:t>
      </w:r>
    </w:p>
    <w:p>
      <w:pPr>
        <w:spacing w:after="0" w:line="11" w:lineRule="exact"/>
        <w:rPr>
          <w:rFonts w:ascii="Courier New" w:cs="Courier New" w:eastAsia="Courier New" w:hAnsi="Courier New"/>
          <w:sz w:val="18"/>
          <w:szCs w:val="18"/>
          <w:color w:val="auto"/>
        </w:rPr>
      </w:pPr>
    </w:p>
    <w:p>
      <w:pPr>
        <w:ind w:left="3380" w:right="93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CUSIP NO. 629337106</w:t>
            </w:r>
          </w:p>
        </w:tc>
        <w:tc>
          <w:tcPr>
            <w:tcW w:w="5840" w:type="dxa"/>
            <w:vAlign w:val="bottom"/>
          </w:tcPr>
          <w:p>
            <w:pPr>
              <w:ind w:left="3740"/>
              <w:spacing w:after="0"/>
              <w:rPr>
                <w:sz w:val="20"/>
                <w:szCs w:val="20"/>
                <w:color w:val="auto"/>
              </w:rPr>
            </w:pPr>
            <w:r>
              <w:rPr>
                <w:rFonts w:ascii="Courier New" w:cs="Courier New" w:eastAsia="Courier New" w:hAnsi="Courier New"/>
                <w:sz w:val="18"/>
                <w:szCs w:val="18"/>
                <w:color w:val="auto"/>
              </w:rPr>
              <w:t>Page 4 of 4 Pages</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Ownership of</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5% or Less of a Class.</w:t>
            </w:r>
          </w:p>
        </w:tc>
      </w:tr>
      <w:tr>
        <w:trPr>
          <w:trHeight w:val="405"/>
        </w:trPr>
        <w:tc>
          <w:tcPr>
            <w:tcW w:w="1640" w:type="dxa"/>
            <w:vAlign w:val="bottom"/>
          </w:tcPr>
          <w:p>
            <w:pPr>
              <w:ind w:left="860"/>
              <w:spacing w:after="0"/>
              <w:rPr>
                <w:sz w:val="20"/>
                <w:szCs w:val="20"/>
                <w:color w:val="auto"/>
              </w:rPr>
            </w:pPr>
            <w:r>
              <w:rPr>
                <w:rFonts w:ascii="Courier New" w:cs="Courier New" w:eastAsia="Courier New" w:hAnsi="Courier New"/>
                <w:sz w:val="18"/>
                <w:szCs w:val="18"/>
                <w:color w:val="auto"/>
              </w:rPr>
              <w:t>If this</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statement is</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being filed to report the fact as of the date hereof</w:t>
            </w:r>
          </w:p>
        </w:tc>
      </w:tr>
      <w:tr>
        <w:trPr>
          <w:trHeight w:val="203"/>
        </w:trPr>
        <w:tc>
          <w:tcPr>
            <w:tcW w:w="3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reporting person</w:t>
            </w:r>
          </w:p>
        </w:tc>
        <w:tc>
          <w:tcPr>
            <w:tcW w:w="5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has ceased to be the beneficial owner of more than five</w:t>
            </w: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percent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 class</w:t>
            </w:r>
          </w:p>
        </w:tc>
        <w:tc>
          <w:tcPr>
            <w:tcW w:w="5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securities, check the following  [ ].</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Ownership of</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more than 5% on Behalf of Another Person.</w:t>
            </w:r>
          </w:p>
        </w:tc>
      </w:tr>
    </w:tbl>
    <w:p>
      <w:pPr>
        <w:spacing w:after="0" w:line="207" w:lineRule="exact"/>
        <w:rPr>
          <w:sz w:val="20"/>
          <w:szCs w:val="20"/>
          <w:color w:val="auto"/>
        </w:rPr>
      </w:pPr>
    </w:p>
    <w:p>
      <w:pPr>
        <w:ind w:left="860" w:right="1679"/>
        <w:spacing w:after="0" w:line="235" w:lineRule="auto"/>
        <w:rPr>
          <w:sz w:val="20"/>
          <w:szCs w:val="20"/>
          <w:color w:val="auto"/>
        </w:rPr>
      </w:pPr>
      <w:r>
        <w:rPr>
          <w:rFonts w:ascii="Courier New" w:cs="Courier New" w:eastAsia="Courier New" w:hAnsi="Courier New"/>
          <w:sz w:val="18"/>
          <w:szCs w:val="18"/>
          <w:color w:val="auto"/>
        </w:rPr>
        <w:t>All securities reported in this Schedule 13G Report are owned by advisory clients of the Reporting Person.</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177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By signing below I (we)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in conjunction with the reporting persons beneficial ownership of the common stock of Orthofix International N.V. at December 31, 2004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14, 2008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PARADIGM CAPITAL MANAGEMENT,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By /s/ John V. Gulick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V. Gulick, Chief Compliance Officer</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Telephone:</w:t>
        <w:tab/>
        <w:t>(518) 431-3500</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- 4 -</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
      <w:numFmt w:val="bullet"/>
      <w:start w:val="1"/>
    </w:lvl>
    <w:lvl w:ilvl="1">
      <w:lvlJc w:val="left"/>
      <w:lvlText w:val="(%2)"/>
      <w:numFmt w:val="decimal"/>
      <w:start w:val="7"/>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decimal"/>
      <w:start w:val="12"/>
    </w:lvl>
  </w:abstractNum>
  <w:abstractNum w:abstractNumId="10">
    <w:nsid w:val="1F16E9E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2019-12-14T02:41:52Z</dcterms:created>
  <dcterms:modified xsi:type="dcterms:W3CDTF">2019-12-14T02:41:52Z</dcterms:modified>
</cp:coreProperties>
</file>