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469265</wp:posOffset>
            </wp:positionV>
            <wp:extent cx="70637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6374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494665</wp:posOffset>
            </wp:positionV>
            <wp:extent cx="70637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UNITED STATES</w:t>
      </w:r>
    </w:p>
    <w:p>
      <w:pPr>
        <w:spacing w:after="0" w:line="112"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121"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116840</wp:posOffset>
            </wp:positionV>
            <wp:extent cx="25971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62"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142875</wp:posOffset>
            </wp:positionV>
            <wp:extent cx="25971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27"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22"/>
          <w:szCs w:val="22"/>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41"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For the quarterly period ended June 30, 2021</w:t>
      </w:r>
    </w:p>
    <w:p>
      <w:pPr>
        <w:spacing w:after="0" w:line="5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OR</w:t>
      </w:r>
    </w:p>
    <w:p>
      <w:pPr>
        <w:spacing w:after="0" w:line="46"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8" w:lineRule="exact"/>
        <w:rPr>
          <w:sz w:val="24"/>
          <w:szCs w:val="24"/>
          <w:color w:val="auto"/>
        </w:rPr>
      </w:pPr>
    </w:p>
    <w:p>
      <w:pPr>
        <w:ind w:left="3640"/>
        <w:spacing w:after="0"/>
        <w:tabs>
          <w:tab w:leader="none" w:pos="66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3665855</wp:posOffset>
            </wp:positionH>
            <wp:positionV relativeFrom="paragraph">
              <wp:posOffset>-4445</wp:posOffset>
            </wp:positionV>
            <wp:extent cx="1165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93"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Commission File Number 000-23486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63500</wp:posOffset>
            </wp:positionV>
            <wp:extent cx="2597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9715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200660</wp:posOffset>
            </wp:positionV>
            <wp:extent cx="394335" cy="394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tbl>
      <w:tblPr>
        <w:tblLayout w:type="fixed"/>
        <w:tblInd w:w="660" w:type="dxa"/>
        <w:tblCellMar>
          <w:top w:w="0" w:type="dxa"/>
          <w:left w:w="0" w:type="dxa"/>
          <w:bottom w:w="0" w:type="dxa"/>
          <w:right w:w="0" w:type="dxa"/>
        </w:tblCellMar>
      </w:tblPr>
      <w:tr>
        <w:trPr>
          <w:trHeight w:val="392"/>
        </w:trPr>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60" w:type="dxa"/>
            <w:vAlign w:val="bottom"/>
          </w:tcPr>
          <w:p>
            <w:pPr>
              <w:jc w:val="center"/>
              <w:ind w:right="74"/>
              <w:spacing w:after="0"/>
              <w:rPr>
                <w:sz w:val="20"/>
                <w:szCs w:val="20"/>
                <w:color w:val="auto"/>
              </w:rPr>
            </w:pPr>
            <w:r>
              <w:rPr>
                <w:rFonts w:ascii="Arial" w:cs="Arial" w:eastAsia="Arial" w:hAnsi="Arial"/>
                <w:sz w:val="32"/>
                <w:szCs w:val="32"/>
                <w:b w:val="1"/>
                <w:bCs w:val="1"/>
                <w:color w:val="auto"/>
                <w:w w:val="97"/>
              </w:rPr>
              <w:t>NN, Inc.</w:t>
            </w:r>
          </w:p>
        </w:tc>
        <w:tc>
          <w:tcPr>
            <w:tcW w:w="2920" w:type="dxa"/>
            <w:vAlign w:val="bottom"/>
          </w:tcPr>
          <w:p>
            <w:pPr>
              <w:spacing w:after="0"/>
              <w:rPr>
                <w:sz w:val="24"/>
                <w:szCs w:val="24"/>
                <w:color w:val="auto"/>
              </w:rPr>
            </w:pPr>
          </w:p>
        </w:tc>
      </w:tr>
      <w:tr>
        <w:trPr>
          <w:trHeight w:val="210"/>
        </w:trPr>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60" w:type="dxa"/>
            <w:vAlign w:val="bottom"/>
          </w:tcPr>
          <w:p>
            <w:pPr>
              <w:jc w:val="center"/>
              <w:ind w:right="54"/>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2920" w:type="dxa"/>
            <w:vAlign w:val="bottom"/>
          </w:tcPr>
          <w:p>
            <w:pPr>
              <w:spacing w:after="0"/>
              <w:rPr>
                <w:sz w:val="18"/>
                <w:szCs w:val="18"/>
                <w:color w:val="auto"/>
              </w:rPr>
            </w:pPr>
          </w:p>
        </w:tc>
      </w:tr>
      <w:tr>
        <w:trPr>
          <w:trHeight w:val="182"/>
        </w:trPr>
        <w:tc>
          <w:tcPr>
            <w:tcW w:w="29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960" w:type="dxa"/>
            <w:vAlign w:val="bottom"/>
            <w:tcBorders>
              <w:bottom w:val="single" w:sz="8" w:color="auto"/>
            </w:tcBorders>
          </w:tcPr>
          <w:p>
            <w:pPr>
              <w:spacing w:after="0"/>
              <w:rPr>
                <w:sz w:val="15"/>
                <w:szCs w:val="15"/>
                <w:color w:val="auto"/>
              </w:rPr>
            </w:pPr>
          </w:p>
        </w:tc>
        <w:tc>
          <w:tcPr>
            <w:tcW w:w="2920" w:type="dxa"/>
            <w:vAlign w:val="bottom"/>
          </w:tcPr>
          <w:p>
            <w:pPr>
              <w:spacing w:after="0"/>
              <w:rPr>
                <w:sz w:val="15"/>
                <w:szCs w:val="15"/>
                <w:color w:val="auto"/>
              </w:rPr>
            </w:pPr>
          </w:p>
        </w:tc>
      </w:tr>
      <w:tr>
        <w:trPr>
          <w:trHeight w:val="311"/>
        </w:trPr>
        <w:tc>
          <w:tcPr>
            <w:tcW w:w="3060" w:type="dxa"/>
            <w:vAlign w:val="bottom"/>
            <w:gridSpan w:val="2"/>
          </w:tcPr>
          <w:p>
            <w:pPr>
              <w:jc w:val="center"/>
              <w:ind w:left="1043"/>
              <w:spacing w:after="0"/>
              <w:rPr>
                <w:sz w:val="20"/>
                <w:szCs w:val="20"/>
                <w:color w:val="auto"/>
              </w:rPr>
            </w:pPr>
            <w:r>
              <w:rPr>
                <w:rFonts w:ascii="Arial" w:cs="Arial" w:eastAsia="Arial" w:hAnsi="Arial"/>
                <w:sz w:val="16"/>
                <w:szCs w:val="16"/>
                <w:b w:val="1"/>
                <w:bCs w:val="1"/>
                <w:color w:val="auto"/>
                <w:w w:val="93"/>
              </w:rPr>
              <w:t>Delaware</w:t>
            </w:r>
          </w:p>
        </w:tc>
        <w:tc>
          <w:tcPr>
            <w:tcW w:w="3960" w:type="dxa"/>
            <w:vAlign w:val="bottom"/>
          </w:tcPr>
          <w:p>
            <w:pPr>
              <w:spacing w:after="0"/>
              <w:rPr>
                <w:sz w:val="24"/>
                <w:szCs w:val="24"/>
                <w:color w:val="auto"/>
              </w:rPr>
            </w:pPr>
          </w:p>
        </w:tc>
        <w:tc>
          <w:tcPr>
            <w:tcW w:w="2920" w:type="dxa"/>
            <w:vAlign w:val="bottom"/>
          </w:tcPr>
          <w:p>
            <w:pPr>
              <w:jc w:val="center"/>
              <w:ind w:right="1243"/>
              <w:spacing w:after="0"/>
              <w:rPr>
                <w:sz w:val="20"/>
                <w:szCs w:val="20"/>
                <w:color w:val="auto"/>
              </w:rPr>
            </w:pPr>
            <w:r>
              <w:rPr>
                <w:rFonts w:ascii="Arial" w:cs="Arial" w:eastAsia="Arial" w:hAnsi="Arial"/>
                <w:sz w:val="16"/>
                <w:szCs w:val="16"/>
                <w:b w:val="1"/>
                <w:bCs w:val="1"/>
                <w:color w:val="auto"/>
                <w:w w:val="93"/>
              </w:rPr>
              <w:t>62-1096725</w:t>
            </w:r>
          </w:p>
        </w:tc>
      </w:tr>
      <w:tr>
        <w:trPr>
          <w:trHeight w:val="172"/>
        </w:trPr>
        <w:tc>
          <w:tcPr>
            <w:tcW w:w="3060" w:type="dxa"/>
            <w:vAlign w:val="bottom"/>
            <w:gridSpan w:val="2"/>
          </w:tcPr>
          <w:p>
            <w:pPr>
              <w:jc w:val="center"/>
              <w:ind w:left="1043"/>
              <w:spacing w:after="0" w:line="171" w:lineRule="exact"/>
              <w:rPr>
                <w:sz w:val="20"/>
                <w:szCs w:val="20"/>
                <w:color w:val="auto"/>
              </w:rPr>
            </w:pPr>
            <w:r>
              <w:rPr>
                <w:rFonts w:ascii="Arial" w:cs="Arial" w:eastAsia="Arial" w:hAnsi="Arial"/>
                <w:sz w:val="16"/>
                <w:szCs w:val="16"/>
                <w:i w:val="1"/>
                <w:iCs w:val="1"/>
                <w:color w:val="auto"/>
                <w:w w:val="94"/>
              </w:rPr>
              <w:t>(State or other jurisdiction of</w:t>
            </w:r>
          </w:p>
        </w:tc>
        <w:tc>
          <w:tcPr>
            <w:tcW w:w="3960" w:type="dxa"/>
            <w:vAlign w:val="bottom"/>
          </w:tcPr>
          <w:p>
            <w:pPr>
              <w:spacing w:after="0"/>
              <w:rPr>
                <w:sz w:val="14"/>
                <w:szCs w:val="14"/>
                <w:color w:val="auto"/>
              </w:rPr>
            </w:pPr>
          </w:p>
        </w:tc>
        <w:tc>
          <w:tcPr>
            <w:tcW w:w="2920" w:type="dxa"/>
            <w:vAlign w:val="bottom"/>
          </w:tcPr>
          <w:p>
            <w:pPr>
              <w:jc w:val="center"/>
              <w:ind w:right="1243"/>
              <w:spacing w:after="0" w:line="171" w:lineRule="exact"/>
              <w:rPr>
                <w:sz w:val="20"/>
                <w:szCs w:val="20"/>
                <w:color w:val="auto"/>
              </w:rPr>
            </w:pPr>
            <w:r>
              <w:rPr>
                <w:rFonts w:ascii="Arial" w:cs="Arial" w:eastAsia="Arial" w:hAnsi="Arial"/>
                <w:sz w:val="16"/>
                <w:szCs w:val="16"/>
                <w:i w:val="1"/>
                <w:iCs w:val="1"/>
                <w:color w:val="auto"/>
                <w:w w:val="91"/>
              </w:rPr>
              <w:t>(I.R.S. Employer</w:t>
            </w:r>
          </w:p>
        </w:tc>
      </w:tr>
      <w:tr>
        <w:trPr>
          <w:trHeight w:val="206"/>
        </w:trPr>
        <w:tc>
          <w:tcPr>
            <w:tcW w:w="7020" w:type="dxa"/>
            <w:vAlign w:val="bottom"/>
            <w:gridSpan w:val="3"/>
          </w:tcPr>
          <w:p>
            <w:pPr>
              <w:jc w:val="center"/>
              <w:ind w:right="2734"/>
              <w:spacing w:after="0"/>
              <w:rPr>
                <w:sz w:val="20"/>
                <w:szCs w:val="20"/>
                <w:color w:val="auto"/>
              </w:rPr>
            </w:pPr>
            <w:r>
              <w:rPr>
                <w:rFonts w:ascii="Arial" w:cs="Arial" w:eastAsia="Arial" w:hAnsi="Arial"/>
                <w:sz w:val="16"/>
                <w:szCs w:val="16"/>
                <w:i w:val="1"/>
                <w:iCs w:val="1"/>
                <w:color w:val="auto"/>
                <w:w w:val="96"/>
              </w:rPr>
              <w:t>incorporation or organization)</w:t>
            </w:r>
          </w:p>
        </w:tc>
        <w:tc>
          <w:tcPr>
            <w:tcW w:w="2920" w:type="dxa"/>
            <w:vAlign w:val="bottom"/>
          </w:tcPr>
          <w:p>
            <w:pPr>
              <w:jc w:val="center"/>
              <w:ind w:right="1243"/>
              <w:spacing w:after="0"/>
              <w:rPr>
                <w:sz w:val="20"/>
                <w:szCs w:val="20"/>
                <w:color w:val="auto"/>
              </w:rPr>
            </w:pPr>
            <w:r>
              <w:rPr>
                <w:rFonts w:ascii="Arial" w:cs="Arial" w:eastAsia="Arial" w:hAnsi="Arial"/>
                <w:sz w:val="16"/>
                <w:szCs w:val="16"/>
                <w:i w:val="1"/>
                <w:iCs w:val="1"/>
                <w:color w:val="auto"/>
                <w:w w:val="94"/>
              </w:rPr>
              <w:t>Identification Number)</w:t>
            </w:r>
          </w:p>
        </w:tc>
      </w:tr>
      <w:tr>
        <w:trPr>
          <w:trHeight w:val="297"/>
        </w:trPr>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60" w:type="dxa"/>
            <w:vAlign w:val="bottom"/>
          </w:tcPr>
          <w:p>
            <w:pPr>
              <w:jc w:val="center"/>
              <w:ind w:right="74"/>
              <w:spacing w:after="0"/>
              <w:rPr>
                <w:sz w:val="20"/>
                <w:szCs w:val="20"/>
                <w:color w:val="auto"/>
              </w:rPr>
            </w:pPr>
            <w:r>
              <w:rPr>
                <w:rFonts w:ascii="Arial" w:cs="Arial" w:eastAsia="Arial" w:hAnsi="Arial"/>
                <w:sz w:val="16"/>
                <w:szCs w:val="16"/>
                <w:b w:val="1"/>
                <w:bCs w:val="1"/>
                <w:color w:val="auto"/>
                <w:w w:val="93"/>
              </w:rPr>
              <w:t>6210 Ardrey Kell Road, Suite 600</w:t>
            </w:r>
          </w:p>
        </w:tc>
        <w:tc>
          <w:tcPr>
            <w:tcW w:w="2920" w:type="dxa"/>
            <w:vAlign w:val="bottom"/>
          </w:tcPr>
          <w:p>
            <w:pPr>
              <w:spacing w:after="0"/>
              <w:rPr>
                <w:sz w:val="24"/>
                <w:szCs w:val="24"/>
                <w:color w:val="auto"/>
              </w:rPr>
            </w:pPr>
          </w:p>
        </w:tc>
      </w:tr>
      <w:tr>
        <w:trPr>
          <w:trHeight w:val="297"/>
        </w:trPr>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60" w:type="dxa"/>
            <w:vAlign w:val="bottom"/>
          </w:tcPr>
          <w:p>
            <w:pPr>
              <w:jc w:val="center"/>
              <w:ind w:right="54"/>
              <w:spacing w:after="0"/>
              <w:rPr>
                <w:sz w:val="20"/>
                <w:szCs w:val="20"/>
                <w:color w:val="auto"/>
              </w:rPr>
            </w:pPr>
            <w:r>
              <w:rPr>
                <w:rFonts w:ascii="Arial" w:cs="Arial" w:eastAsia="Arial" w:hAnsi="Arial"/>
                <w:sz w:val="16"/>
                <w:szCs w:val="16"/>
                <w:b w:val="1"/>
                <w:bCs w:val="1"/>
                <w:color w:val="auto"/>
                <w:w w:val="94"/>
              </w:rPr>
              <w:t>Charlotte, North Carolina 28277</w:t>
            </w:r>
          </w:p>
        </w:tc>
        <w:tc>
          <w:tcPr>
            <w:tcW w:w="2920" w:type="dxa"/>
            <w:vAlign w:val="bottom"/>
          </w:tcPr>
          <w:p>
            <w:pPr>
              <w:spacing w:after="0"/>
              <w:rPr>
                <w:sz w:val="24"/>
                <w:szCs w:val="24"/>
                <w:color w:val="auto"/>
              </w:rPr>
            </w:pPr>
          </w:p>
        </w:tc>
      </w:tr>
      <w:tr>
        <w:trPr>
          <w:trHeight w:val="297"/>
        </w:trPr>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60" w:type="dxa"/>
            <w:vAlign w:val="bottom"/>
          </w:tcPr>
          <w:p>
            <w:pPr>
              <w:jc w:val="center"/>
              <w:ind w:right="74"/>
              <w:spacing w:after="0"/>
              <w:rPr>
                <w:sz w:val="20"/>
                <w:szCs w:val="20"/>
                <w:color w:val="auto"/>
              </w:rPr>
            </w:pPr>
            <w:r>
              <w:rPr>
                <w:rFonts w:ascii="Arial" w:cs="Arial" w:eastAsia="Arial" w:hAnsi="Arial"/>
                <w:sz w:val="16"/>
                <w:szCs w:val="16"/>
                <w:i w:val="1"/>
                <w:iCs w:val="1"/>
                <w:color w:val="auto"/>
                <w:w w:val="92"/>
              </w:rPr>
              <w:t>(Address of principal executive offices, including zip code)</w:t>
            </w:r>
          </w:p>
        </w:tc>
        <w:tc>
          <w:tcPr>
            <w:tcW w:w="2920" w:type="dxa"/>
            <w:vAlign w:val="bottom"/>
          </w:tcPr>
          <w:p>
            <w:pPr>
              <w:spacing w:after="0"/>
              <w:rPr>
                <w:sz w:val="24"/>
                <w:szCs w:val="24"/>
                <w:color w:val="auto"/>
              </w:rPr>
            </w:pPr>
          </w:p>
        </w:tc>
      </w:tr>
      <w:tr>
        <w:trPr>
          <w:trHeight w:val="243"/>
        </w:trPr>
        <w:tc>
          <w:tcPr>
            <w:tcW w:w="2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960" w:type="dxa"/>
            <w:vAlign w:val="bottom"/>
          </w:tcPr>
          <w:p>
            <w:pPr>
              <w:jc w:val="center"/>
              <w:ind w:right="54"/>
              <w:spacing w:after="0"/>
              <w:rPr>
                <w:sz w:val="20"/>
                <w:szCs w:val="20"/>
                <w:color w:val="auto"/>
              </w:rPr>
            </w:pPr>
            <w:r>
              <w:rPr>
                <w:rFonts w:ascii="Arial" w:cs="Arial" w:eastAsia="Arial" w:hAnsi="Arial"/>
                <w:sz w:val="16"/>
                <w:szCs w:val="16"/>
                <w:b w:val="1"/>
                <w:bCs w:val="1"/>
                <w:color w:val="auto"/>
                <w:w w:val="93"/>
              </w:rPr>
              <w:t>(980) 264-4300</w:t>
            </w:r>
          </w:p>
        </w:tc>
        <w:tc>
          <w:tcPr>
            <w:tcW w:w="2920" w:type="dxa"/>
            <w:vAlign w:val="bottom"/>
          </w:tcPr>
          <w:p>
            <w:pPr>
              <w:spacing w:after="0"/>
              <w:rPr>
                <w:sz w:val="21"/>
                <w:szCs w:val="21"/>
                <w:color w:val="auto"/>
              </w:rPr>
            </w:pPr>
          </w:p>
        </w:tc>
      </w:tr>
      <w:tr>
        <w:trPr>
          <w:trHeight w:val="297"/>
        </w:trPr>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60" w:type="dxa"/>
            <w:vAlign w:val="bottom"/>
          </w:tcPr>
          <w:p>
            <w:pPr>
              <w:jc w:val="center"/>
              <w:ind w:right="114"/>
              <w:spacing w:after="0"/>
              <w:rPr>
                <w:sz w:val="20"/>
                <w:szCs w:val="20"/>
                <w:color w:val="auto"/>
              </w:rPr>
            </w:pPr>
            <w:r>
              <w:rPr>
                <w:rFonts w:ascii="Arial" w:cs="Arial" w:eastAsia="Arial" w:hAnsi="Arial"/>
                <w:sz w:val="16"/>
                <w:szCs w:val="16"/>
                <w:i w:val="1"/>
                <w:iCs w:val="1"/>
                <w:color w:val="auto"/>
                <w:w w:val="91"/>
              </w:rPr>
              <w:t>(Registrant’s telephone number, including area code)</w:t>
            </w:r>
          </w:p>
        </w:tc>
        <w:tc>
          <w:tcPr>
            <w:tcW w:w="2920" w:type="dxa"/>
            <w:vAlign w:val="bottom"/>
          </w:tcPr>
          <w:p>
            <w:pPr>
              <w:spacing w:after="0"/>
              <w:rPr>
                <w:sz w:val="24"/>
                <w:szCs w:val="24"/>
                <w:color w:val="auto"/>
              </w:rPr>
            </w:pPr>
          </w:p>
        </w:tc>
      </w:tr>
      <w:tr>
        <w:trPr>
          <w:trHeight w:val="250"/>
        </w:trPr>
        <w:tc>
          <w:tcPr>
            <w:tcW w:w="2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960" w:type="dxa"/>
            <w:vAlign w:val="bottom"/>
          </w:tcPr>
          <w:p>
            <w:pPr>
              <w:jc w:val="center"/>
              <w:ind w:right="74"/>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2920" w:type="dxa"/>
            <w:vAlign w:val="bottom"/>
          </w:tcPr>
          <w:p>
            <w:pPr>
              <w:spacing w:after="0"/>
              <w:rPr>
                <w:sz w:val="21"/>
                <w:szCs w:val="21"/>
                <w:color w:val="auto"/>
              </w:rPr>
            </w:pPr>
          </w:p>
        </w:tc>
      </w:tr>
      <w:tr>
        <w:trPr>
          <w:trHeight w:val="189"/>
        </w:trPr>
        <w:tc>
          <w:tcPr>
            <w:tcW w:w="3060" w:type="dxa"/>
            <w:vAlign w:val="bottom"/>
            <w:gridSpan w:val="2"/>
          </w:tcPr>
          <w:p>
            <w:pPr>
              <w:jc w:val="center"/>
              <w:ind w:right="500"/>
              <w:spacing w:after="0"/>
              <w:rPr>
                <w:sz w:val="20"/>
                <w:szCs w:val="20"/>
                <w:color w:val="auto"/>
              </w:rPr>
            </w:pPr>
            <w:r>
              <w:rPr>
                <w:rFonts w:ascii="Arial" w:cs="Arial" w:eastAsia="Arial" w:hAnsi="Arial"/>
                <w:sz w:val="14"/>
                <w:szCs w:val="14"/>
                <w:i w:val="1"/>
                <w:iCs w:val="1"/>
                <w:color w:val="auto"/>
                <w:w w:val="92"/>
              </w:rPr>
              <w:t>Title of each class</w:t>
            </w:r>
          </w:p>
        </w:tc>
        <w:tc>
          <w:tcPr>
            <w:tcW w:w="3960" w:type="dxa"/>
            <w:vAlign w:val="bottom"/>
          </w:tcPr>
          <w:p>
            <w:pPr>
              <w:jc w:val="center"/>
              <w:ind w:right="14"/>
              <w:spacing w:after="0"/>
              <w:rPr>
                <w:sz w:val="20"/>
                <w:szCs w:val="20"/>
                <w:color w:val="auto"/>
              </w:rPr>
            </w:pPr>
            <w:r>
              <w:rPr>
                <w:rFonts w:ascii="Arial" w:cs="Arial" w:eastAsia="Arial" w:hAnsi="Arial"/>
                <w:sz w:val="14"/>
                <w:szCs w:val="14"/>
                <w:i w:val="1"/>
                <w:iCs w:val="1"/>
                <w:color w:val="auto"/>
                <w:w w:val="94"/>
              </w:rPr>
              <w:t>Trading symbol</w:t>
            </w:r>
          </w:p>
        </w:tc>
        <w:tc>
          <w:tcPr>
            <w:tcW w:w="2920" w:type="dxa"/>
            <w:vAlign w:val="bottom"/>
          </w:tcPr>
          <w:p>
            <w:pPr>
              <w:jc w:val="center"/>
              <w:ind w:left="303"/>
              <w:spacing w:after="0"/>
              <w:rPr>
                <w:sz w:val="20"/>
                <w:szCs w:val="20"/>
                <w:color w:val="auto"/>
              </w:rPr>
            </w:pPr>
            <w:r>
              <w:rPr>
                <w:rFonts w:ascii="Arial" w:cs="Arial" w:eastAsia="Arial" w:hAnsi="Arial"/>
                <w:sz w:val="14"/>
                <w:szCs w:val="14"/>
                <w:i w:val="1"/>
                <w:iCs w:val="1"/>
                <w:color w:val="auto"/>
                <w:w w:val="91"/>
              </w:rPr>
              <w:t>Name of each exchange on which registered</w:t>
            </w:r>
          </w:p>
        </w:tc>
      </w:tr>
      <w:tr>
        <w:trPr>
          <w:trHeight w:val="189"/>
        </w:trPr>
        <w:tc>
          <w:tcPr>
            <w:tcW w:w="30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3960" w:type="dxa"/>
            <w:vAlign w:val="bottom"/>
          </w:tcPr>
          <w:p>
            <w:pPr>
              <w:jc w:val="center"/>
              <w:ind w:right="14"/>
              <w:spacing w:after="0"/>
              <w:rPr>
                <w:sz w:val="20"/>
                <w:szCs w:val="20"/>
                <w:color w:val="auto"/>
              </w:rPr>
            </w:pPr>
            <w:r>
              <w:rPr>
                <w:rFonts w:ascii="Arial" w:cs="Arial" w:eastAsia="Arial" w:hAnsi="Arial"/>
                <w:sz w:val="14"/>
                <w:szCs w:val="14"/>
                <w:b w:val="1"/>
                <w:bCs w:val="1"/>
                <w:color w:val="auto"/>
              </w:rPr>
              <w:t>NNBR</w:t>
            </w:r>
          </w:p>
        </w:tc>
        <w:tc>
          <w:tcPr>
            <w:tcW w:w="2920" w:type="dxa"/>
            <w:vAlign w:val="bottom"/>
          </w:tcPr>
          <w:p>
            <w:pPr>
              <w:jc w:val="center"/>
              <w:ind w:left="303"/>
              <w:spacing w:after="0"/>
              <w:rPr>
                <w:sz w:val="20"/>
                <w:szCs w:val="20"/>
                <w:color w:val="auto"/>
              </w:rPr>
            </w:pPr>
            <w:r>
              <w:rPr>
                <w:rFonts w:ascii="Arial" w:cs="Arial" w:eastAsia="Arial" w:hAnsi="Arial"/>
                <w:sz w:val="14"/>
                <w:szCs w:val="14"/>
                <w:b w:val="1"/>
                <w:bCs w:val="1"/>
                <w:color w:val="auto"/>
                <w:w w:val="96"/>
              </w:rPr>
              <w:t>The Nasdaq Stock Market LLC</w:t>
            </w:r>
          </w:p>
        </w:tc>
      </w:tr>
    </w:tbl>
    <w:p>
      <w:pPr>
        <w:spacing w:after="0" w:line="196" w:lineRule="exact"/>
        <w:rPr>
          <w:sz w:val="24"/>
          <w:szCs w:val="24"/>
          <w:color w:val="auto"/>
        </w:rPr>
      </w:pPr>
    </w:p>
    <w:p>
      <w:pPr>
        <w:ind w:right="12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7060" w:type="dxa"/>
            <w:vAlign w:val="bottom"/>
            <w:gridSpan w:val="2"/>
          </w:tcPr>
          <w:p>
            <w:pPr>
              <w:spacing w:after="0" w:line="161" w:lineRule="exact"/>
              <w:rPr>
                <w:sz w:val="20"/>
                <w:szCs w:val="20"/>
                <w:color w:val="auto"/>
              </w:rPr>
            </w:pPr>
            <w:r>
              <w:rPr>
                <w:rFonts w:ascii="Arial" w:cs="Arial" w:eastAsia="Arial" w:hAnsi="Arial"/>
                <w:sz w:val="14"/>
                <w:szCs w:val="14"/>
                <w:color w:val="auto"/>
                <w:w w:val="95"/>
              </w:rPr>
              <w:t xml:space="preserve">during the preceding 12 months (or for such shorter period that the registrant was required to submit such files).  Yes </w:t>
            </w:r>
            <w:r>
              <w:rPr>
                <w:rFonts w:ascii="MS PGothic" w:cs="MS PGothic" w:eastAsia="MS PGothic" w:hAnsi="MS PGothic"/>
                <w:sz w:val="14"/>
                <w:szCs w:val="14"/>
                <w:color w:val="auto"/>
                <w:w w:val="95"/>
              </w:rPr>
              <w:t>☒</w:t>
            </w:r>
          </w:p>
        </w:tc>
        <w:tc>
          <w:tcPr>
            <w:tcW w:w="3700" w:type="dxa"/>
            <w:vAlign w:val="bottom"/>
          </w:tcPr>
          <w:p>
            <w:pPr>
              <w:ind w:left="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280" w:type="dxa"/>
            <w:vAlign w:val="bottom"/>
          </w:tcPr>
          <w:p>
            <w:pPr>
              <w:spacing w:after="0"/>
              <w:rPr>
                <w:sz w:val="18"/>
                <w:szCs w:val="18"/>
                <w:color w:val="auto"/>
              </w:rPr>
            </w:pPr>
          </w:p>
        </w:tc>
      </w:tr>
      <w:tr>
        <w:trPr>
          <w:trHeight w:val="162"/>
        </w:trPr>
        <w:tc>
          <w:tcPr>
            <w:tcW w:w="10760" w:type="dxa"/>
            <w:vAlign w:val="bottom"/>
            <w:gridSpan w:val="3"/>
          </w:tcPr>
          <w:p>
            <w:pPr>
              <w:spacing w:after="0"/>
              <w:rPr>
                <w:sz w:val="20"/>
                <w:szCs w:val="20"/>
                <w:color w:val="auto"/>
              </w:rPr>
            </w:pPr>
            <w:r>
              <w:rPr>
                <w:rFonts w:ascii="Arial" w:cs="Arial" w:eastAsia="Arial" w:hAnsi="Arial"/>
                <w:sz w:val="14"/>
                <w:szCs w:val="14"/>
                <w:color w:val="auto"/>
                <w:w w:val="93"/>
              </w:rPr>
              <w:t>Indicate by check mark whether the registrant is a large accelerated filer, an accelerated filer, a non-accelerated filer, a smaller reporting company, or an emerging growth company. See</w:t>
            </w:r>
          </w:p>
        </w:tc>
        <w:tc>
          <w:tcPr>
            <w:tcW w:w="280" w:type="dxa"/>
            <w:vAlign w:val="bottom"/>
          </w:tcPr>
          <w:p>
            <w:pPr>
              <w:spacing w:after="0"/>
              <w:rPr>
                <w:sz w:val="14"/>
                <w:szCs w:val="14"/>
                <w:color w:val="auto"/>
              </w:rPr>
            </w:pPr>
          </w:p>
        </w:tc>
      </w:tr>
      <w:tr>
        <w:trPr>
          <w:trHeight w:val="175"/>
        </w:trPr>
        <w:tc>
          <w:tcPr>
            <w:tcW w:w="10760" w:type="dxa"/>
            <w:vAlign w:val="bottom"/>
            <w:gridSpan w:val="3"/>
          </w:tcPr>
          <w:p>
            <w:pPr>
              <w:spacing w:after="0"/>
              <w:rPr>
                <w:sz w:val="20"/>
                <w:szCs w:val="20"/>
                <w:color w:val="auto"/>
              </w:rPr>
            </w:pPr>
            <w:r>
              <w:rPr>
                <w:rFonts w:ascii="Arial" w:cs="Arial" w:eastAsia="Arial" w:hAnsi="Arial"/>
                <w:sz w:val="14"/>
                <w:szCs w:val="14"/>
                <w:color w:val="auto"/>
              </w:rPr>
              <w:t>definitions of “large accelerated filer,” “accelerated filer,” “smaller reporting company,” and “emerging growth company” in Rule 12b-2 of the Exchange Act.</w:t>
            </w:r>
          </w:p>
        </w:tc>
        <w:tc>
          <w:tcPr>
            <w:tcW w:w="280" w:type="dxa"/>
            <w:vAlign w:val="bottom"/>
          </w:tcPr>
          <w:p>
            <w:pPr>
              <w:spacing w:after="0"/>
              <w:rPr>
                <w:sz w:val="15"/>
                <w:szCs w:val="15"/>
                <w:color w:val="auto"/>
              </w:rPr>
            </w:pPr>
          </w:p>
        </w:tc>
      </w:tr>
      <w:tr>
        <w:trPr>
          <w:trHeight w:val="189"/>
        </w:trPr>
        <w:tc>
          <w:tcPr>
            <w:tcW w:w="1960" w:type="dxa"/>
            <w:vAlign w:val="bottom"/>
          </w:tcPr>
          <w:p>
            <w:pPr>
              <w:ind w:left="20"/>
              <w:spacing w:after="0"/>
              <w:rPr>
                <w:sz w:val="20"/>
                <w:szCs w:val="20"/>
                <w:color w:val="auto"/>
              </w:rPr>
            </w:pPr>
            <w:r>
              <w:rPr>
                <w:rFonts w:ascii="Arial" w:cs="Arial" w:eastAsia="Arial" w:hAnsi="Arial"/>
                <w:sz w:val="14"/>
                <w:szCs w:val="14"/>
                <w:color w:val="auto"/>
              </w:rPr>
              <w:t>Large accelerated filer</w:t>
            </w:r>
          </w:p>
        </w:tc>
        <w:tc>
          <w:tcPr>
            <w:tcW w:w="5100" w:type="dxa"/>
            <w:vAlign w:val="bottom"/>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3700" w:type="dxa"/>
            <w:vAlign w:val="bottom"/>
          </w:tcPr>
          <w:p>
            <w:pPr>
              <w:ind w:left="1180"/>
              <w:spacing w:after="0"/>
              <w:rPr>
                <w:sz w:val="20"/>
                <w:szCs w:val="20"/>
                <w:color w:val="auto"/>
              </w:rPr>
            </w:pPr>
            <w:r>
              <w:rPr>
                <w:rFonts w:ascii="Arial" w:cs="Arial" w:eastAsia="Arial" w:hAnsi="Arial"/>
                <w:sz w:val="14"/>
                <w:szCs w:val="14"/>
                <w:color w:val="auto"/>
              </w:rPr>
              <w:t>Accelerated filer</w:t>
            </w:r>
          </w:p>
        </w:tc>
        <w:tc>
          <w:tcPr>
            <w:tcW w:w="28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1960" w:type="dxa"/>
            <w:vAlign w:val="bottom"/>
          </w:tcPr>
          <w:p>
            <w:pPr>
              <w:ind w:left="20"/>
              <w:spacing w:after="0"/>
              <w:rPr>
                <w:sz w:val="20"/>
                <w:szCs w:val="20"/>
                <w:color w:val="auto"/>
              </w:rPr>
            </w:pPr>
            <w:r>
              <w:rPr>
                <w:rFonts w:ascii="Arial" w:cs="Arial" w:eastAsia="Arial" w:hAnsi="Arial"/>
                <w:sz w:val="14"/>
                <w:szCs w:val="14"/>
                <w:color w:val="auto"/>
              </w:rPr>
              <w:t>Non-accelerated filer</w:t>
            </w:r>
          </w:p>
        </w:tc>
        <w:tc>
          <w:tcPr>
            <w:tcW w:w="5100" w:type="dxa"/>
            <w:vAlign w:val="bottom"/>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3700" w:type="dxa"/>
            <w:vAlign w:val="bottom"/>
          </w:tcPr>
          <w:p>
            <w:pPr>
              <w:ind w:left="1180"/>
              <w:spacing w:after="0"/>
              <w:rPr>
                <w:sz w:val="20"/>
                <w:szCs w:val="20"/>
                <w:color w:val="auto"/>
              </w:rPr>
            </w:pPr>
            <w:r>
              <w:rPr>
                <w:rFonts w:ascii="Arial" w:cs="Arial" w:eastAsia="Arial" w:hAnsi="Arial"/>
                <w:sz w:val="14"/>
                <w:szCs w:val="14"/>
                <w:color w:val="auto"/>
              </w:rPr>
              <w:t>Smaller reporting company</w:t>
            </w:r>
          </w:p>
        </w:tc>
        <w:tc>
          <w:tcPr>
            <w:tcW w:w="28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96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3700" w:type="dxa"/>
            <w:vAlign w:val="bottom"/>
          </w:tcPr>
          <w:p>
            <w:pPr>
              <w:ind w:left="1180"/>
              <w:spacing w:after="0"/>
              <w:rPr>
                <w:sz w:val="20"/>
                <w:szCs w:val="20"/>
                <w:color w:val="auto"/>
              </w:rPr>
            </w:pPr>
            <w:r>
              <w:rPr>
                <w:rFonts w:ascii="Arial" w:cs="Arial" w:eastAsia="Arial" w:hAnsi="Arial"/>
                <w:sz w:val="14"/>
                <w:szCs w:val="14"/>
                <w:color w:val="auto"/>
              </w:rPr>
              <w:t>Emerging growth company</w:t>
            </w:r>
          </w:p>
        </w:tc>
        <w:tc>
          <w:tcPr>
            <w:tcW w:w="28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58" w:lineRule="exact"/>
        <w:rPr>
          <w:sz w:val="24"/>
          <w:szCs w:val="24"/>
          <w:color w:val="auto"/>
        </w:rPr>
      </w:pPr>
    </w:p>
    <w:p>
      <w:pPr>
        <w:ind w:right="4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right="3520"/>
        <w:spacing w:after="0" w:line="213"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August 2, 2021, there were 43,033,548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93980</wp:posOffset>
            </wp:positionV>
            <wp:extent cx="70637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6374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119380</wp:posOffset>
            </wp:positionV>
            <wp:extent cx="70637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ectPr>
          <w:pgSz w:w="11900" w:h="16838" w:orient="portrait"/>
          <w:cols w:equalWidth="0" w:num="1">
            <w:col w:w="11140"/>
          </w:cols>
          <w:pgMar w:left="320" w:top="233" w:right="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580" w:type="dxa"/>
            <w:vAlign w:val="bottom"/>
            <w:gridSpan w:val="4"/>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772"/>
        </w:trPr>
        <w:tc>
          <w:tcPr>
            <w:tcW w:w="20" w:type="dxa"/>
            <w:vAlign w:val="bottom"/>
            <w:tcBorders>
              <w:top w:val="single" w:sz="8" w:color="0000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20" w:type="dxa"/>
            <w:vAlign w:val="bottom"/>
            <w:gridSpan w:val="12"/>
          </w:tcPr>
          <w:p>
            <w:pPr>
              <w:jc w:val="center"/>
              <w:ind w:right="3600"/>
              <w:spacing w:after="0"/>
              <w:rPr>
                <w:sz w:val="20"/>
                <w:szCs w:val="20"/>
                <w:color w:val="auto"/>
              </w:rPr>
            </w:pPr>
            <w:r>
              <w:rPr>
                <w:rFonts w:ascii="Arial" w:cs="Arial" w:eastAsia="Arial" w:hAnsi="Arial"/>
                <w:sz w:val="18"/>
                <w:szCs w:val="18"/>
                <w:b w:val="1"/>
                <w:bCs w:val="1"/>
                <w:color w:val="auto"/>
                <w:w w:val="95"/>
              </w:rPr>
              <w:t>NN, Inc.</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720" w:type="dxa"/>
            <w:vAlign w:val="bottom"/>
            <w:gridSpan w:val="12"/>
          </w:tcPr>
          <w:p>
            <w:pPr>
              <w:jc w:val="center"/>
              <w:ind w:right="3580"/>
              <w:spacing w:after="0"/>
              <w:rPr>
                <w:sz w:val="20"/>
                <w:szCs w:val="20"/>
                <w:color w:val="auto"/>
              </w:rPr>
            </w:pPr>
            <w:r>
              <w:rPr>
                <w:rFonts w:ascii="Arial" w:cs="Arial" w:eastAsia="Arial" w:hAnsi="Arial"/>
                <w:sz w:val="18"/>
                <w:szCs w:val="18"/>
                <w:b w:val="1"/>
                <w:bCs w:val="1"/>
                <w:color w:val="auto"/>
              </w:rPr>
              <w:t>INDEX</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715"/>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Page</w:t>
            </w:r>
          </w:p>
        </w:tc>
      </w:tr>
      <w:tr>
        <w:trPr>
          <w:trHeight w:val="190"/>
        </w:trPr>
        <w:tc>
          <w:tcPr>
            <w:tcW w:w="20" w:type="dxa"/>
            <w:vAlign w:val="bottom"/>
          </w:tcPr>
          <w:p>
            <w:pPr>
              <w:spacing w:after="0"/>
              <w:rPr>
                <w:sz w:val="16"/>
                <w:szCs w:val="16"/>
                <w:color w:val="auto"/>
              </w:rPr>
            </w:pPr>
          </w:p>
        </w:tc>
        <w:tc>
          <w:tcPr>
            <w:tcW w:w="2900" w:type="dxa"/>
            <w:vAlign w:val="bottom"/>
            <w:gridSpan w:val="9"/>
          </w:tcPr>
          <w:p>
            <w:pPr>
              <w:spacing w:after="0" w:line="190" w:lineRule="exact"/>
              <w:rPr>
                <w:rFonts w:ascii="Arial" w:cs="Arial" w:eastAsia="Arial" w:hAnsi="Arial"/>
                <w:sz w:val="18"/>
                <w:szCs w:val="18"/>
                <w:color w:val="0000FF"/>
                <w:w w:val="97"/>
              </w:rPr>
            </w:pPr>
            <w:hyperlink w:anchor="page2">
              <w:r>
                <w:rPr>
                  <w:rFonts w:ascii="Arial" w:cs="Arial" w:eastAsia="Arial" w:hAnsi="Arial"/>
                  <w:sz w:val="18"/>
                  <w:szCs w:val="18"/>
                  <w:color w:val="0000FF"/>
                  <w:w w:val="97"/>
                </w:rPr>
                <w:t>PART I. FINANCIAL INFORMATION</w:t>
              </w:r>
            </w:hyperlink>
          </w:p>
        </w:tc>
        <w:tc>
          <w:tcPr>
            <w:tcW w:w="6860" w:type="dxa"/>
            <w:vAlign w:val="bottom"/>
            <w:gridSpan w:val="27"/>
          </w:tcPr>
          <w:p>
            <w:pPr>
              <w:spacing w:after="0"/>
              <w:rPr>
                <w:sz w:val="16"/>
                <w:szCs w:val="16"/>
                <w:color w:val="auto"/>
              </w:rPr>
            </w:pPr>
          </w:p>
        </w:tc>
        <w:tc>
          <w:tcPr>
            <w:tcW w:w="1440" w:type="dxa"/>
            <w:vAlign w:val="bottom"/>
            <w:gridSpan w:val="3"/>
          </w:tcPr>
          <w:p>
            <w:pPr>
              <w:jc w:val="right"/>
              <w:spacing w:after="0" w:line="190" w:lineRule="exact"/>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560" w:type="dxa"/>
            <w:vAlign w:val="bottom"/>
            <w:gridSpan w:val="3"/>
          </w:tcPr>
          <w:p>
            <w:pPr>
              <w:ind w:left="440"/>
              <w:spacing w:after="0"/>
              <w:rPr>
                <w:sz w:val="20"/>
                <w:szCs w:val="20"/>
                <w:color w:val="auto"/>
              </w:rPr>
            </w:pPr>
            <w:r>
              <w:rPr>
                <w:rFonts w:ascii="Arial" w:cs="Arial" w:eastAsia="Arial" w:hAnsi="Arial"/>
                <w:sz w:val="18"/>
                <w:szCs w:val="18"/>
                <w:color w:val="auto"/>
              </w:rPr>
              <w:t>Item 1.</w:t>
            </w:r>
          </w:p>
        </w:tc>
        <w:tc>
          <w:tcPr>
            <w:tcW w:w="8200" w:type="dxa"/>
            <w:vAlign w:val="bottom"/>
            <w:gridSpan w:val="3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44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0" w:type="dxa"/>
            <w:vAlign w:val="bottom"/>
            <w:gridSpan w:val="3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 and Comprehensive Income (Loss) (Unaudited)</w:t>
              </w:r>
            </w:hyperlink>
          </w:p>
        </w:tc>
        <w:tc>
          <w:tcPr>
            <w:tcW w:w="144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140" w:type="dxa"/>
            <w:vAlign w:val="bottom"/>
            <w:gridSpan w:val="31"/>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(Unaudited)</w:t>
              </w:r>
            </w:hyperlink>
          </w:p>
        </w:tc>
        <w:tc>
          <w:tcPr>
            <w:tcW w:w="860" w:type="dxa"/>
            <w:vAlign w:val="bottom"/>
          </w:tcPr>
          <w:p>
            <w:pPr>
              <w:spacing w:after="0"/>
              <w:rPr>
                <w:sz w:val="18"/>
                <w:szCs w:val="18"/>
                <w:color w:val="auto"/>
              </w:rPr>
            </w:pPr>
          </w:p>
        </w:tc>
        <w:tc>
          <w:tcPr>
            <w:tcW w:w="144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160" w:type="dxa"/>
            <w:vAlign w:val="bottom"/>
            <w:gridSpan w:val="29"/>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Condensed Consolidated Statements of Changes in Stockholders’ Equity (Unaudited)</w:t>
              </w:r>
            </w:hyperlink>
          </w:p>
        </w:tc>
        <w:tc>
          <w:tcPr>
            <w:tcW w:w="1840" w:type="dxa"/>
            <w:vAlign w:val="bottom"/>
            <w:gridSpan w:val="3"/>
          </w:tcPr>
          <w:p>
            <w:pPr>
              <w:spacing w:after="0"/>
              <w:rPr>
                <w:sz w:val="18"/>
                <w:szCs w:val="18"/>
                <w:color w:val="auto"/>
              </w:rPr>
            </w:pPr>
          </w:p>
        </w:tc>
        <w:tc>
          <w:tcPr>
            <w:tcW w:w="144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160" w:type="dxa"/>
            <w:vAlign w:val="bottom"/>
            <w:gridSpan w:val="2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 (Unaudited)</w:t>
              </w:r>
            </w:hyperlink>
          </w:p>
        </w:tc>
        <w:tc>
          <w:tcPr>
            <w:tcW w:w="1840" w:type="dxa"/>
            <w:vAlign w:val="bottom"/>
            <w:gridSpan w:val="3"/>
          </w:tcPr>
          <w:p>
            <w:pPr>
              <w:spacing w:after="0"/>
              <w:rPr>
                <w:sz w:val="18"/>
                <w:szCs w:val="18"/>
                <w:color w:val="auto"/>
              </w:rPr>
            </w:pPr>
          </w:p>
        </w:tc>
        <w:tc>
          <w:tcPr>
            <w:tcW w:w="1440" w:type="dxa"/>
            <w:vAlign w:val="bottom"/>
            <w:gridSpan w:val="3"/>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0" w:type="dxa"/>
            <w:vAlign w:val="bottom"/>
            <w:gridSpan w:val="32"/>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 (Unaudited)</w:t>
              </w:r>
            </w:hyperlink>
          </w:p>
        </w:tc>
        <w:tc>
          <w:tcPr>
            <w:tcW w:w="1440" w:type="dxa"/>
            <w:vAlign w:val="bottom"/>
            <w:gridSpan w:val="3"/>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18"/>
          </w:tcPr>
          <w:p>
            <w:pPr>
              <w:spacing w:after="0"/>
              <w:rPr>
                <w:rFonts w:ascii="Arial" w:cs="Arial" w:eastAsia="Arial" w:hAnsi="Arial"/>
                <w:sz w:val="18"/>
                <w:szCs w:val="18"/>
                <w:color w:val="0000FF"/>
                <w:w w:val="90"/>
              </w:rPr>
            </w:pPr>
            <w:hyperlink w:anchor="page8">
              <w:r>
                <w:rPr>
                  <w:rFonts w:ascii="Arial" w:cs="Arial" w:eastAsia="Arial" w:hAnsi="Arial"/>
                  <w:sz w:val="18"/>
                  <w:szCs w:val="18"/>
                  <w:color w:val="0000FF"/>
                  <w:w w:val="90"/>
                </w:rPr>
                <w:t>Note 1. Interim Financial Statements</w:t>
              </w:r>
            </w:hyperlink>
          </w:p>
        </w:tc>
        <w:tc>
          <w:tcPr>
            <w:tcW w:w="2020" w:type="dxa"/>
            <w:vAlign w:val="bottom"/>
            <w:gridSpan w:val="9"/>
          </w:tcPr>
          <w:p>
            <w:pPr>
              <w:spacing w:after="0"/>
              <w:rPr>
                <w:sz w:val="18"/>
                <w:szCs w:val="18"/>
                <w:color w:val="auto"/>
              </w:rPr>
            </w:pPr>
          </w:p>
        </w:tc>
        <w:tc>
          <w:tcPr>
            <w:tcW w:w="3100" w:type="dxa"/>
            <w:vAlign w:val="bottom"/>
            <w:gridSpan w:val="4"/>
          </w:tcPr>
          <w:p>
            <w:pPr>
              <w:spacing w:after="0"/>
              <w:rPr>
                <w:sz w:val="18"/>
                <w:szCs w:val="18"/>
                <w:color w:val="auto"/>
              </w:rPr>
            </w:pPr>
          </w:p>
        </w:tc>
        <w:tc>
          <w:tcPr>
            <w:tcW w:w="1440" w:type="dxa"/>
            <w:vAlign w:val="bottom"/>
            <w:gridSpan w:val="3"/>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8</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18"/>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 2. Discontinued Operations</w:t>
              </w:r>
            </w:hyperlink>
          </w:p>
        </w:tc>
        <w:tc>
          <w:tcPr>
            <w:tcW w:w="5120" w:type="dxa"/>
            <w:vAlign w:val="bottom"/>
            <w:gridSpan w:val="13"/>
          </w:tcPr>
          <w:p>
            <w:pPr>
              <w:spacing w:after="0"/>
              <w:rPr>
                <w:sz w:val="18"/>
                <w:szCs w:val="18"/>
                <w:color w:val="auto"/>
              </w:rPr>
            </w:pPr>
          </w:p>
        </w:tc>
        <w:tc>
          <w:tcPr>
            <w:tcW w:w="1440" w:type="dxa"/>
            <w:vAlign w:val="bottom"/>
            <w:gridSpan w:val="3"/>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9</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15"/>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Note 3. Segment Information</w:t>
              </w:r>
            </w:hyperlink>
          </w:p>
        </w:tc>
        <w:tc>
          <w:tcPr>
            <w:tcW w:w="5420" w:type="dxa"/>
            <w:vAlign w:val="bottom"/>
            <w:gridSpan w:val="16"/>
          </w:tcPr>
          <w:p>
            <w:pPr>
              <w:spacing w:after="0"/>
              <w:rPr>
                <w:sz w:val="18"/>
                <w:szCs w:val="18"/>
                <w:color w:val="auto"/>
              </w:rPr>
            </w:pPr>
          </w:p>
        </w:tc>
        <w:tc>
          <w:tcPr>
            <w:tcW w:w="1440" w:type="dxa"/>
            <w:vAlign w:val="bottom"/>
            <w:gridSpan w:val="3"/>
          </w:tcPr>
          <w:p>
            <w:pPr>
              <w:jc w:val="right"/>
              <w:spacing w:after="0"/>
              <w:rPr>
                <w:rFonts w:ascii="Arial" w:cs="Arial" w:eastAsia="Arial" w:hAnsi="Arial"/>
                <w:sz w:val="18"/>
                <w:szCs w:val="18"/>
                <w:color w:val="0000FF"/>
              </w:rPr>
            </w:pPr>
            <w:hyperlink w:anchor="page11">
              <w:r>
                <w:rPr>
                  <w:rFonts w:ascii="Arial" w:cs="Arial" w:eastAsia="Arial" w:hAnsi="Arial"/>
                  <w:sz w:val="18"/>
                  <w:szCs w:val="18"/>
                  <w:color w:val="0000FF"/>
                </w:rPr>
                <w:t>11</w:t>
              </w:r>
            </w:hyperlink>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Borders>
              <w:top w:val="single" w:sz="8" w:color="0000FF"/>
            </w:tcBorders>
            <w:gridSpan w:val="14"/>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Note 4. Inventories</w:t>
              </w:r>
            </w:hyperlink>
          </w:p>
        </w:tc>
        <w:tc>
          <w:tcPr>
            <w:tcW w:w="5620" w:type="dxa"/>
            <w:vAlign w:val="bottom"/>
            <w:gridSpan w:val="17"/>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12">
              <w:r>
                <w:rPr>
                  <w:rFonts w:ascii="Arial" w:cs="Arial" w:eastAsia="Arial" w:hAnsi="Arial"/>
                  <w:sz w:val="18"/>
                  <w:szCs w:val="18"/>
                  <w:color w:val="0000FF"/>
                  <w:w w:val="79"/>
                </w:rPr>
                <w:t>12</w:t>
              </w:r>
            </w:hyperlink>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3"/>
              </w:rPr>
            </w:pPr>
            <w:hyperlink w:anchor="page12">
              <w:r>
                <w:rPr>
                  <w:rFonts w:ascii="Arial" w:cs="Arial" w:eastAsia="Arial" w:hAnsi="Arial"/>
                  <w:sz w:val="18"/>
                  <w:szCs w:val="18"/>
                  <w:color w:val="0000FF"/>
                  <w:w w:val="93"/>
                </w:rPr>
                <w:t>Note 5. Goodwill</w:t>
              </w:r>
            </w:hyperlink>
          </w:p>
        </w:tc>
        <w:tc>
          <w:tcPr>
            <w:tcW w:w="120" w:type="dxa"/>
            <w:vAlign w:val="bottom"/>
            <w:tcBorders>
              <w:top w:val="single" w:sz="8" w:color="0000FF"/>
            </w:tcBorders>
            <w:gridSpan w:val="2"/>
          </w:tcPr>
          <w:p>
            <w:pPr>
              <w:spacing w:after="0"/>
              <w:rPr>
                <w:sz w:val="18"/>
                <w:szCs w:val="18"/>
                <w:color w:val="auto"/>
              </w:rPr>
            </w:pPr>
          </w:p>
        </w:tc>
        <w:tc>
          <w:tcPr>
            <w:tcW w:w="6400" w:type="dxa"/>
            <w:vAlign w:val="bottom"/>
            <w:gridSpan w:val="21"/>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12">
              <w:r>
                <w:rPr>
                  <w:rFonts w:ascii="Arial" w:cs="Arial" w:eastAsia="Arial" w:hAnsi="Arial"/>
                  <w:sz w:val="18"/>
                  <w:szCs w:val="18"/>
                  <w:color w:val="0000FF"/>
                  <w:w w:val="79"/>
                </w:rPr>
                <w:t>12</w:t>
              </w:r>
            </w:hyperlink>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80" w:type="dxa"/>
            <w:vAlign w:val="bottom"/>
            <w:gridSpan w:val="31"/>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Note 6. Intangible Assets, Net</w:t>
              </w:r>
            </w:hyperlink>
          </w:p>
        </w:tc>
        <w:tc>
          <w:tcPr>
            <w:tcW w:w="1440" w:type="dxa"/>
            <w:vAlign w:val="bottom"/>
            <w:gridSpan w:val="3"/>
          </w:tcPr>
          <w:p>
            <w:pPr>
              <w:jc w:val="right"/>
              <w:spacing w:after="0"/>
              <w:rPr>
                <w:rFonts w:ascii="Arial" w:cs="Arial" w:eastAsia="Arial" w:hAnsi="Arial"/>
                <w:sz w:val="18"/>
                <w:szCs w:val="18"/>
                <w:color w:val="0000FF"/>
              </w:rPr>
            </w:pPr>
            <w:hyperlink w:anchor="page12">
              <w:r>
                <w:rPr>
                  <w:rFonts w:ascii="Arial" w:cs="Arial" w:eastAsia="Arial" w:hAnsi="Arial"/>
                  <w:sz w:val="18"/>
                  <w:szCs w:val="18"/>
                  <w:color w:val="0000FF"/>
                </w:rPr>
                <w:t>13</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tcBorders>
              <w:bottom w:val="single" w:sz="8" w:color="0000FF"/>
            </w:tcBorders>
            <w:gridSpan w:val="17"/>
          </w:tcPr>
          <w:p>
            <w:pPr>
              <w:spacing w:after="0"/>
              <w:rPr>
                <w:rFonts w:ascii="Arial" w:cs="Arial" w:eastAsia="Arial" w:hAnsi="Arial"/>
                <w:sz w:val="18"/>
                <w:szCs w:val="18"/>
                <w:color w:val="0000FF"/>
                <w:w w:val="90"/>
              </w:rPr>
            </w:pPr>
            <w:hyperlink w:anchor="page13">
              <w:r>
                <w:rPr>
                  <w:rFonts w:ascii="Arial" w:cs="Arial" w:eastAsia="Arial" w:hAnsi="Arial"/>
                  <w:sz w:val="18"/>
                  <w:szCs w:val="18"/>
                  <w:color w:val="0000FF"/>
                  <w:w w:val="90"/>
                </w:rPr>
                <w:t>Note 7. Investment in Joint Venture</w:t>
              </w:r>
            </w:hyperlink>
          </w:p>
        </w:tc>
        <w:tc>
          <w:tcPr>
            <w:tcW w:w="5220" w:type="dxa"/>
            <w:vAlign w:val="bottom"/>
            <w:gridSpan w:val="14"/>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3">
              <w:r>
                <w:rPr>
                  <w:rFonts w:ascii="Arial" w:cs="Arial" w:eastAsia="Arial" w:hAnsi="Arial"/>
                  <w:sz w:val="18"/>
                  <w:szCs w:val="18"/>
                  <w:color w:val="0000FF"/>
                  <w:w w:val="79"/>
                </w:rPr>
                <w:t>13</w:t>
              </w:r>
            </w:hyperlink>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Borders>
              <w:bottom w:val="single" w:sz="8" w:color="0000FF"/>
            </w:tcBorders>
            <w:gridSpan w:val="11"/>
          </w:tcPr>
          <w:p>
            <w:pPr>
              <w:spacing w:after="0"/>
              <w:rPr>
                <w:rFonts w:ascii="Arial" w:cs="Arial" w:eastAsia="Arial" w:hAnsi="Arial"/>
                <w:sz w:val="18"/>
                <w:szCs w:val="18"/>
                <w:color w:val="0000FF"/>
                <w:w w:val="88"/>
              </w:rPr>
            </w:pPr>
            <w:hyperlink w:anchor="page13">
              <w:r>
                <w:rPr>
                  <w:rFonts w:ascii="Arial" w:cs="Arial" w:eastAsia="Arial" w:hAnsi="Arial"/>
                  <w:sz w:val="18"/>
                  <w:szCs w:val="18"/>
                  <w:color w:val="0000FF"/>
                  <w:w w:val="88"/>
                </w:rPr>
                <w:t>Note 8. Income Taxes</w:t>
              </w:r>
            </w:hyperlink>
          </w:p>
        </w:tc>
        <w:tc>
          <w:tcPr>
            <w:tcW w:w="6200" w:type="dxa"/>
            <w:vAlign w:val="bottom"/>
            <w:gridSpan w:val="20"/>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3">
              <w:r>
                <w:rPr>
                  <w:rFonts w:ascii="Arial" w:cs="Arial" w:eastAsia="Arial" w:hAnsi="Arial"/>
                  <w:sz w:val="18"/>
                  <w:szCs w:val="18"/>
                  <w:color w:val="0000FF"/>
                  <w:w w:val="79"/>
                </w:rPr>
                <w:t>13</w:t>
              </w:r>
            </w:hyperlink>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13">
              <w:r>
                <w:rPr>
                  <w:rFonts w:ascii="Arial" w:cs="Arial" w:eastAsia="Arial" w:hAnsi="Arial"/>
                  <w:sz w:val="18"/>
                  <w:szCs w:val="18"/>
                  <w:color w:val="0000FF"/>
                  <w:w w:val="90"/>
                </w:rPr>
                <w:t>Note 9. Debt</w:t>
              </w:r>
            </w:hyperlink>
          </w:p>
        </w:tc>
        <w:tc>
          <w:tcPr>
            <w:tcW w:w="6840" w:type="dxa"/>
            <w:vAlign w:val="bottom"/>
            <w:gridSpan w:val="26"/>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3">
              <w:r>
                <w:rPr>
                  <w:rFonts w:ascii="Arial" w:cs="Arial" w:eastAsia="Arial" w:hAnsi="Arial"/>
                  <w:sz w:val="18"/>
                  <w:szCs w:val="18"/>
                  <w:color w:val="0000FF"/>
                  <w:w w:val="79"/>
                </w:rPr>
                <w:t>13</w:t>
              </w:r>
            </w:hyperlink>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bottom w:val="single" w:sz="8" w:color="0000FF"/>
            </w:tcBorders>
            <w:gridSpan w:val="7"/>
          </w:tcPr>
          <w:p>
            <w:pPr>
              <w:spacing w:after="0"/>
              <w:rPr>
                <w:rFonts w:ascii="Arial" w:cs="Arial" w:eastAsia="Arial" w:hAnsi="Arial"/>
                <w:sz w:val="18"/>
                <w:szCs w:val="18"/>
                <w:color w:val="0000FF"/>
                <w:w w:val="86"/>
              </w:rPr>
            </w:pPr>
            <w:hyperlink w:anchor="page15">
              <w:r>
                <w:rPr>
                  <w:rFonts w:ascii="Arial" w:cs="Arial" w:eastAsia="Arial" w:hAnsi="Arial"/>
                  <w:sz w:val="18"/>
                  <w:szCs w:val="18"/>
                  <w:color w:val="0000FF"/>
                  <w:w w:val="86"/>
                </w:rPr>
                <w:t>Note 10. Leases</w:t>
              </w:r>
            </w:hyperlink>
          </w:p>
        </w:tc>
        <w:tc>
          <w:tcPr>
            <w:tcW w:w="6620" w:type="dxa"/>
            <w:vAlign w:val="bottom"/>
            <w:gridSpan w:val="24"/>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5">
              <w:r>
                <w:rPr>
                  <w:rFonts w:ascii="Arial" w:cs="Arial" w:eastAsia="Arial" w:hAnsi="Arial"/>
                  <w:sz w:val="18"/>
                  <w:szCs w:val="18"/>
                  <w:color w:val="0000FF"/>
                  <w:w w:val="79"/>
                </w:rPr>
                <w:t>15</w:t>
              </w:r>
            </w:hyperlink>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60" w:type="dxa"/>
            <w:vAlign w:val="bottom"/>
            <w:tcBorders>
              <w:bottom w:val="single" w:sz="8" w:color="0000FF"/>
            </w:tcBorders>
            <w:gridSpan w:val="19"/>
          </w:tcPr>
          <w:p>
            <w:pPr>
              <w:spacing w:after="0"/>
              <w:rPr>
                <w:rFonts w:ascii="Arial" w:cs="Arial" w:eastAsia="Arial" w:hAnsi="Arial"/>
                <w:sz w:val="18"/>
                <w:szCs w:val="18"/>
                <w:color w:val="0000FF"/>
                <w:w w:val="89"/>
              </w:rPr>
            </w:pPr>
            <w:hyperlink w:anchor="page15">
              <w:r>
                <w:rPr>
                  <w:rFonts w:ascii="Arial" w:cs="Arial" w:eastAsia="Arial" w:hAnsi="Arial"/>
                  <w:sz w:val="18"/>
                  <w:szCs w:val="18"/>
                  <w:color w:val="0000FF"/>
                  <w:w w:val="89"/>
                </w:rPr>
                <w:t>Note 11. Commitments and Contingencies</w:t>
              </w:r>
            </w:hyperlink>
          </w:p>
        </w:tc>
        <w:tc>
          <w:tcPr>
            <w:tcW w:w="4720" w:type="dxa"/>
            <w:vAlign w:val="bottom"/>
            <w:gridSpan w:val="12"/>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5">
              <w:r>
                <w:rPr>
                  <w:rFonts w:ascii="Arial" w:cs="Arial" w:eastAsia="Arial" w:hAnsi="Arial"/>
                  <w:sz w:val="18"/>
                  <w:szCs w:val="18"/>
                  <w:color w:val="0000FF"/>
                  <w:w w:val="79"/>
                </w:rPr>
                <w:t>16</w:t>
              </w:r>
            </w:hyperlink>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Borders>
              <w:bottom w:val="single" w:sz="8" w:color="0000FF"/>
            </w:tcBorders>
            <w:gridSpan w:val="22"/>
          </w:tcPr>
          <w:p>
            <w:pPr>
              <w:spacing w:after="0"/>
              <w:rPr>
                <w:rFonts w:ascii="Arial" w:cs="Arial" w:eastAsia="Arial" w:hAnsi="Arial"/>
                <w:sz w:val="18"/>
                <w:szCs w:val="18"/>
                <w:color w:val="0000FF"/>
                <w:w w:val="90"/>
              </w:rPr>
            </w:pPr>
            <w:hyperlink w:anchor="page16">
              <w:r>
                <w:rPr>
                  <w:rFonts w:ascii="Arial" w:cs="Arial" w:eastAsia="Arial" w:hAnsi="Arial"/>
                  <w:sz w:val="18"/>
                  <w:szCs w:val="18"/>
                  <w:color w:val="0000FF"/>
                  <w:w w:val="90"/>
                </w:rPr>
                <w:t>Note 12. Preferred Stock and Stockholders' Equity</w:t>
              </w:r>
            </w:hyperlink>
          </w:p>
        </w:tc>
        <w:tc>
          <w:tcPr>
            <w:tcW w:w="4140" w:type="dxa"/>
            <w:vAlign w:val="bottom"/>
            <w:gridSpan w:val="9"/>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6">
              <w:r>
                <w:rPr>
                  <w:rFonts w:ascii="Arial" w:cs="Arial" w:eastAsia="Arial" w:hAnsi="Arial"/>
                  <w:sz w:val="18"/>
                  <w:szCs w:val="18"/>
                  <w:color w:val="0000FF"/>
                  <w:w w:val="79"/>
                </w:rPr>
                <w:t>17</w:t>
              </w:r>
            </w:hyperlink>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tcBorders>
              <w:bottom w:val="single" w:sz="8" w:color="0000FF"/>
            </w:tcBorders>
            <w:gridSpan w:val="21"/>
          </w:tcPr>
          <w:p>
            <w:pPr>
              <w:spacing w:after="0"/>
              <w:rPr>
                <w:rFonts w:ascii="Arial" w:cs="Arial" w:eastAsia="Arial" w:hAnsi="Arial"/>
                <w:sz w:val="18"/>
                <w:szCs w:val="18"/>
                <w:color w:val="0000FF"/>
                <w:w w:val="90"/>
              </w:rPr>
            </w:pPr>
            <w:hyperlink w:anchor="page18">
              <w:r>
                <w:rPr>
                  <w:rFonts w:ascii="Arial" w:cs="Arial" w:eastAsia="Arial" w:hAnsi="Arial"/>
                  <w:sz w:val="18"/>
                  <w:szCs w:val="18"/>
                  <w:color w:val="0000FF"/>
                  <w:w w:val="90"/>
                </w:rPr>
                <w:t>Note 13. Revenue from Contracts with Customers</w:t>
              </w:r>
            </w:hyperlink>
          </w:p>
        </w:tc>
        <w:tc>
          <w:tcPr>
            <w:tcW w:w="4160" w:type="dxa"/>
            <w:vAlign w:val="bottom"/>
            <w:gridSpan w:val="10"/>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8">
              <w:r>
                <w:rPr>
                  <w:rFonts w:ascii="Arial" w:cs="Arial" w:eastAsia="Arial" w:hAnsi="Arial"/>
                  <w:sz w:val="18"/>
                  <w:szCs w:val="18"/>
                  <w:color w:val="0000FF"/>
                  <w:w w:val="79"/>
                </w:rPr>
                <w:t>18</w:t>
              </w:r>
            </w:hyperlink>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Borders>
              <w:bottom w:val="single" w:sz="8" w:color="0000FF"/>
            </w:tcBorders>
            <w:gridSpan w:val="18"/>
          </w:tcPr>
          <w:p>
            <w:pPr>
              <w:spacing w:after="0"/>
              <w:rPr>
                <w:rFonts w:ascii="Arial" w:cs="Arial" w:eastAsia="Arial" w:hAnsi="Arial"/>
                <w:sz w:val="18"/>
                <w:szCs w:val="18"/>
                <w:color w:val="0000FF"/>
                <w:w w:val="88"/>
              </w:rPr>
            </w:pPr>
            <w:hyperlink w:anchor="page20">
              <w:r>
                <w:rPr>
                  <w:rFonts w:ascii="Arial" w:cs="Arial" w:eastAsia="Arial" w:hAnsi="Arial"/>
                  <w:sz w:val="18"/>
                  <w:szCs w:val="18"/>
                  <w:color w:val="0000FF"/>
                  <w:w w:val="88"/>
                </w:rPr>
                <w:t>Note 14. Share-Based Compensation</w:t>
              </w:r>
            </w:hyperlink>
          </w:p>
        </w:tc>
        <w:tc>
          <w:tcPr>
            <w:tcW w:w="5120" w:type="dxa"/>
            <w:vAlign w:val="bottom"/>
            <w:gridSpan w:val="13"/>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0">
              <w:r>
                <w:rPr>
                  <w:rFonts w:ascii="Arial" w:cs="Arial" w:eastAsia="Arial" w:hAnsi="Arial"/>
                  <w:sz w:val="18"/>
                  <w:szCs w:val="18"/>
                  <w:color w:val="0000FF"/>
                  <w:w w:val="79"/>
                </w:rPr>
                <w:t>21</w:t>
              </w:r>
            </w:hyperlink>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40" w:type="dxa"/>
            <w:vAlign w:val="bottom"/>
            <w:tcBorders>
              <w:bottom w:val="single" w:sz="8" w:color="0000FF"/>
            </w:tcBorders>
            <w:gridSpan w:val="23"/>
          </w:tcPr>
          <w:p>
            <w:pPr>
              <w:spacing w:after="0"/>
              <w:rPr>
                <w:rFonts w:ascii="Arial" w:cs="Arial" w:eastAsia="Arial" w:hAnsi="Arial"/>
                <w:sz w:val="18"/>
                <w:szCs w:val="18"/>
                <w:color w:val="0000FF"/>
                <w:w w:val="90"/>
              </w:rPr>
            </w:pPr>
            <w:hyperlink w:anchor="page23">
              <w:r>
                <w:rPr>
                  <w:rFonts w:ascii="Arial" w:cs="Arial" w:eastAsia="Arial" w:hAnsi="Arial"/>
                  <w:sz w:val="18"/>
                  <w:szCs w:val="18"/>
                  <w:color w:val="0000FF"/>
                  <w:w w:val="90"/>
                </w:rPr>
                <w:t>Note 15. Accumulated Other Comprehensive Income</w:t>
              </w:r>
            </w:hyperlink>
          </w:p>
        </w:tc>
        <w:tc>
          <w:tcPr>
            <w:tcW w:w="3940" w:type="dxa"/>
            <w:vAlign w:val="bottom"/>
            <w:gridSpan w:val="8"/>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3">
              <w:r>
                <w:rPr>
                  <w:rFonts w:ascii="Arial" w:cs="Arial" w:eastAsia="Arial" w:hAnsi="Arial"/>
                  <w:sz w:val="18"/>
                  <w:szCs w:val="18"/>
                  <w:color w:val="0000FF"/>
                  <w:w w:val="79"/>
                </w:rPr>
                <w:t>23</w:t>
              </w:r>
            </w:hyperlink>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80" w:type="dxa"/>
            <w:vAlign w:val="bottom"/>
            <w:gridSpan w:val="31"/>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Note 16. Net Income (Loss) Per Common Share</w:t>
              </w:r>
            </w:hyperlink>
          </w:p>
        </w:tc>
        <w:tc>
          <w:tcPr>
            <w:tcW w:w="1440" w:type="dxa"/>
            <w:vAlign w:val="bottom"/>
            <w:gridSpan w:val="3"/>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Borders>
              <w:top w:val="single" w:sz="8" w:color="0000FF"/>
            </w:tcBorders>
            <w:gridSpan w:val="20"/>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Note 17. Fair Value Measurements</w:t>
              </w:r>
            </w:hyperlink>
          </w:p>
        </w:tc>
        <w:tc>
          <w:tcPr>
            <w:tcW w:w="4320" w:type="dxa"/>
            <w:vAlign w:val="bottom"/>
            <w:gridSpan w:val="11"/>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26">
              <w:r>
                <w:rPr>
                  <w:rFonts w:ascii="Arial" w:cs="Arial" w:eastAsia="Arial" w:hAnsi="Arial"/>
                  <w:sz w:val="18"/>
                  <w:szCs w:val="18"/>
                  <w:color w:val="0000FF"/>
                  <w:w w:val="79"/>
                </w:rPr>
                <w:t>26</w:t>
              </w:r>
            </w:hyperlink>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88"/>
              </w:rPr>
            </w:pPr>
            <w:hyperlink w:anchor="page28">
              <w:r>
                <w:rPr>
                  <w:rFonts w:ascii="Arial" w:cs="Arial" w:eastAsia="Arial" w:hAnsi="Arial"/>
                  <w:sz w:val="18"/>
                  <w:szCs w:val="18"/>
                  <w:color w:val="0000FF"/>
                  <w:w w:val="88"/>
                </w:rPr>
                <w:t>Note 18. Subsequent Event</w:t>
              </w:r>
            </w:hyperlink>
          </w:p>
        </w:tc>
        <w:tc>
          <w:tcPr>
            <w:tcW w:w="540" w:type="dxa"/>
            <w:vAlign w:val="bottom"/>
            <w:tcBorders>
              <w:top w:val="single" w:sz="8" w:color="0000FF"/>
            </w:tcBorders>
            <w:gridSpan w:val="3"/>
          </w:tcPr>
          <w:p>
            <w:pPr>
              <w:spacing w:after="0"/>
              <w:rPr>
                <w:sz w:val="18"/>
                <w:szCs w:val="18"/>
                <w:color w:val="auto"/>
              </w:rPr>
            </w:pPr>
          </w:p>
        </w:tc>
        <w:tc>
          <w:tcPr>
            <w:tcW w:w="5280" w:type="dxa"/>
            <w:vAlign w:val="bottom"/>
            <w:gridSpan w:val="15"/>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28">
              <w:r>
                <w:rPr>
                  <w:rFonts w:ascii="Arial" w:cs="Arial" w:eastAsia="Arial" w:hAnsi="Arial"/>
                  <w:sz w:val="18"/>
                  <w:szCs w:val="18"/>
                  <w:color w:val="0000FF"/>
                  <w:w w:val="79"/>
                </w:rPr>
                <w:t>28</w:t>
              </w:r>
            </w:hyperlink>
          </w:p>
        </w:tc>
      </w:tr>
      <w:tr>
        <w:trPr>
          <w:trHeight w:val="264"/>
        </w:trPr>
        <w:tc>
          <w:tcPr>
            <w:tcW w:w="20" w:type="dxa"/>
            <w:vAlign w:val="bottom"/>
          </w:tcPr>
          <w:p>
            <w:pPr>
              <w:spacing w:after="0"/>
              <w:rPr>
                <w:sz w:val="22"/>
                <w:szCs w:val="22"/>
                <w:color w:val="auto"/>
              </w:rPr>
            </w:pPr>
          </w:p>
        </w:tc>
        <w:tc>
          <w:tcPr>
            <w:tcW w:w="1560" w:type="dxa"/>
            <w:vAlign w:val="bottom"/>
            <w:gridSpan w:val="3"/>
          </w:tcPr>
          <w:p>
            <w:pPr>
              <w:ind w:left="200"/>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31"/>
          </w:tcPr>
          <w:p>
            <w:pPr>
              <w:spacing w:after="0"/>
              <w:rPr>
                <w:rFonts w:ascii="Arial" w:cs="Arial" w:eastAsia="Arial" w:hAnsi="Arial"/>
                <w:sz w:val="18"/>
                <w:szCs w:val="18"/>
                <w:color w:val="0000FF"/>
                <w:w w:val="90"/>
              </w:rPr>
            </w:pPr>
            <w:hyperlink w:anchor="page29">
              <w:r>
                <w:rPr>
                  <w:rFonts w:ascii="Arial" w:cs="Arial" w:eastAsia="Arial" w:hAnsi="Arial"/>
                  <w:sz w:val="18"/>
                  <w:szCs w:val="18"/>
                  <w:color w:val="0000FF"/>
                  <w:w w:val="90"/>
                </w:rPr>
                <w:t>Management’s Discussion and Analysis of Financial Condition and Results of Operations</w:t>
              </w:r>
            </w:hyperlink>
          </w:p>
        </w:tc>
        <w:tc>
          <w:tcPr>
            <w:tcW w:w="1740" w:type="dxa"/>
            <w:vAlign w:val="bottom"/>
            <w:gridSpan w:val="2"/>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9">
              <w:r>
                <w:rPr>
                  <w:rFonts w:ascii="Arial" w:cs="Arial" w:eastAsia="Arial" w:hAnsi="Arial"/>
                  <w:sz w:val="18"/>
                  <w:szCs w:val="18"/>
                  <w:color w:val="0000FF"/>
                  <w:w w:val="79"/>
                </w:rPr>
                <w:t>30</w:t>
              </w:r>
            </w:hyperlink>
          </w:p>
        </w:tc>
      </w:tr>
      <w:tr>
        <w:trPr>
          <w:trHeight w:val="263"/>
        </w:trPr>
        <w:tc>
          <w:tcPr>
            <w:tcW w:w="20" w:type="dxa"/>
            <w:vAlign w:val="bottom"/>
          </w:tcPr>
          <w:p>
            <w:pPr>
              <w:spacing w:after="0"/>
              <w:rPr>
                <w:sz w:val="22"/>
                <w:szCs w:val="22"/>
                <w:color w:val="auto"/>
              </w:rPr>
            </w:pPr>
          </w:p>
        </w:tc>
        <w:tc>
          <w:tcPr>
            <w:tcW w:w="1560" w:type="dxa"/>
            <w:vAlign w:val="bottom"/>
            <w:gridSpan w:val="3"/>
          </w:tcPr>
          <w:p>
            <w:pPr>
              <w:ind w:left="200"/>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FF"/>
            </w:tcBorders>
            <w:gridSpan w:val="27"/>
          </w:tcPr>
          <w:p>
            <w:pPr>
              <w:spacing w:after="0"/>
              <w:rPr>
                <w:rFonts w:ascii="Arial" w:cs="Arial" w:eastAsia="Arial" w:hAnsi="Arial"/>
                <w:sz w:val="18"/>
                <w:szCs w:val="18"/>
                <w:color w:val="0000FF"/>
                <w:w w:val="92"/>
              </w:rPr>
            </w:pPr>
            <w:hyperlink w:anchor="page37">
              <w:r>
                <w:rPr>
                  <w:rFonts w:ascii="Arial" w:cs="Arial" w:eastAsia="Arial" w:hAnsi="Arial"/>
                  <w:sz w:val="18"/>
                  <w:szCs w:val="18"/>
                  <w:color w:val="0000FF"/>
                  <w:w w:val="92"/>
                </w:rPr>
                <w:t>Quantitative and Qualitative Disclosures About Market Risk</w:t>
              </w:r>
            </w:hyperlink>
          </w:p>
        </w:tc>
        <w:tc>
          <w:tcPr>
            <w:tcW w:w="3840" w:type="dxa"/>
            <w:vAlign w:val="bottom"/>
            <w:gridSpan w:val="6"/>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37</w:t>
              </w:r>
            </w:hyperlink>
          </w:p>
        </w:tc>
      </w:tr>
      <w:tr>
        <w:trPr>
          <w:trHeight w:val="263"/>
        </w:trPr>
        <w:tc>
          <w:tcPr>
            <w:tcW w:w="20" w:type="dxa"/>
            <w:vAlign w:val="bottom"/>
          </w:tcPr>
          <w:p>
            <w:pPr>
              <w:spacing w:after="0"/>
              <w:rPr>
                <w:sz w:val="22"/>
                <w:szCs w:val="22"/>
                <w:color w:val="auto"/>
              </w:rPr>
            </w:pPr>
          </w:p>
        </w:tc>
        <w:tc>
          <w:tcPr>
            <w:tcW w:w="1560" w:type="dxa"/>
            <w:vAlign w:val="bottom"/>
            <w:gridSpan w:val="3"/>
          </w:tcPr>
          <w:p>
            <w:pPr>
              <w:ind w:left="200"/>
              <w:spacing w:after="0"/>
              <w:rPr>
                <w:sz w:val="20"/>
                <w:szCs w:val="20"/>
                <w:color w:val="auto"/>
              </w:rPr>
            </w:pPr>
            <w:r>
              <w:rPr>
                <w:rFonts w:ascii="Arial" w:cs="Arial" w:eastAsia="Arial" w:hAnsi="Arial"/>
                <w:sz w:val="18"/>
                <w:szCs w:val="18"/>
                <w:color w:val="auto"/>
              </w:rPr>
              <w:t>Item 4.</w:t>
            </w:r>
          </w:p>
        </w:tc>
        <w:tc>
          <w:tcPr>
            <w:tcW w:w="8200" w:type="dxa"/>
            <w:vAlign w:val="bottom"/>
            <w:gridSpan w:val="33"/>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Controls and Procedures</w:t>
              </w:r>
            </w:hyperlink>
          </w:p>
        </w:tc>
        <w:tc>
          <w:tcPr>
            <w:tcW w:w="1440" w:type="dxa"/>
            <w:vAlign w:val="bottom"/>
            <w:gridSpan w:val="3"/>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5"/>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12"/>
          </w:tcPr>
          <w:p>
            <w:pPr>
              <w:spacing w:after="0" w:line="20" w:lineRule="exact"/>
              <w:rPr>
                <w:sz w:val="1"/>
                <w:szCs w:val="1"/>
                <w:color w:val="auto"/>
              </w:rPr>
            </w:pPr>
          </w:p>
        </w:tc>
        <w:tc>
          <w:tcPr>
            <w:tcW w:w="3860" w:type="dxa"/>
            <w:vAlign w:val="bottom"/>
            <w:gridSpan w:val="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580" w:type="dxa"/>
            <w:vAlign w:val="bottom"/>
            <w:tcBorders>
              <w:bottom w:val="single" w:sz="8" w:color="0000FF"/>
            </w:tcBorders>
            <w:gridSpan w:val="8"/>
          </w:tcPr>
          <w:p>
            <w:pPr>
              <w:spacing w:after="0"/>
              <w:rPr>
                <w:rFonts w:ascii="Arial" w:cs="Arial" w:eastAsia="Arial" w:hAnsi="Arial"/>
                <w:sz w:val="18"/>
                <w:szCs w:val="18"/>
                <w:color w:val="0000FF"/>
                <w:w w:val="95"/>
              </w:rPr>
            </w:pPr>
            <w:hyperlink w:anchor="page38">
              <w:r>
                <w:rPr>
                  <w:rFonts w:ascii="Arial" w:cs="Arial" w:eastAsia="Arial" w:hAnsi="Arial"/>
                  <w:sz w:val="18"/>
                  <w:szCs w:val="18"/>
                  <w:color w:val="0000FF"/>
                  <w:w w:val="95"/>
                </w:rPr>
                <w:t>PART II. OTHER INFORMATION</w:t>
              </w:r>
            </w:hyperlink>
          </w:p>
        </w:tc>
        <w:tc>
          <w:tcPr>
            <w:tcW w:w="7180" w:type="dxa"/>
            <w:vAlign w:val="bottom"/>
            <w:gridSpan w:val="28"/>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39</w:t>
              </w:r>
            </w:hyperlink>
          </w:p>
        </w:tc>
      </w:tr>
      <w:tr>
        <w:trPr>
          <w:trHeight w:val="263"/>
        </w:trPr>
        <w:tc>
          <w:tcPr>
            <w:tcW w:w="20" w:type="dxa"/>
            <w:vAlign w:val="bottom"/>
          </w:tcPr>
          <w:p>
            <w:pPr>
              <w:spacing w:after="0"/>
              <w:rPr>
                <w:sz w:val="22"/>
                <w:szCs w:val="22"/>
                <w:color w:val="auto"/>
              </w:rPr>
            </w:pPr>
          </w:p>
        </w:tc>
        <w:tc>
          <w:tcPr>
            <w:tcW w:w="1560" w:type="dxa"/>
            <w:vAlign w:val="bottom"/>
            <w:gridSpan w:val="3"/>
          </w:tcPr>
          <w:p>
            <w:pPr>
              <w:ind w:left="200"/>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6"/>
          </w:tcPr>
          <w:p>
            <w:pPr>
              <w:spacing w:after="0"/>
              <w:rPr>
                <w:rFonts w:ascii="Arial" w:cs="Arial" w:eastAsia="Arial" w:hAnsi="Arial"/>
                <w:sz w:val="18"/>
                <w:szCs w:val="18"/>
                <w:color w:val="0000FF"/>
                <w:w w:val="87"/>
              </w:rPr>
            </w:pPr>
            <w:hyperlink w:anchor="page39">
              <w:r>
                <w:rPr>
                  <w:rFonts w:ascii="Arial" w:cs="Arial" w:eastAsia="Arial" w:hAnsi="Arial"/>
                  <w:sz w:val="18"/>
                  <w:szCs w:val="18"/>
                  <w:color w:val="0000FF"/>
                  <w:w w:val="87"/>
                </w:rPr>
                <w:t>Legal Proceedings</w:t>
              </w:r>
            </w:hyperlink>
          </w:p>
        </w:tc>
        <w:tc>
          <w:tcPr>
            <w:tcW w:w="6860" w:type="dxa"/>
            <w:vAlign w:val="bottom"/>
            <w:gridSpan w:val="27"/>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39</w:t>
              </w:r>
            </w:hyperlink>
          </w:p>
        </w:tc>
      </w:tr>
      <w:tr>
        <w:trPr>
          <w:trHeight w:val="210"/>
        </w:trPr>
        <w:tc>
          <w:tcPr>
            <w:tcW w:w="20" w:type="dxa"/>
            <w:vAlign w:val="bottom"/>
          </w:tcPr>
          <w:p>
            <w:pPr>
              <w:spacing w:after="0"/>
              <w:rPr>
                <w:sz w:val="18"/>
                <w:szCs w:val="18"/>
                <w:color w:val="auto"/>
              </w:rPr>
            </w:pPr>
          </w:p>
        </w:tc>
        <w:tc>
          <w:tcPr>
            <w:tcW w:w="1560" w:type="dxa"/>
            <w:vAlign w:val="bottom"/>
            <w:gridSpan w:val="3"/>
          </w:tcPr>
          <w:p>
            <w:pPr>
              <w:ind w:left="200"/>
              <w:spacing w:after="0"/>
              <w:rPr>
                <w:sz w:val="20"/>
                <w:szCs w:val="20"/>
                <w:color w:val="auto"/>
              </w:rPr>
            </w:pPr>
            <w:r>
              <w:rPr>
                <w:rFonts w:ascii="Arial" w:cs="Arial" w:eastAsia="Arial" w:hAnsi="Arial"/>
                <w:sz w:val="18"/>
                <w:szCs w:val="18"/>
                <w:color w:val="auto"/>
              </w:rPr>
              <w:t>Item 1A.</w:t>
            </w:r>
          </w:p>
        </w:tc>
        <w:tc>
          <w:tcPr>
            <w:tcW w:w="8200" w:type="dxa"/>
            <w:vAlign w:val="bottom"/>
            <w:gridSpan w:val="33"/>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Risk Factors</w:t>
              </w:r>
            </w:hyperlink>
          </w:p>
        </w:tc>
        <w:tc>
          <w:tcPr>
            <w:tcW w:w="1440" w:type="dxa"/>
            <w:vAlign w:val="bottom"/>
            <w:gridSpan w:val="3"/>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80" w:type="dxa"/>
            <w:vAlign w:val="bottom"/>
            <w:gridSpan w:val="8"/>
          </w:tcPr>
          <w:p>
            <w:pPr>
              <w:spacing w:after="0" w:line="20" w:lineRule="exact"/>
              <w:rPr>
                <w:sz w:val="1"/>
                <w:szCs w:val="1"/>
                <w:color w:val="auto"/>
              </w:rPr>
            </w:pPr>
          </w:p>
        </w:tc>
        <w:tc>
          <w:tcPr>
            <w:tcW w:w="2020" w:type="dxa"/>
            <w:vAlign w:val="bottom"/>
            <w:gridSpan w:val="12"/>
          </w:tcPr>
          <w:p>
            <w:pPr>
              <w:spacing w:after="0" w:line="20" w:lineRule="exact"/>
              <w:rPr>
                <w:sz w:val="1"/>
                <w:szCs w:val="1"/>
                <w:color w:val="auto"/>
              </w:rPr>
            </w:pPr>
          </w:p>
        </w:tc>
        <w:tc>
          <w:tcPr>
            <w:tcW w:w="3860" w:type="dxa"/>
            <w:vAlign w:val="bottom"/>
            <w:gridSpan w:val="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gridSpan w:val="3"/>
          </w:tcPr>
          <w:p>
            <w:pPr>
              <w:ind w:left="200"/>
              <w:spacing w:after="0"/>
              <w:rPr>
                <w:sz w:val="20"/>
                <w:szCs w:val="20"/>
                <w:color w:val="auto"/>
              </w:rPr>
            </w:pPr>
            <w:r>
              <w:rPr>
                <w:rFonts w:ascii="Arial" w:cs="Arial" w:eastAsia="Arial" w:hAnsi="Arial"/>
                <w:sz w:val="18"/>
                <w:szCs w:val="18"/>
                <w:color w:val="auto"/>
              </w:rPr>
              <w:t>Item 2.</w:t>
            </w:r>
          </w:p>
        </w:tc>
        <w:tc>
          <w:tcPr>
            <w:tcW w:w="8200" w:type="dxa"/>
            <w:vAlign w:val="bottom"/>
            <w:gridSpan w:val="33"/>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Unregistered Sales of Equity Securities and Use of Proceeds</w:t>
              </w:r>
            </w:hyperlink>
          </w:p>
        </w:tc>
        <w:tc>
          <w:tcPr>
            <w:tcW w:w="1440" w:type="dxa"/>
            <w:vAlign w:val="bottom"/>
            <w:gridSpan w:val="3"/>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09"/>
        </w:trPr>
        <w:tc>
          <w:tcPr>
            <w:tcW w:w="20" w:type="dxa"/>
            <w:vAlign w:val="bottom"/>
          </w:tcPr>
          <w:p>
            <w:pPr>
              <w:spacing w:after="0"/>
              <w:rPr>
                <w:sz w:val="18"/>
                <w:szCs w:val="18"/>
                <w:color w:val="auto"/>
              </w:rPr>
            </w:pPr>
          </w:p>
        </w:tc>
        <w:tc>
          <w:tcPr>
            <w:tcW w:w="1560" w:type="dxa"/>
            <w:vAlign w:val="bottom"/>
            <w:gridSpan w:val="3"/>
          </w:tcPr>
          <w:p>
            <w:pPr>
              <w:ind w:left="200"/>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FF"/>
            </w:tcBorders>
            <w:gridSpan w:val="26"/>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Defaults Upon Senior Securities</w:t>
              </w:r>
            </w:hyperlink>
          </w:p>
        </w:tc>
        <w:tc>
          <w:tcPr>
            <w:tcW w:w="3860" w:type="dxa"/>
            <w:vAlign w:val="bottom"/>
            <w:gridSpan w:val="7"/>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39</w:t>
              </w:r>
            </w:hyperlink>
          </w:p>
        </w:tc>
      </w:tr>
      <w:tr>
        <w:trPr>
          <w:trHeight w:val="210"/>
        </w:trPr>
        <w:tc>
          <w:tcPr>
            <w:tcW w:w="20" w:type="dxa"/>
            <w:vAlign w:val="bottom"/>
          </w:tcPr>
          <w:p>
            <w:pPr>
              <w:spacing w:after="0"/>
              <w:rPr>
                <w:sz w:val="18"/>
                <w:szCs w:val="18"/>
                <w:color w:val="auto"/>
              </w:rPr>
            </w:pPr>
          </w:p>
        </w:tc>
        <w:tc>
          <w:tcPr>
            <w:tcW w:w="1560" w:type="dxa"/>
            <w:vAlign w:val="bottom"/>
            <w:gridSpan w:val="3"/>
          </w:tcPr>
          <w:p>
            <w:pPr>
              <w:ind w:left="200"/>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FF"/>
            </w:tcBorders>
            <w:gridSpan w:val="14"/>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Mine Safety Disclosures</w:t>
              </w:r>
            </w:hyperlink>
          </w:p>
        </w:tc>
        <w:tc>
          <w:tcPr>
            <w:tcW w:w="5880" w:type="dxa"/>
            <w:vAlign w:val="bottom"/>
            <w:gridSpan w:val="19"/>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39</w:t>
              </w:r>
            </w:hyperlink>
          </w:p>
        </w:tc>
      </w:tr>
      <w:tr>
        <w:trPr>
          <w:trHeight w:val="210"/>
        </w:trPr>
        <w:tc>
          <w:tcPr>
            <w:tcW w:w="20" w:type="dxa"/>
            <w:vAlign w:val="bottom"/>
          </w:tcPr>
          <w:p>
            <w:pPr>
              <w:spacing w:after="0"/>
              <w:rPr>
                <w:sz w:val="18"/>
                <w:szCs w:val="18"/>
                <w:color w:val="auto"/>
              </w:rPr>
            </w:pPr>
          </w:p>
        </w:tc>
        <w:tc>
          <w:tcPr>
            <w:tcW w:w="1560" w:type="dxa"/>
            <w:vAlign w:val="bottom"/>
            <w:gridSpan w:val="3"/>
          </w:tcPr>
          <w:p>
            <w:pPr>
              <w:ind w:left="200"/>
              <w:spacing w:after="0"/>
              <w:rPr>
                <w:sz w:val="20"/>
                <w:szCs w:val="20"/>
                <w:color w:val="auto"/>
              </w:rPr>
            </w:pPr>
            <w:r>
              <w:rPr>
                <w:rFonts w:ascii="Arial" w:cs="Arial" w:eastAsia="Arial" w:hAnsi="Arial"/>
                <w:sz w:val="18"/>
                <w:szCs w:val="18"/>
                <w:color w:val="auto"/>
              </w:rPr>
              <w:t>Item 5.</w:t>
            </w:r>
          </w:p>
        </w:tc>
        <w:tc>
          <w:tcPr>
            <w:tcW w:w="134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2"/>
              </w:rPr>
            </w:pPr>
            <w:hyperlink w:anchor="page39">
              <w:r>
                <w:rPr>
                  <w:rFonts w:ascii="Arial" w:cs="Arial" w:eastAsia="Arial" w:hAnsi="Arial"/>
                  <w:sz w:val="18"/>
                  <w:szCs w:val="18"/>
                  <w:color w:val="0000FF"/>
                  <w:w w:val="92"/>
                </w:rPr>
                <w:t>Other Information</w:t>
              </w:r>
            </w:hyperlink>
          </w:p>
        </w:tc>
        <w:tc>
          <w:tcPr>
            <w:tcW w:w="420" w:type="dxa"/>
            <w:vAlign w:val="bottom"/>
            <w:tcBorders>
              <w:top w:val="single" w:sz="8" w:color="0000FF"/>
            </w:tcBorders>
            <w:gridSpan w:val="5"/>
          </w:tcPr>
          <w:p>
            <w:pPr>
              <w:spacing w:after="0"/>
              <w:rPr>
                <w:sz w:val="18"/>
                <w:szCs w:val="18"/>
                <w:color w:val="auto"/>
              </w:rPr>
            </w:pPr>
          </w:p>
        </w:tc>
        <w:tc>
          <w:tcPr>
            <w:tcW w:w="6440" w:type="dxa"/>
            <w:vAlign w:val="bottom"/>
            <w:gridSpan w:val="22"/>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39</w:t>
              </w:r>
            </w:hyperlink>
          </w:p>
        </w:tc>
      </w:tr>
      <w:tr>
        <w:trPr>
          <w:trHeight w:val="210"/>
        </w:trPr>
        <w:tc>
          <w:tcPr>
            <w:tcW w:w="20" w:type="dxa"/>
            <w:vAlign w:val="bottom"/>
          </w:tcPr>
          <w:p>
            <w:pPr>
              <w:spacing w:after="0"/>
              <w:rPr>
                <w:sz w:val="18"/>
                <w:szCs w:val="18"/>
                <w:color w:val="auto"/>
              </w:rPr>
            </w:pPr>
          </w:p>
        </w:tc>
        <w:tc>
          <w:tcPr>
            <w:tcW w:w="1560" w:type="dxa"/>
            <w:vAlign w:val="bottom"/>
            <w:gridSpan w:val="3"/>
          </w:tcPr>
          <w:p>
            <w:pPr>
              <w:ind w:left="200"/>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39">
              <w:r>
                <w:rPr>
                  <w:rFonts w:ascii="Arial" w:cs="Arial" w:eastAsia="Arial" w:hAnsi="Arial"/>
                  <w:sz w:val="18"/>
                  <w:szCs w:val="18"/>
                  <w:color w:val="0000FF"/>
                  <w:w w:val="91"/>
                </w:rPr>
                <w:t>Exhibits</w:t>
              </w:r>
            </w:hyperlink>
          </w:p>
        </w:tc>
        <w:tc>
          <w:tcPr>
            <w:tcW w:w="7600" w:type="dxa"/>
            <w:vAlign w:val="bottom"/>
            <w:gridSpan w:val="30"/>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40</w:t>
              </w:r>
            </w:hyperlink>
          </w:p>
        </w:tc>
      </w:tr>
      <w:tr>
        <w:trPr>
          <w:trHeight w:val="209"/>
        </w:trPr>
        <w:tc>
          <w:tcPr>
            <w:tcW w:w="20" w:type="dxa"/>
            <w:vAlign w:val="bottom"/>
          </w:tcPr>
          <w:p>
            <w:pPr>
              <w:spacing w:after="0"/>
              <w:rPr>
                <w:sz w:val="18"/>
                <w:szCs w:val="18"/>
                <w:color w:val="auto"/>
              </w:rPr>
            </w:pPr>
          </w:p>
        </w:tc>
        <w:tc>
          <w:tcPr>
            <w:tcW w:w="1560" w:type="dxa"/>
            <w:vAlign w:val="bottom"/>
            <w:gridSpan w:val="3"/>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SIGNATURES</w:t>
              </w:r>
            </w:hyperlink>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40" w:type="dxa"/>
            <w:vAlign w:val="bottom"/>
            <w:gridSpan w:val="3"/>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41</w:t>
              </w:r>
            </w:hyperlink>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420" w:type="dxa"/>
            <w:vAlign w:val="bottom"/>
            <w:gridSpan w:val="4"/>
          </w:tcPr>
          <w:p>
            <w:pPr>
              <w:jc w:val="right"/>
              <w:ind w:right="72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6"/>
        </w:trPr>
        <w:tc>
          <w:tcPr>
            <w:tcW w:w="5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4"/>
        </w:trPr>
        <w:tc>
          <w:tcPr>
            <w:tcW w:w="5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sales</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123,157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78,532</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249,961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194,745</w:t>
            </w:r>
          </w:p>
        </w:tc>
        <w:tc>
          <w:tcPr>
            <w:tcW w:w="0" w:type="dxa"/>
            <w:vAlign w:val="bottom"/>
          </w:tcPr>
          <w:p>
            <w:pPr>
              <w:spacing w:after="0"/>
              <w:rPr>
                <w:sz w:val="1"/>
                <w:szCs w:val="1"/>
                <w:color w:val="auto"/>
              </w:rPr>
            </w:pPr>
          </w:p>
        </w:tc>
      </w:tr>
      <w:tr>
        <w:trPr>
          <w:trHeight w:val="186"/>
        </w:trPr>
        <w:tc>
          <w:tcPr>
            <w:tcW w:w="5700" w:type="dxa"/>
            <w:vAlign w:val="bottom"/>
          </w:tcPr>
          <w:p>
            <w:pPr>
              <w:ind w:left="360"/>
              <w:spacing w:after="0"/>
              <w:rPr>
                <w:sz w:val="20"/>
                <w:szCs w:val="20"/>
                <w:color w:val="auto"/>
              </w:rPr>
            </w:pPr>
            <w:r>
              <w:rPr>
                <w:rFonts w:ascii="Arial" w:cs="Arial" w:eastAsia="Arial" w:hAnsi="Arial"/>
                <w:sz w:val="14"/>
                <w:szCs w:val="14"/>
                <w:color w:val="auto"/>
              </w:rPr>
              <w:t>Cost of sales (exclusive of depreciation and amortization shown separately below)</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99,797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65,058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199,485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159,536</w:t>
            </w:r>
          </w:p>
        </w:tc>
        <w:tc>
          <w:tcPr>
            <w:tcW w:w="0" w:type="dxa"/>
            <w:vAlign w:val="bottom"/>
          </w:tcPr>
          <w:p>
            <w:pPr>
              <w:spacing w:after="0"/>
              <w:rPr>
                <w:sz w:val="1"/>
                <w:szCs w:val="1"/>
                <w:color w:val="auto"/>
              </w:rPr>
            </w:pPr>
          </w:p>
        </w:tc>
      </w:tr>
      <w:tr>
        <w:trPr>
          <w:trHeight w:val="192"/>
        </w:trPr>
        <w:tc>
          <w:tcPr>
            <w:tcW w:w="5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Selling, general, and administrative expense</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13,585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14,273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28,160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30,433</w:t>
            </w:r>
          </w:p>
        </w:tc>
        <w:tc>
          <w:tcPr>
            <w:tcW w:w="0" w:type="dxa"/>
            <w:vAlign w:val="bottom"/>
          </w:tcPr>
          <w:p>
            <w:pPr>
              <w:spacing w:after="0"/>
              <w:rPr>
                <w:sz w:val="1"/>
                <w:szCs w:val="1"/>
                <w:color w:val="auto"/>
              </w:rPr>
            </w:pPr>
          </w:p>
        </w:tc>
      </w:tr>
      <w:tr>
        <w:trPr>
          <w:trHeight w:val="186"/>
        </w:trPr>
        <w:tc>
          <w:tcPr>
            <w:tcW w:w="570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11,687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11,327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23,255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22,684</w:t>
            </w:r>
          </w:p>
        </w:tc>
        <w:tc>
          <w:tcPr>
            <w:tcW w:w="0" w:type="dxa"/>
            <w:vAlign w:val="bottom"/>
          </w:tcPr>
          <w:p>
            <w:pPr>
              <w:spacing w:after="0"/>
              <w:rPr>
                <w:sz w:val="1"/>
                <w:szCs w:val="1"/>
                <w:color w:val="auto"/>
              </w:rPr>
            </w:pPr>
          </w:p>
        </w:tc>
      </w:tr>
      <w:tr>
        <w:trPr>
          <w:trHeight w:val="192"/>
        </w:trPr>
        <w:tc>
          <w:tcPr>
            <w:tcW w:w="5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Goodwill impairment</w:t>
            </w:r>
          </w:p>
        </w:tc>
        <w:tc>
          <w:tcPr>
            <w:tcW w:w="3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92,942</w:t>
            </w:r>
          </w:p>
        </w:tc>
        <w:tc>
          <w:tcPr>
            <w:tcW w:w="0" w:type="dxa"/>
            <w:vAlign w:val="bottom"/>
          </w:tcPr>
          <w:p>
            <w:pPr>
              <w:spacing w:after="0"/>
              <w:rPr>
                <w:sz w:val="1"/>
                <w:szCs w:val="1"/>
                <w:color w:val="auto"/>
              </w:rPr>
            </w:pPr>
          </w:p>
        </w:tc>
      </w:tr>
      <w:tr>
        <w:trPr>
          <w:trHeight w:val="186"/>
        </w:trPr>
        <w:tc>
          <w:tcPr>
            <w:tcW w:w="57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 operating expense (income), net</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4,177</w:t>
            </w:r>
          </w:p>
        </w:tc>
        <w:tc>
          <w:tcPr>
            <w:tcW w:w="0" w:type="dxa"/>
            <w:vAlign w:val="bottom"/>
          </w:tcPr>
          <w:p>
            <w:pPr>
              <w:spacing w:after="0"/>
              <w:rPr>
                <w:sz w:val="1"/>
                <w:szCs w:val="1"/>
                <w:color w:val="auto"/>
              </w:rPr>
            </w:pPr>
          </w:p>
        </w:tc>
      </w:tr>
      <w:tr>
        <w:trPr>
          <w:trHeight w:val="186"/>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(115,027)</w:t>
            </w:r>
          </w:p>
        </w:tc>
        <w:tc>
          <w:tcPr>
            <w:tcW w:w="0" w:type="dxa"/>
            <w:vAlign w:val="bottom"/>
          </w:tcPr>
          <w:p>
            <w:pPr>
              <w:spacing w:after="0"/>
              <w:rPr>
                <w:sz w:val="1"/>
                <w:szCs w:val="1"/>
                <w:color w:val="auto"/>
              </w:rPr>
            </w:pPr>
          </w:p>
        </w:tc>
      </w:tr>
      <w:tr>
        <w:trPr>
          <w:trHeight w:val="186"/>
        </w:trPr>
        <w:tc>
          <w:tcPr>
            <w:tcW w:w="5700" w:type="dxa"/>
            <w:vAlign w:val="bottom"/>
          </w:tcPr>
          <w:p>
            <w:pPr>
              <w:ind w:left="360"/>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3,573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6,356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5,597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10,163</w:t>
            </w:r>
          </w:p>
        </w:tc>
        <w:tc>
          <w:tcPr>
            <w:tcW w:w="0" w:type="dxa"/>
            <w:vAlign w:val="bottom"/>
          </w:tcPr>
          <w:p>
            <w:pPr>
              <w:spacing w:after="0"/>
              <w:rPr>
                <w:sz w:val="1"/>
                <w:szCs w:val="1"/>
                <w:color w:val="auto"/>
              </w:rPr>
            </w:pPr>
          </w:p>
        </w:tc>
      </w:tr>
      <w:tr>
        <w:trPr>
          <w:trHeight w:val="192"/>
        </w:trPr>
        <w:tc>
          <w:tcPr>
            <w:tcW w:w="5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Loss on extinguishment of debt and write-off of debt issuance costs</w:t>
            </w:r>
          </w:p>
        </w:tc>
        <w:tc>
          <w:tcPr>
            <w:tcW w:w="3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5700" w:type="dxa"/>
            <w:vAlign w:val="bottom"/>
          </w:tcPr>
          <w:p>
            <w:pPr>
              <w:ind w:left="360"/>
              <w:spacing w:after="0"/>
              <w:rPr>
                <w:sz w:val="20"/>
                <w:szCs w:val="20"/>
                <w:color w:val="auto"/>
              </w:rPr>
            </w:pPr>
            <w:r>
              <w:rPr>
                <w:rFonts w:ascii="Arial" w:cs="Arial" w:eastAsia="Arial" w:hAnsi="Arial"/>
                <w:sz w:val="14"/>
                <w:szCs w:val="14"/>
                <w:color w:val="auto"/>
              </w:rPr>
              <w:t>Derivative payments on interest rate swap</w:t>
            </w:r>
          </w:p>
        </w:tc>
        <w:tc>
          <w:tcPr>
            <w:tcW w:w="3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1,717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5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Loss on interest rate swap</w:t>
            </w:r>
          </w:p>
        </w:tc>
        <w:tc>
          <w:tcPr>
            <w:tcW w:w="3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57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 expense (income), net</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118"/>
        </w:trPr>
        <w:tc>
          <w:tcPr>
            <w:tcW w:w="570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color w:val="auto"/>
              </w:rPr>
              <w:t>Loss from continuing operations before benefit (provision) for income taxes and share of net</w:t>
            </w:r>
          </w:p>
        </w:tc>
        <w:tc>
          <w:tcPr>
            <w:tcW w:w="30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(6,841)</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(16,318)</w:t>
            </w: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(13,905)</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(125,519)</w:t>
            </w: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from joint venture</w:t>
            </w:r>
          </w:p>
        </w:tc>
        <w:tc>
          <w:tcPr>
            <w:tcW w:w="3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700" w:type="dxa"/>
            <w:vAlign w:val="bottom"/>
          </w:tcPr>
          <w:p>
            <w:pPr>
              <w:ind w:left="360"/>
              <w:spacing w:after="0"/>
              <w:rPr>
                <w:sz w:val="20"/>
                <w:szCs w:val="20"/>
                <w:color w:val="auto"/>
              </w:rPr>
            </w:pPr>
            <w:r>
              <w:rPr>
                <w:rFonts w:ascii="Arial" w:cs="Arial" w:eastAsia="Arial" w:hAnsi="Arial"/>
                <w:sz w:val="14"/>
                <w:szCs w:val="14"/>
                <w:color w:val="auto"/>
              </w:rPr>
              <w:t>Benefit (provision) for income taxes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(2,175)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987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(780)</w:t>
            </w:r>
          </w:p>
        </w:tc>
        <w:tc>
          <w:tcPr>
            <w:tcW w:w="0" w:type="dxa"/>
            <w:vAlign w:val="bottom"/>
          </w:tcPr>
          <w:p>
            <w:pPr>
              <w:spacing w:after="0"/>
              <w:rPr>
                <w:sz w:val="1"/>
                <w:szCs w:val="1"/>
                <w:color w:val="auto"/>
              </w:rPr>
            </w:pPr>
          </w:p>
        </w:tc>
      </w:tr>
      <w:tr>
        <w:trPr>
          <w:trHeight w:val="192"/>
        </w:trPr>
        <w:tc>
          <w:tcPr>
            <w:tcW w:w="5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Share of net income from joint venture</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1,219</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927</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2,614</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656</w:t>
            </w:r>
          </w:p>
        </w:tc>
        <w:tc>
          <w:tcPr>
            <w:tcW w:w="0" w:type="dxa"/>
            <w:vAlign w:val="bottom"/>
          </w:tcPr>
          <w:p>
            <w:pPr>
              <w:spacing w:after="0"/>
              <w:rPr>
                <w:sz w:val="1"/>
                <w:szCs w:val="1"/>
                <w:color w:val="auto"/>
              </w:rPr>
            </w:pPr>
          </w:p>
        </w:tc>
      </w:tr>
      <w:tr>
        <w:trPr>
          <w:trHeight w:val="179"/>
        </w:trPr>
        <w:tc>
          <w:tcPr>
            <w:tcW w:w="5700" w:type="dxa"/>
            <w:vAlign w:val="bottom"/>
          </w:tcPr>
          <w:p>
            <w:pPr>
              <w:ind w:left="20"/>
              <w:spacing w:after="0"/>
              <w:rPr>
                <w:sz w:val="20"/>
                <w:szCs w:val="20"/>
                <w:color w:val="auto"/>
              </w:rPr>
            </w:pPr>
            <w:r>
              <w:rPr>
                <w:rFonts w:ascii="Arial" w:cs="Arial" w:eastAsia="Arial" w:hAnsi="Arial"/>
                <w:sz w:val="14"/>
                <w:szCs w:val="14"/>
                <w:b w:val="1"/>
                <w:bCs w:val="1"/>
                <w:color w:val="auto"/>
              </w:rPr>
              <w:t>Loss from continuing operations</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(5,391)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(17,566)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(10,304)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(125,643)</w:t>
            </w:r>
          </w:p>
        </w:tc>
        <w:tc>
          <w:tcPr>
            <w:tcW w:w="0" w:type="dxa"/>
            <w:vAlign w:val="bottom"/>
          </w:tcPr>
          <w:p>
            <w:pPr>
              <w:spacing w:after="0"/>
              <w:rPr>
                <w:sz w:val="1"/>
                <w:szCs w:val="1"/>
                <w:color w:val="auto"/>
              </w:rPr>
            </w:pPr>
          </w:p>
        </w:tc>
      </w:tr>
      <w:tr>
        <w:trPr>
          <w:trHeight w:val="192"/>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discontinued operations, net of tax (Note 2)</w:t>
            </w:r>
          </w:p>
        </w:tc>
        <w:tc>
          <w:tcPr>
            <w:tcW w:w="3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(144,296)</w:t>
            </w:r>
          </w:p>
        </w:tc>
        <w:tc>
          <w:tcPr>
            <w:tcW w:w="0" w:type="dxa"/>
            <w:vAlign w:val="bottom"/>
          </w:tcPr>
          <w:p>
            <w:pPr>
              <w:spacing w:after="0"/>
              <w:rPr>
                <w:sz w:val="1"/>
                <w:szCs w:val="1"/>
                <w:color w:val="auto"/>
              </w:rPr>
            </w:pPr>
          </w:p>
        </w:tc>
      </w:tr>
      <w:tr>
        <w:trPr>
          <w:trHeight w:val="179"/>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w:t>
            </w: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(5,391)</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(21,748)</w:t>
            </w:r>
          </w:p>
        </w:tc>
        <w:tc>
          <w:tcPr>
            <w:tcW w:w="12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(10,304)</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(269,939)</w:t>
            </w:r>
          </w:p>
        </w:tc>
        <w:tc>
          <w:tcPr>
            <w:tcW w:w="0" w:type="dxa"/>
            <w:vAlign w:val="bottom"/>
          </w:tcPr>
          <w:p>
            <w:pPr>
              <w:spacing w:after="0"/>
              <w:rPr>
                <w:sz w:val="1"/>
                <w:szCs w:val="1"/>
                <w:color w:val="auto"/>
              </w:rPr>
            </w:pPr>
          </w:p>
        </w:tc>
      </w:tr>
      <w:tr>
        <w:trPr>
          <w:trHeight w:val="172"/>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700" w:type="dxa"/>
            <w:vAlign w:val="bottom"/>
          </w:tcPr>
          <w:p>
            <w:pPr>
              <w:ind w:left="360"/>
              <w:spacing w:after="0"/>
              <w:rPr>
                <w:sz w:val="20"/>
                <w:szCs w:val="20"/>
                <w:color w:val="auto"/>
              </w:rPr>
            </w:pPr>
            <w:r>
              <w:rPr>
                <w:rFonts w:ascii="Arial" w:cs="Arial" w:eastAsia="Arial" w:hAnsi="Arial"/>
                <w:sz w:val="14"/>
                <w:szCs w:val="14"/>
                <w:color w:val="auto"/>
              </w:rPr>
              <w:t>Foreign currency translation gain (loss)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4,409</w:t>
            </w:r>
          </w:p>
        </w:tc>
        <w:tc>
          <w:tcPr>
            <w:tcW w:w="10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994</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1,062</w:t>
            </w:r>
          </w:p>
        </w:tc>
        <w:tc>
          <w:tcPr>
            <w:tcW w:w="10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(13,348)</w:t>
            </w:r>
          </w:p>
        </w:tc>
        <w:tc>
          <w:tcPr>
            <w:tcW w:w="0" w:type="dxa"/>
            <w:vAlign w:val="bottom"/>
          </w:tcPr>
          <w:p>
            <w:pPr>
              <w:spacing w:after="0"/>
              <w:rPr>
                <w:sz w:val="1"/>
                <w:szCs w:val="1"/>
                <w:color w:val="auto"/>
              </w:rPr>
            </w:pPr>
          </w:p>
        </w:tc>
      </w:tr>
      <w:tr>
        <w:trPr>
          <w:trHeight w:val="192"/>
        </w:trPr>
        <w:tc>
          <w:tcPr>
            <w:tcW w:w="5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Interest rate swap:</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700" w:type="dxa"/>
            <w:vAlign w:val="bottom"/>
          </w:tcPr>
          <w:p>
            <w:pPr>
              <w:ind w:left="560"/>
              <w:spacing w:after="0"/>
              <w:rPr>
                <w:sz w:val="20"/>
                <w:szCs w:val="20"/>
                <w:color w:val="auto"/>
              </w:rPr>
            </w:pPr>
            <w:r>
              <w:rPr>
                <w:rFonts w:ascii="Arial" w:cs="Arial" w:eastAsia="Arial" w:hAnsi="Arial"/>
                <w:sz w:val="14"/>
                <w:szCs w:val="14"/>
                <w:color w:val="auto"/>
              </w:rPr>
              <w:t>Change in fair value, net of tax</w:t>
            </w:r>
          </w:p>
        </w:tc>
        <w:tc>
          <w:tcPr>
            <w:tcW w:w="3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(1,255)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(12,464)</w:t>
            </w:r>
          </w:p>
        </w:tc>
        <w:tc>
          <w:tcPr>
            <w:tcW w:w="0" w:type="dxa"/>
            <w:vAlign w:val="bottom"/>
          </w:tcPr>
          <w:p>
            <w:pPr>
              <w:spacing w:after="0"/>
              <w:rPr>
                <w:sz w:val="1"/>
                <w:szCs w:val="1"/>
                <w:color w:val="auto"/>
              </w:rPr>
            </w:pPr>
          </w:p>
        </w:tc>
      </w:tr>
      <w:tr>
        <w:trPr>
          <w:trHeight w:val="192"/>
        </w:trPr>
        <w:tc>
          <w:tcPr>
            <w:tcW w:w="5700" w:type="dxa"/>
            <w:vAlign w:val="bottom"/>
            <w:shd w:val="clear" w:color="auto" w:fill="CCEEFF"/>
          </w:tcPr>
          <w:p>
            <w:pPr>
              <w:ind w:left="560"/>
              <w:spacing w:after="0"/>
              <w:rPr>
                <w:sz w:val="20"/>
                <w:szCs w:val="20"/>
                <w:color w:val="auto"/>
              </w:rPr>
            </w:pPr>
            <w:r>
              <w:rPr>
                <w:rFonts w:ascii="Arial" w:cs="Arial" w:eastAsia="Arial" w:hAnsi="Arial"/>
                <w:sz w:val="14"/>
                <w:szCs w:val="14"/>
                <w:color w:val="auto"/>
              </w:rPr>
              <w:t>Reclassification adjustment for losses included in net loss, net of tax</w:t>
            </w:r>
          </w:p>
        </w:tc>
        <w:tc>
          <w:tcPr>
            <w:tcW w:w="3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3,690</w:t>
            </w:r>
          </w:p>
        </w:tc>
        <w:tc>
          <w:tcPr>
            <w:tcW w:w="0" w:type="dxa"/>
            <w:vAlign w:val="bottom"/>
          </w:tcPr>
          <w:p>
            <w:pPr>
              <w:spacing w:after="0"/>
              <w:rPr>
                <w:sz w:val="1"/>
                <w:szCs w:val="1"/>
                <w:color w:val="auto"/>
              </w:rPr>
            </w:pPr>
          </w:p>
        </w:tc>
      </w:tr>
      <w:tr>
        <w:trPr>
          <w:trHeight w:val="179"/>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comprehensive income (loss)</w:t>
            </w: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4,409</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2,377</w:t>
            </w:r>
          </w:p>
        </w:tc>
        <w:tc>
          <w:tcPr>
            <w:tcW w:w="12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3,913</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(22,122)</w:t>
            </w:r>
          </w:p>
        </w:tc>
        <w:tc>
          <w:tcPr>
            <w:tcW w:w="0" w:type="dxa"/>
            <w:vAlign w:val="bottom"/>
          </w:tcPr>
          <w:p>
            <w:pPr>
              <w:spacing w:after="0"/>
              <w:rPr>
                <w:sz w:val="1"/>
                <w:szCs w:val="1"/>
                <w:color w:val="auto"/>
              </w:rPr>
            </w:pPr>
          </w:p>
        </w:tc>
      </w:tr>
      <w:tr>
        <w:trPr>
          <w:trHeight w:val="20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loss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(982)</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(19,371)</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(6,391)</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(292,061)</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Basic net loss per common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57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Loss from continuing operations per common share</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186"/>
        </w:trPr>
        <w:tc>
          <w:tcPr>
            <w:tcW w:w="5700" w:type="dxa"/>
            <w:vAlign w:val="bottom"/>
          </w:tcPr>
          <w:p>
            <w:pPr>
              <w:ind w:left="360"/>
              <w:spacing w:after="0"/>
              <w:rPr>
                <w:sz w:val="20"/>
                <w:szCs w:val="20"/>
                <w:color w:val="auto"/>
              </w:rPr>
            </w:pPr>
            <w:r>
              <w:rPr>
                <w:rFonts w:ascii="Arial" w:cs="Arial" w:eastAsia="Arial" w:hAnsi="Arial"/>
                <w:sz w:val="14"/>
                <w:szCs w:val="14"/>
                <w:color w:val="auto"/>
              </w:rPr>
              <w:t>Loss from discontinued operations per common share</w:t>
            </w:r>
          </w:p>
        </w:tc>
        <w:tc>
          <w:tcPr>
            <w:tcW w:w="3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(0.10)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208"/>
        </w:trPr>
        <w:tc>
          <w:tcPr>
            <w:tcW w:w="57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Net loss per common share</w:t>
            </w: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(6.55)</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4"/>
                <w:szCs w:val="14"/>
                <w:color w:val="auto"/>
              </w:rPr>
              <w:t>Weighted average common shares outstanding</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44,440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42,197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43,561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42,154</w:t>
            </w:r>
          </w:p>
        </w:tc>
        <w:tc>
          <w:tcPr>
            <w:tcW w:w="0" w:type="dxa"/>
            <w:vAlign w:val="bottom"/>
          </w:tcPr>
          <w:p>
            <w:pPr>
              <w:spacing w:after="0"/>
              <w:rPr>
                <w:sz w:val="1"/>
                <w:szCs w:val="1"/>
                <w:color w:val="auto"/>
              </w:rPr>
            </w:pPr>
          </w:p>
        </w:tc>
      </w:tr>
      <w:tr>
        <w:trPr>
          <w:trHeight w:val="192"/>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Diluted net loss per common share:</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700" w:type="dxa"/>
            <w:vAlign w:val="bottom"/>
          </w:tcPr>
          <w:p>
            <w:pPr>
              <w:ind w:left="360"/>
              <w:spacing w:after="0"/>
              <w:rPr>
                <w:sz w:val="20"/>
                <w:szCs w:val="20"/>
                <w:color w:val="auto"/>
              </w:rPr>
            </w:pPr>
            <w:r>
              <w:rPr>
                <w:rFonts w:ascii="Arial" w:cs="Arial" w:eastAsia="Arial" w:hAnsi="Arial"/>
                <w:sz w:val="14"/>
                <w:szCs w:val="14"/>
                <w:color w:val="auto"/>
              </w:rPr>
              <w:t>Loss from continuing operations per common share</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(0.17)</w:t>
            </w:r>
          </w:p>
        </w:tc>
        <w:tc>
          <w:tcPr>
            <w:tcW w:w="10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(0.49)</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(0.62)</w:t>
            </w:r>
          </w:p>
        </w:tc>
        <w:tc>
          <w:tcPr>
            <w:tcW w:w="10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192"/>
        </w:trPr>
        <w:tc>
          <w:tcPr>
            <w:tcW w:w="5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Loss from discontinued operations per common share</w:t>
            </w:r>
          </w:p>
        </w:tc>
        <w:tc>
          <w:tcPr>
            <w:tcW w:w="3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179"/>
        </w:trPr>
        <w:tc>
          <w:tcPr>
            <w:tcW w:w="5700" w:type="dxa"/>
            <w:vAlign w:val="bottom"/>
          </w:tcPr>
          <w:p>
            <w:pPr>
              <w:ind w:left="360"/>
              <w:spacing w:after="0"/>
              <w:rPr>
                <w:sz w:val="20"/>
                <w:szCs w:val="20"/>
                <w:color w:val="auto"/>
              </w:rPr>
            </w:pPr>
            <w:r>
              <w:rPr>
                <w:rFonts w:ascii="Arial" w:cs="Arial" w:eastAsia="Arial" w:hAnsi="Arial"/>
                <w:sz w:val="14"/>
                <w:szCs w:val="14"/>
                <w:color w:val="auto"/>
              </w:rPr>
              <w:t>Net loss per common share</w:t>
            </w: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(0.17)</w:t>
            </w:r>
          </w:p>
        </w:tc>
        <w:tc>
          <w:tcPr>
            <w:tcW w:w="10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(0.59)</w:t>
            </w:r>
          </w:p>
        </w:tc>
        <w:tc>
          <w:tcPr>
            <w:tcW w:w="12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(0.62)</w:t>
            </w:r>
          </w:p>
        </w:tc>
        <w:tc>
          <w:tcPr>
            <w:tcW w:w="10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(6.55)</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Weighted average common shares outstanding</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44,440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42,197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43,561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42,154</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12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8"/>
        </w:trPr>
        <w:tc>
          <w:tcPr>
            <w:tcW w:w="8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0"/>
        </w:trPr>
        <w:tc>
          <w:tcPr>
            <w:tcW w:w="8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840" w:type="dxa"/>
            <w:vAlign w:val="bottom"/>
          </w:tcPr>
          <w:p>
            <w:pPr>
              <w:ind w:left="140"/>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31,543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48,138</w:t>
            </w:r>
          </w:p>
        </w:tc>
        <w:tc>
          <w:tcPr>
            <w:tcW w:w="0" w:type="dxa"/>
            <w:vAlign w:val="bottom"/>
          </w:tcPr>
          <w:p>
            <w:pPr>
              <w:spacing w:after="0"/>
              <w:rPr>
                <w:sz w:val="1"/>
                <w:szCs w:val="1"/>
                <w:color w:val="auto"/>
              </w:rPr>
            </w:pPr>
          </w:p>
        </w:tc>
      </w:tr>
      <w:tr>
        <w:trPr>
          <w:trHeight w:val="186"/>
        </w:trPr>
        <w:tc>
          <w:tcPr>
            <w:tcW w:w="8840" w:type="dxa"/>
            <w:vAlign w:val="bottom"/>
          </w:tcPr>
          <w:p>
            <w:pPr>
              <w:ind w:left="360"/>
              <w:spacing w:after="0"/>
              <w:rPr>
                <w:sz w:val="20"/>
                <w:szCs w:val="20"/>
                <w:color w:val="auto"/>
              </w:rPr>
            </w:pPr>
            <w:r>
              <w:rPr>
                <w:rFonts w:ascii="Arial" w:cs="Arial" w:eastAsia="Arial" w:hAnsi="Arial"/>
                <w:sz w:val="14"/>
                <w:szCs w:val="14"/>
                <w:color w:val="auto"/>
              </w:rPr>
              <w:t>Accounts receivable, net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82,177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84,615</w:t>
            </w: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Inventories</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74,770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62,517</w:t>
            </w:r>
          </w:p>
        </w:tc>
        <w:tc>
          <w:tcPr>
            <w:tcW w:w="0" w:type="dxa"/>
            <w:vAlign w:val="bottom"/>
          </w:tcPr>
          <w:p>
            <w:pPr>
              <w:spacing w:after="0"/>
              <w:rPr>
                <w:sz w:val="1"/>
                <w:szCs w:val="1"/>
                <w:color w:val="auto"/>
              </w:rPr>
            </w:pPr>
          </w:p>
        </w:tc>
      </w:tr>
      <w:tr>
        <w:trPr>
          <w:trHeight w:val="186"/>
        </w:trPr>
        <w:tc>
          <w:tcPr>
            <w:tcW w:w="8840" w:type="dxa"/>
            <w:vAlign w:val="bottom"/>
          </w:tcPr>
          <w:p>
            <w:pPr>
              <w:ind w:left="360"/>
              <w:spacing w:after="0"/>
              <w:rPr>
                <w:sz w:val="20"/>
                <w:szCs w:val="20"/>
                <w:color w:val="auto"/>
              </w:rPr>
            </w:pPr>
            <w:r>
              <w:rPr>
                <w:rFonts w:ascii="Arial" w:cs="Arial" w:eastAsia="Arial" w:hAnsi="Arial"/>
                <w:sz w:val="14"/>
                <w:szCs w:val="14"/>
                <w:color w:val="auto"/>
              </w:rPr>
              <w:t>Income tax receivable</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13,071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8,800</w:t>
            </w: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current assets</w:t>
            </w: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13,125</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11,148</w:t>
            </w:r>
          </w:p>
        </w:tc>
        <w:tc>
          <w:tcPr>
            <w:tcW w:w="0" w:type="dxa"/>
            <w:vAlign w:val="bottom"/>
          </w:tcPr>
          <w:p>
            <w:pPr>
              <w:spacing w:after="0"/>
              <w:rPr>
                <w:sz w:val="1"/>
                <w:szCs w:val="1"/>
                <w:color w:val="auto"/>
              </w:rPr>
            </w:pPr>
          </w:p>
        </w:tc>
      </w:tr>
      <w:tr>
        <w:trPr>
          <w:trHeight w:val="179"/>
        </w:trPr>
        <w:tc>
          <w:tcPr>
            <w:tcW w:w="884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214,686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215,218</w:t>
            </w: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Property, plant and equipment, net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219,808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223,690</w:t>
            </w:r>
          </w:p>
        </w:tc>
        <w:tc>
          <w:tcPr>
            <w:tcW w:w="0" w:type="dxa"/>
            <w:vAlign w:val="bottom"/>
          </w:tcPr>
          <w:p>
            <w:pPr>
              <w:spacing w:after="0"/>
              <w:rPr>
                <w:sz w:val="1"/>
                <w:szCs w:val="1"/>
                <w:color w:val="auto"/>
              </w:rPr>
            </w:pPr>
          </w:p>
        </w:tc>
      </w:tr>
      <w:tr>
        <w:trPr>
          <w:trHeight w:val="186"/>
        </w:trPr>
        <w:tc>
          <w:tcPr>
            <w:tcW w:w="8840" w:type="dxa"/>
            <w:vAlign w:val="bottom"/>
          </w:tcPr>
          <w:p>
            <w:pPr>
              <w:ind w:left="140"/>
              <w:spacing w:after="0"/>
              <w:rPr>
                <w:sz w:val="20"/>
                <w:szCs w:val="20"/>
                <w:color w:val="auto"/>
              </w:rPr>
            </w:pPr>
            <w:r>
              <w:rPr>
                <w:rFonts w:ascii="Arial" w:cs="Arial" w:eastAsia="Arial" w:hAnsi="Arial"/>
                <w:sz w:val="14"/>
                <w:szCs w:val="14"/>
                <w:color w:val="auto"/>
              </w:rPr>
              <w:t>Operating lease right-of-use assets</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48,407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50,264</w:t>
            </w: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Intangible assets, net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95,891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103,065</w:t>
            </w:r>
          </w:p>
        </w:tc>
        <w:tc>
          <w:tcPr>
            <w:tcW w:w="0" w:type="dxa"/>
            <w:vAlign w:val="bottom"/>
          </w:tcPr>
          <w:p>
            <w:pPr>
              <w:spacing w:after="0"/>
              <w:rPr>
                <w:sz w:val="1"/>
                <w:szCs w:val="1"/>
                <w:color w:val="auto"/>
              </w:rPr>
            </w:pPr>
          </w:p>
        </w:tc>
      </w:tr>
      <w:tr>
        <w:trPr>
          <w:trHeight w:val="186"/>
        </w:trPr>
        <w:tc>
          <w:tcPr>
            <w:tcW w:w="8840" w:type="dxa"/>
            <w:vAlign w:val="bottom"/>
          </w:tcPr>
          <w:p>
            <w:pPr>
              <w:ind w:left="140"/>
              <w:spacing w:after="0"/>
              <w:rPr>
                <w:sz w:val="20"/>
                <w:szCs w:val="20"/>
                <w:color w:val="auto"/>
              </w:rPr>
            </w:pPr>
            <w:r>
              <w:rPr>
                <w:rFonts w:ascii="Arial" w:cs="Arial" w:eastAsia="Arial" w:hAnsi="Arial"/>
                <w:sz w:val="14"/>
                <w:szCs w:val="14"/>
                <w:color w:val="auto"/>
              </w:rPr>
              <w:t>Investment in joint venture</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29,897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26,983</w:t>
            </w: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tax assets</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8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non-current assets</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5,742</w:t>
            </w:r>
          </w:p>
        </w:tc>
        <w:tc>
          <w:tcPr>
            <w:tcW w:w="0" w:type="dxa"/>
            <w:vAlign w:val="bottom"/>
          </w:tcPr>
          <w:p>
            <w:pPr>
              <w:spacing w:after="0"/>
              <w:rPr>
                <w:sz w:val="1"/>
                <w:szCs w:val="1"/>
                <w:color w:val="auto"/>
              </w:rPr>
            </w:pPr>
          </w:p>
        </w:tc>
      </w:tr>
      <w:tr>
        <w:trPr>
          <w:trHeight w:val="208"/>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613,583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624,962</w:t>
            </w:r>
          </w:p>
        </w:tc>
        <w:tc>
          <w:tcPr>
            <w:tcW w:w="0" w:type="dxa"/>
            <w:vAlign w:val="bottom"/>
          </w:tcPr>
          <w:p>
            <w:pPr>
              <w:spacing w:after="0"/>
              <w:rPr>
                <w:sz w:val="1"/>
                <w:szCs w:val="1"/>
                <w:color w:val="auto"/>
              </w:rPr>
            </w:pPr>
          </w:p>
        </w:tc>
      </w:tr>
      <w:tr>
        <w:trPr>
          <w:trHeight w:val="20"/>
        </w:trPr>
        <w:tc>
          <w:tcPr>
            <w:tcW w:w="8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Preferred Stock, and Stockholders’ Equity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8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Current liabilities:</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84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46,834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37,435</w:t>
            </w: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Accrued salaries, wages and benefits</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21,279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21,296</w:t>
            </w:r>
          </w:p>
        </w:tc>
        <w:tc>
          <w:tcPr>
            <w:tcW w:w="0" w:type="dxa"/>
            <w:vAlign w:val="bottom"/>
          </w:tcPr>
          <w:p>
            <w:pPr>
              <w:spacing w:after="0"/>
              <w:rPr>
                <w:sz w:val="1"/>
                <w:szCs w:val="1"/>
                <w:color w:val="auto"/>
              </w:rPr>
            </w:pPr>
          </w:p>
        </w:tc>
      </w:tr>
      <w:tr>
        <w:trPr>
          <w:trHeight w:val="186"/>
        </w:trPr>
        <w:tc>
          <w:tcPr>
            <w:tcW w:w="8840" w:type="dxa"/>
            <w:vAlign w:val="bottom"/>
          </w:tcPr>
          <w:p>
            <w:pPr>
              <w:ind w:left="360"/>
              <w:spacing w:after="0"/>
              <w:rPr>
                <w:sz w:val="20"/>
                <w:szCs w:val="20"/>
                <w:color w:val="auto"/>
              </w:rPr>
            </w:pPr>
            <w:r>
              <w:rPr>
                <w:rFonts w:ascii="Arial" w:cs="Arial" w:eastAsia="Arial" w:hAnsi="Arial"/>
                <w:sz w:val="14"/>
                <w:szCs w:val="14"/>
                <w:color w:val="auto"/>
              </w:rPr>
              <w:t>Income tax payable</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1,494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3,557</w:t>
            </w: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Current maturities of long-term debt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4,885</w:t>
            </w:r>
          </w:p>
        </w:tc>
        <w:tc>
          <w:tcPr>
            <w:tcW w:w="0" w:type="dxa"/>
            <w:vAlign w:val="bottom"/>
          </w:tcPr>
          <w:p>
            <w:pPr>
              <w:spacing w:after="0"/>
              <w:rPr>
                <w:sz w:val="1"/>
                <w:szCs w:val="1"/>
                <w:color w:val="auto"/>
              </w:rPr>
            </w:pPr>
          </w:p>
        </w:tc>
      </w:tr>
      <w:tr>
        <w:trPr>
          <w:trHeight w:val="186"/>
        </w:trPr>
        <w:tc>
          <w:tcPr>
            <w:tcW w:w="8840" w:type="dxa"/>
            <w:vAlign w:val="bottom"/>
          </w:tcPr>
          <w:p>
            <w:pPr>
              <w:ind w:left="360"/>
              <w:spacing w:after="0"/>
              <w:rPr>
                <w:sz w:val="20"/>
                <w:szCs w:val="20"/>
                <w:color w:val="auto"/>
              </w:rPr>
            </w:pPr>
            <w:r>
              <w:rPr>
                <w:rFonts w:ascii="Arial" w:cs="Arial" w:eastAsia="Arial" w:hAnsi="Arial"/>
                <w:sz w:val="14"/>
                <w:szCs w:val="14"/>
                <w:color w:val="auto"/>
              </w:rPr>
              <w:t>Current portion of operating lease liabilities</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5,130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4,797</w:t>
            </w: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current liabilities</w:t>
            </w: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12,651</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31,261</w:t>
            </w:r>
          </w:p>
        </w:tc>
        <w:tc>
          <w:tcPr>
            <w:tcW w:w="0" w:type="dxa"/>
            <w:vAlign w:val="bottom"/>
          </w:tcPr>
          <w:p>
            <w:pPr>
              <w:spacing w:after="0"/>
              <w:rPr>
                <w:sz w:val="1"/>
                <w:szCs w:val="1"/>
                <w:color w:val="auto"/>
              </w:rPr>
            </w:pPr>
          </w:p>
        </w:tc>
      </w:tr>
      <w:tr>
        <w:trPr>
          <w:trHeight w:val="179"/>
        </w:trPr>
        <w:tc>
          <w:tcPr>
            <w:tcW w:w="8840" w:type="dxa"/>
            <w:vAlign w:val="bottom"/>
          </w:tcPr>
          <w:p>
            <w:pPr>
              <w:ind w:left="680"/>
              <w:spacing w:after="0"/>
              <w:rPr>
                <w:sz w:val="20"/>
                <w:szCs w:val="20"/>
                <w:color w:val="auto"/>
              </w:rPr>
            </w:pPr>
            <w:r>
              <w:rPr>
                <w:rFonts w:ascii="Arial" w:cs="Arial" w:eastAsia="Arial" w:hAnsi="Arial"/>
                <w:sz w:val="14"/>
                <w:szCs w:val="14"/>
                <w:color w:val="auto"/>
              </w:rPr>
              <w:t>Total current liabilities</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92,196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103,231</w:t>
            </w: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tax liabilities</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11,178</w:t>
            </w:r>
          </w:p>
        </w:tc>
        <w:tc>
          <w:tcPr>
            <w:tcW w:w="0" w:type="dxa"/>
            <w:vAlign w:val="bottom"/>
          </w:tcPr>
          <w:p>
            <w:pPr>
              <w:spacing w:after="0"/>
              <w:rPr>
                <w:sz w:val="1"/>
                <w:szCs w:val="1"/>
                <w:color w:val="auto"/>
              </w:rPr>
            </w:pPr>
          </w:p>
        </w:tc>
      </w:tr>
      <w:tr>
        <w:trPr>
          <w:trHeight w:val="186"/>
        </w:trPr>
        <w:tc>
          <w:tcPr>
            <w:tcW w:w="8840" w:type="dxa"/>
            <w:vAlign w:val="bottom"/>
          </w:tcPr>
          <w:p>
            <w:pPr>
              <w:ind w:left="140"/>
              <w:spacing w:after="0"/>
              <w:rPr>
                <w:sz w:val="20"/>
                <w:szCs w:val="20"/>
                <w:color w:val="auto"/>
              </w:rPr>
            </w:pPr>
            <w:r>
              <w:rPr>
                <w:rFonts w:ascii="Arial" w:cs="Arial" w:eastAsia="Arial" w:hAnsi="Arial"/>
                <w:sz w:val="14"/>
                <w:szCs w:val="14"/>
                <w:color w:val="auto"/>
              </w:rPr>
              <w:t>Long-term debt, net of current portion</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150,728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79,025</w:t>
            </w: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lease liabilities, net of current portion</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53,601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55,053</w:t>
            </w:r>
          </w:p>
        </w:tc>
        <w:tc>
          <w:tcPr>
            <w:tcW w:w="0" w:type="dxa"/>
            <w:vAlign w:val="bottom"/>
          </w:tcPr>
          <w:p>
            <w:pPr>
              <w:spacing w:after="0"/>
              <w:rPr>
                <w:sz w:val="1"/>
                <w:szCs w:val="1"/>
                <w:color w:val="auto"/>
              </w:rPr>
            </w:pPr>
          </w:p>
        </w:tc>
      </w:tr>
      <w:tr>
        <w:trPr>
          <w:trHeight w:val="186"/>
        </w:trPr>
        <w:tc>
          <w:tcPr>
            <w:tcW w:w="88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non-current liabilities</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26,438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17,237</w:t>
            </w:r>
          </w:p>
        </w:tc>
        <w:tc>
          <w:tcPr>
            <w:tcW w:w="0" w:type="dxa"/>
            <w:vAlign w:val="bottom"/>
          </w:tcPr>
          <w:p>
            <w:pPr>
              <w:spacing w:after="0"/>
              <w:rPr>
                <w:sz w:val="1"/>
                <w:szCs w:val="1"/>
                <w:color w:val="auto"/>
              </w:rPr>
            </w:pPr>
          </w:p>
        </w:tc>
      </w:tr>
      <w:tr>
        <w:trPr>
          <w:trHeight w:val="186"/>
        </w:trPr>
        <w:tc>
          <w:tcPr>
            <w:tcW w:w="88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liabilities</w:t>
            </w: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332,159</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265,724</w:t>
            </w:r>
          </w:p>
        </w:tc>
        <w:tc>
          <w:tcPr>
            <w:tcW w:w="0" w:type="dxa"/>
            <w:vAlign w:val="bottom"/>
          </w:tcPr>
          <w:p>
            <w:pPr>
              <w:spacing w:after="0"/>
              <w:rPr>
                <w:sz w:val="1"/>
                <w:szCs w:val="1"/>
                <w:color w:val="auto"/>
              </w:rPr>
            </w:pPr>
          </w:p>
        </w:tc>
      </w:tr>
      <w:tr>
        <w:trPr>
          <w:trHeight w:val="166"/>
        </w:trPr>
        <w:tc>
          <w:tcPr>
            <w:tcW w:w="8840" w:type="dxa"/>
            <w:vAlign w:val="bottom"/>
          </w:tcPr>
          <w:p>
            <w:pPr>
              <w:ind w:left="140"/>
              <w:spacing w:after="0"/>
              <w:rPr>
                <w:sz w:val="20"/>
                <w:szCs w:val="20"/>
                <w:color w:val="auto"/>
              </w:rPr>
            </w:pPr>
            <w:r>
              <w:rPr>
                <w:rFonts w:ascii="Arial" w:cs="Arial" w:eastAsia="Arial" w:hAnsi="Arial"/>
                <w:sz w:val="14"/>
                <w:szCs w:val="14"/>
                <w:color w:val="auto"/>
              </w:rPr>
              <w:t>Commitments and contingencies (Note 11)</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Series D perpetual preferred stock - $0.01 par value per share, 65 shares authorized, issued and outstanding at June 30, 2021</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49,069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840" w:type="dxa"/>
            <w:vAlign w:val="bottom"/>
          </w:tcPr>
          <w:p>
            <w:pPr>
              <w:ind w:left="140"/>
              <w:spacing w:after="0"/>
              <w:rPr>
                <w:sz w:val="20"/>
                <w:szCs w:val="20"/>
                <w:color w:val="auto"/>
              </w:rPr>
            </w:pPr>
            <w:r>
              <w:rPr>
                <w:rFonts w:ascii="Arial" w:cs="Arial" w:eastAsia="Arial" w:hAnsi="Arial"/>
                <w:sz w:val="14"/>
                <w:szCs w:val="14"/>
                <w:color w:val="auto"/>
              </w:rPr>
              <w:t>Series B convertible preferred stock - $0.01 par value per share, 100 shares authorized, issued and outstanding at December 31, 2020</w:t>
            </w:r>
          </w:p>
        </w:tc>
        <w:tc>
          <w:tcPr>
            <w:tcW w:w="1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105,086</w:t>
            </w: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Stockholders' equity:</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840" w:type="dxa"/>
            <w:vAlign w:val="bottom"/>
          </w:tcPr>
          <w:p>
            <w:pPr>
              <w:ind w:left="360"/>
              <w:spacing w:after="0" w:line="135" w:lineRule="exact"/>
              <w:rPr>
                <w:sz w:val="20"/>
                <w:szCs w:val="20"/>
                <w:color w:val="auto"/>
              </w:rPr>
            </w:pPr>
            <w:r>
              <w:rPr>
                <w:rFonts w:ascii="Arial" w:cs="Arial" w:eastAsia="Arial" w:hAnsi="Arial"/>
                <w:sz w:val="14"/>
                <w:szCs w:val="14"/>
                <w:color w:val="auto"/>
                <w:w w:val="94"/>
              </w:rPr>
              <w:t>Common stock - $0.01 par value per share, 90,000 shares authorized, 42,686 and 43,034 shares issued and outstanding at December 31, 2020</w:t>
            </w: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430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186"/>
        </w:trPr>
        <w:tc>
          <w:tcPr>
            <w:tcW w:w="8840" w:type="dxa"/>
            <w:vAlign w:val="bottom"/>
          </w:tcPr>
          <w:p>
            <w:pPr>
              <w:ind w:left="360"/>
              <w:spacing w:after="0"/>
              <w:rPr>
                <w:sz w:val="20"/>
                <w:szCs w:val="20"/>
                <w:color w:val="auto"/>
              </w:rPr>
            </w:pPr>
            <w:r>
              <w:rPr>
                <w:rFonts w:ascii="Arial" w:cs="Arial" w:eastAsia="Arial" w:hAnsi="Arial"/>
                <w:sz w:val="14"/>
                <w:szCs w:val="14"/>
                <w:color w:val="auto"/>
              </w:rPr>
              <w:t>and June 30, 2021, respectively</w:t>
            </w: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Additional paid-in capital</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477,923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493,332</w:t>
            </w:r>
          </w:p>
        </w:tc>
        <w:tc>
          <w:tcPr>
            <w:tcW w:w="0" w:type="dxa"/>
            <w:vAlign w:val="bottom"/>
          </w:tcPr>
          <w:p>
            <w:pPr>
              <w:spacing w:after="0"/>
              <w:rPr>
                <w:sz w:val="1"/>
                <w:szCs w:val="1"/>
                <w:color w:val="auto"/>
              </w:rPr>
            </w:pPr>
          </w:p>
        </w:tc>
      </w:tr>
      <w:tr>
        <w:trPr>
          <w:trHeight w:val="186"/>
        </w:trPr>
        <w:tc>
          <w:tcPr>
            <w:tcW w:w="8840" w:type="dxa"/>
            <w:vAlign w:val="bottom"/>
          </w:tcPr>
          <w:p>
            <w:pPr>
              <w:ind w:left="360"/>
              <w:spacing w:after="0"/>
              <w:rPr>
                <w:sz w:val="20"/>
                <w:szCs w:val="20"/>
                <w:color w:val="auto"/>
              </w:rPr>
            </w:pPr>
            <w:r>
              <w:rPr>
                <w:rFonts w:ascii="Arial" w:cs="Arial" w:eastAsia="Arial" w:hAnsi="Arial"/>
                <w:sz w:val="14"/>
                <w:szCs w:val="14"/>
                <w:color w:val="auto"/>
              </w:rPr>
              <w:t>Accumulated deficit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(216,179)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(205,875)</w:t>
            </w: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Accumulated other comprehensive loss</w:t>
            </w: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(29,819)</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(33,732)</w:t>
            </w:r>
          </w:p>
        </w:tc>
        <w:tc>
          <w:tcPr>
            <w:tcW w:w="0" w:type="dxa"/>
            <w:vAlign w:val="bottom"/>
          </w:tcPr>
          <w:p>
            <w:pPr>
              <w:spacing w:after="0"/>
              <w:rPr>
                <w:sz w:val="1"/>
                <w:szCs w:val="1"/>
                <w:color w:val="auto"/>
              </w:rPr>
            </w:pPr>
          </w:p>
        </w:tc>
      </w:tr>
      <w:tr>
        <w:trPr>
          <w:trHeight w:val="179"/>
        </w:trPr>
        <w:tc>
          <w:tcPr>
            <w:tcW w:w="884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stockholders’ equity</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232,355</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254,152</w:t>
            </w:r>
          </w:p>
        </w:tc>
        <w:tc>
          <w:tcPr>
            <w:tcW w:w="0" w:type="dxa"/>
            <w:vAlign w:val="bottom"/>
          </w:tcPr>
          <w:p>
            <w:pPr>
              <w:spacing w:after="0"/>
              <w:rPr>
                <w:sz w:val="1"/>
                <w:szCs w:val="1"/>
                <w:color w:val="auto"/>
              </w:rPr>
            </w:pPr>
          </w:p>
        </w:tc>
      </w:tr>
      <w:tr>
        <w:trPr>
          <w:trHeight w:val="208"/>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preferred stock,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613,583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624,962</w:t>
            </w:r>
          </w:p>
        </w:tc>
        <w:tc>
          <w:tcPr>
            <w:tcW w:w="0" w:type="dxa"/>
            <w:vAlign w:val="bottom"/>
          </w:tcPr>
          <w:p>
            <w:pPr>
              <w:spacing w:after="0"/>
              <w:rPr>
                <w:sz w:val="1"/>
                <w:szCs w:val="1"/>
                <w:color w:val="auto"/>
              </w:rPr>
            </w:pP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2021 and 2020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560" w:type="dxa"/>
            <w:vAlign w:val="bottom"/>
            <w:tcBorders>
              <w:bottom w:val="single" w:sz="8" w:color="auto"/>
            </w:tcBorders>
            <w:gridSpan w:val="4"/>
          </w:tcPr>
          <w:p>
            <w:pPr>
              <w:jc w:val="right"/>
              <w:ind w:right="221"/>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rPr>
                <w:sz w:val="12"/>
                <w:szCs w:val="12"/>
                <w:color w:val="auto"/>
              </w:rPr>
            </w:pPr>
          </w:p>
        </w:tc>
        <w:tc>
          <w:tcPr>
            <w:tcW w:w="6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Par</w:t>
            </w: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2"/>
                <w:szCs w:val="12"/>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Accumulated other</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of</w:t>
            </w:r>
          </w:p>
        </w:tc>
        <w:tc>
          <w:tcPr>
            <w:tcW w:w="1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paid-in</w:t>
            </w: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220" w:type="dxa"/>
            <w:vAlign w:val="bottom"/>
          </w:tcPr>
          <w:p>
            <w:pPr>
              <w:spacing w:after="0"/>
              <w:rPr>
                <w:sz w:val="11"/>
                <w:szCs w:val="11"/>
                <w:color w:val="auto"/>
              </w:rPr>
            </w:pPr>
          </w:p>
        </w:tc>
        <w:tc>
          <w:tcPr>
            <w:tcW w:w="72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800" w:type="dxa"/>
            <w:vAlign w:val="bottom"/>
            <w:vMerge w:val="continue"/>
          </w:tcPr>
          <w:p>
            <w:pPr>
              <w:spacing w:after="0"/>
              <w:rPr>
                <w:sz w:val="16"/>
                <w:szCs w:val="16"/>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shares</w:t>
            </w:r>
          </w:p>
        </w:tc>
        <w:tc>
          <w:tcPr>
            <w:tcW w:w="140" w:type="dxa"/>
            <w:vAlign w:val="bottom"/>
          </w:tcPr>
          <w:p>
            <w:pPr>
              <w:spacing w:after="0"/>
              <w:rPr>
                <w:sz w:val="16"/>
                <w:szCs w:val="16"/>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value</w:t>
            </w: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income (loss)</w:t>
            </w: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March 31, 2021</w:t>
            </w:r>
          </w:p>
        </w:tc>
        <w:tc>
          <w:tcPr>
            <w:tcW w:w="8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43,049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479,341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(210,788)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(34,228)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234,755</w:t>
            </w:r>
          </w:p>
        </w:tc>
        <w:tc>
          <w:tcPr>
            <w:tcW w:w="0" w:type="dxa"/>
            <w:vAlign w:val="bottom"/>
          </w:tcPr>
          <w:p>
            <w:pPr>
              <w:spacing w:after="0"/>
              <w:rPr>
                <w:sz w:val="1"/>
                <w:szCs w:val="1"/>
                <w:color w:val="auto"/>
              </w:rPr>
            </w:pPr>
          </w:p>
        </w:tc>
      </w:tr>
      <w:tr>
        <w:trPr>
          <w:trHeight w:val="213"/>
        </w:trPr>
        <w:tc>
          <w:tcPr>
            <w:tcW w:w="4800" w:type="dxa"/>
            <w:vAlign w:val="bottom"/>
          </w:tcPr>
          <w:p>
            <w:pPr>
              <w:ind w:left="360"/>
              <w:spacing w:after="0"/>
              <w:rPr>
                <w:sz w:val="20"/>
                <w:szCs w:val="20"/>
                <w:color w:val="auto"/>
              </w:rPr>
            </w:pPr>
            <w:r>
              <w:rPr>
                <w:rFonts w:ascii="Arial" w:cs="Arial" w:eastAsia="Arial" w:hAnsi="Arial"/>
                <w:sz w:val="16"/>
                <w:szCs w:val="16"/>
                <w:color w:val="auto"/>
              </w:rPr>
              <w:t>Net loss</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(5,391)</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Dividends accrued for preferred stock</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(2,211)</w:t>
            </w:r>
          </w:p>
        </w:tc>
        <w:tc>
          <w:tcPr>
            <w:tcW w:w="0" w:type="dxa"/>
            <w:vAlign w:val="bottom"/>
          </w:tcPr>
          <w:p>
            <w:pPr>
              <w:spacing w:after="0"/>
              <w:rPr>
                <w:sz w:val="1"/>
                <w:szCs w:val="1"/>
                <w:color w:val="auto"/>
              </w:rPr>
            </w:pPr>
          </w:p>
        </w:tc>
      </w:tr>
      <w:tr>
        <w:trPr>
          <w:trHeight w:val="213"/>
        </w:trPr>
        <w:tc>
          <w:tcPr>
            <w:tcW w:w="4800" w:type="dxa"/>
            <w:vAlign w:val="bottom"/>
          </w:tcPr>
          <w:p>
            <w:pPr>
              <w:ind w:left="360"/>
              <w:spacing w:after="0"/>
              <w:rPr>
                <w:sz w:val="20"/>
                <w:szCs w:val="20"/>
                <w:color w:val="auto"/>
              </w:rPr>
            </w:pPr>
            <w:r>
              <w:rPr>
                <w:rFonts w:ascii="Arial" w:cs="Arial" w:eastAsia="Arial" w:hAnsi="Arial"/>
                <w:sz w:val="16"/>
                <w:szCs w:val="16"/>
                <w:color w:val="auto"/>
              </w:rPr>
              <w:t>Shares issued for option exercises</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Share-based compensation expense</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0" w:type="dxa"/>
            <w:vAlign w:val="bottom"/>
          </w:tcPr>
          <w:p>
            <w:pPr>
              <w:spacing w:after="0"/>
              <w:rPr>
                <w:sz w:val="1"/>
                <w:szCs w:val="1"/>
                <w:color w:val="auto"/>
              </w:rPr>
            </w:pPr>
          </w:p>
        </w:tc>
      </w:tr>
      <w:tr>
        <w:trPr>
          <w:trHeight w:val="213"/>
        </w:trPr>
        <w:tc>
          <w:tcPr>
            <w:tcW w:w="4800" w:type="dxa"/>
            <w:vAlign w:val="bottom"/>
          </w:tcPr>
          <w:p>
            <w:pPr>
              <w:ind w:left="360"/>
              <w:spacing w:after="0"/>
              <w:rPr>
                <w:sz w:val="20"/>
                <w:szCs w:val="20"/>
                <w:color w:val="auto"/>
              </w:rPr>
            </w:pPr>
            <w:r>
              <w:rPr>
                <w:rFonts w:ascii="Arial" w:cs="Arial" w:eastAsia="Arial" w:hAnsi="Arial"/>
                <w:sz w:val="16"/>
                <w:szCs w:val="16"/>
                <w:color w:val="auto"/>
              </w:rPr>
              <w:t>Restricted shares forgiven for taxes</w:t>
            </w: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estimate of share-based award vesting</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13"/>
        </w:trPr>
        <w:tc>
          <w:tcPr>
            <w:tcW w:w="4800" w:type="dxa"/>
            <w:vAlign w:val="bottom"/>
          </w:tcPr>
          <w:p>
            <w:pPr>
              <w:ind w:left="360"/>
              <w:spacing w:after="0"/>
              <w:rPr>
                <w:sz w:val="20"/>
                <w:szCs w:val="20"/>
                <w:color w:val="auto"/>
              </w:rPr>
            </w:pPr>
            <w:r>
              <w:rPr>
                <w:rFonts w:ascii="Arial" w:cs="Arial" w:eastAsia="Arial" w:hAnsi="Arial"/>
                <w:sz w:val="16"/>
                <w:szCs w:val="16"/>
                <w:color w:val="auto"/>
              </w:rPr>
              <w:t>Foreign currency translation gain</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4,409</w:t>
            </w:r>
          </w:p>
        </w:tc>
        <w:tc>
          <w:tcPr>
            <w:tcW w:w="0" w:type="dxa"/>
            <w:vAlign w:val="bottom"/>
          </w:tcPr>
          <w:p>
            <w:pPr>
              <w:spacing w:after="0"/>
              <w:rPr>
                <w:sz w:val="1"/>
                <w:szCs w:val="1"/>
                <w:color w:val="auto"/>
              </w:rPr>
            </w:pPr>
          </w:p>
        </w:tc>
      </w:tr>
      <w:tr>
        <w:trPr>
          <w:trHeight w:val="238"/>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June 30, 2021</w:t>
            </w:r>
          </w:p>
        </w:tc>
        <w:tc>
          <w:tcPr>
            <w:tcW w:w="8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43,034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477,923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(216,179)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232,355</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560" w:type="dxa"/>
            <w:vAlign w:val="bottom"/>
            <w:tcBorders>
              <w:bottom w:val="single" w:sz="8" w:color="auto"/>
            </w:tcBorders>
            <w:gridSpan w:val="4"/>
          </w:tcPr>
          <w:p>
            <w:pPr>
              <w:jc w:val="right"/>
              <w:ind w:right="241"/>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2"/>
                <w:szCs w:val="12"/>
                <w:color w:val="auto"/>
              </w:rPr>
            </w:pPr>
          </w:p>
        </w:tc>
        <w:tc>
          <w:tcPr>
            <w:tcW w:w="6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Par</w:t>
            </w: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Accumulated other</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paid-in</w:t>
            </w:r>
          </w:p>
        </w:tc>
        <w:tc>
          <w:tcPr>
            <w:tcW w:w="12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Warrants</w:t>
            </w: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200" w:type="dxa"/>
            <w:vAlign w:val="bottom"/>
          </w:tcPr>
          <w:p>
            <w:pPr>
              <w:spacing w:after="0"/>
              <w:rPr>
                <w:sz w:val="11"/>
                <w:szCs w:val="11"/>
                <w:color w:val="auto"/>
              </w:rPr>
            </w:pPr>
          </w:p>
        </w:tc>
        <w:tc>
          <w:tcPr>
            <w:tcW w:w="72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780" w:type="dxa"/>
            <w:vAlign w:val="bottom"/>
            <w:vMerge w:val="continue"/>
          </w:tcPr>
          <w:p>
            <w:pPr>
              <w:spacing w:after="0"/>
              <w:rPr>
                <w:sz w:val="16"/>
                <w:szCs w:val="16"/>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shares</w:t>
            </w:r>
          </w:p>
        </w:tc>
        <w:tc>
          <w:tcPr>
            <w:tcW w:w="120" w:type="dxa"/>
            <w:vAlign w:val="bottom"/>
          </w:tcPr>
          <w:p>
            <w:pPr>
              <w:spacing w:after="0"/>
              <w:rPr>
                <w:sz w:val="16"/>
                <w:szCs w:val="16"/>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value</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capital</w:t>
            </w: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income (loss)</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March 31, 2020</w:t>
            </w:r>
          </w:p>
        </w:tc>
        <w:tc>
          <w:tcPr>
            <w:tcW w:w="8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42,757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499,925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(353,474)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(69,053)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78,902</w:t>
            </w:r>
          </w:p>
        </w:tc>
        <w:tc>
          <w:tcPr>
            <w:tcW w:w="0" w:type="dxa"/>
            <w:vAlign w:val="bottom"/>
          </w:tcPr>
          <w:p>
            <w:pPr>
              <w:spacing w:after="0"/>
              <w:rPr>
                <w:sz w:val="1"/>
                <w:szCs w:val="1"/>
                <w:color w:val="auto"/>
              </w:rPr>
            </w:pPr>
          </w:p>
        </w:tc>
      </w:tr>
      <w:tr>
        <w:trPr>
          <w:trHeight w:val="213"/>
        </w:trPr>
        <w:tc>
          <w:tcPr>
            <w:tcW w:w="3780" w:type="dxa"/>
            <w:vAlign w:val="bottom"/>
          </w:tcPr>
          <w:p>
            <w:pPr>
              <w:ind w:left="340"/>
              <w:spacing w:after="0"/>
              <w:rPr>
                <w:sz w:val="20"/>
                <w:szCs w:val="20"/>
                <w:color w:val="auto"/>
              </w:rPr>
            </w:pPr>
            <w:r>
              <w:rPr>
                <w:rFonts w:ascii="Arial" w:cs="Arial" w:eastAsia="Arial" w:hAnsi="Arial"/>
                <w:sz w:val="16"/>
                <w:szCs w:val="16"/>
                <w:color w:val="auto"/>
              </w:rPr>
              <w:t>Net loss</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(21,748)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(21,748)</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Dividends accrued for preferred stock</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(3,043)</w:t>
            </w:r>
          </w:p>
        </w:tc>
        <w:tc>
          <w:tcPr>
            <w:tcW w:w="0" w:type="dxa"/>
            <w:vAlign w:val="bottom"/>
          </w:tcPr>
          <w:p>
            <w:pPr>
              <w:spacing w:after="0"/>
              <w:rPr>
                <w:sz w:val="1"/>
                <w:szCs w:val="1"/>
                <w:color w:val="auto"/>
              </w:rPr>
            </w:pPr>
          </w:p>
        </w:tc>
      </w:tr>
      <w:tr>
        <w:trPr>
          <w:trHeight w:val="213"/>
        </w:trPr>
        <w:tc>
          <w:tcPr>
            <w:tcW w:w="3780" w:type="dxa"/>
            <w:vAlign w:val="bottom"/>
          </w:tcPr>
          <w:p>
            <w:pPr>
              <w:ind w:left="340"/>
              <w:spacing w:after="0"/>
              <w:rPr>
                <w:sz w:val="20"/>
                <w:szCs w:val="20"/>
                <w:color w:val="auto"/>
              </w:rPr>
            </w:pPr>
            <w:r>
              <w:rPr>
                <w:rFonts w:ascii="Arial" w:cs="Arial" w:eastAsia="Arial" w:hAnsi="Arial"/>
                <w:sz w:val="16"/>
                <w:szCs w:val="16"/>
                <w:color w:val="auto"/>
              </w:rPr>
              <w:t>Share-based compensation expense</w:t>
            </w:r>
          </w:p>
        </w:tc>
        <w:tc>
          <w:tcPr>
            <w:tcW w:w="8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1,412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1,411</w:t>
            </w:r>
          </w:p>
        </w:tc>
        <w:tc>
          <w:tcPr>
            <w:tcW w:w="0" w:type="dxa"/>
            <w:vAlign w:val="bottom"/>
          </w:tcPr>
          <w:p>
            <w:pPr>
              <w:spacing w:after="0"/>
              <w:rPr>
                <w:sz w:val="1"/>
                <w:szCs w:val="1"/>
                <w:color w:val="auto"/>
              </w:rPr>
            </w:pPr>
          </w:p>
        </w:tc>
      </w:tr>
      <w:tr>
        <w:trPr>
          <w:trHeight w:val="169"/>
        </w:trPr>
        <w:tc>
          <w:tcPr>
            <w:tcW w:w="3780" w:type="dxa"/>
            <w:vAlign w:val="bottom"/>
            <w:shd w:val="clear" w:color="auto" w:fill="CCEEFF"/>
          </w:tcPr>
          <w:p>
            <w:pPr>
              <w:ind w:left="340"/>
              <w:spacing w:after="0" w:line="169" w:lineRule="exact"/>
              <w:rPr>
                <w:sz w:val="20"/>
                <w:szCs w:val="20"/>
                <w:color w:val="auto"/>
              </w:rPr>
            </w:pPr>
            <w:r>
              <w:rPr>
                <w:rFonts w:ascii="Arial" w:cs="Arial" w:eastAsia="Arial" w:hAnsi="Arial"/>
                <w:sz w:val="16"/>
                <w:szCs w:val="16"/>
                <w:color w:val="auto"/>
              </w:rPr>
              <w:t>Change in fair value of interest rate swap, net of</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(1,255)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(1,255)</w:t>
            </w:r>
          </w:p>
        </w:tc>
        <w:tc>
          <w:tcPr>
            <w:tcW w:w="0" w:type="dxa"/>
            <w:vAlign w:val="bottom"/>
          </w:tcPr>
          <w:p>
            <w:pPr>
              <w:spacing w:after="0"/>
              <w:rPr>
                <w:sz w:val="1"/>
                <w:szCs w:val="1"/>
                <w:color w:val="auto"/>
              </w:rPr>
            </w:pPr>
          </w:p>
        </w:tc>
      </w:tr>
      <w:tr>
        <w:trPr>
          <w:trHeight w:val="212"/>
        </w:trPr>
        <w:tc>
          <w:tcPr>
            <w:tcW w:w="3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tax of $380</w:t>
            </w: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780" w:type="dxa"/>
            <w:vAlign w:val="bottom"/>
          </w:tcPr>
          <w:p>
            <w:pPr>
              <w:ind w:left="340"/>
              <w:spacing w:after="0" w:line="166" w:lineRule="exact"/>
              <w:rPr>
                <w:sz w:val="20"/>
                <w:szCs w:val="20"/>
                <w:color w:val="auto"/>
              </w:rPr>
            </w:pPr>
            <w:r>
              <w:rPr>
                <w:rFonts w:ascii="Arial" w:cs="Arial" w:eastAsia="Arial" w:hAnsi="Arial"/>
                <w:sz w:val="16"/>
                <w:szCs w:val="16"/>
                <w:color w:val="auto"/>
                <w:w w:val="96"/>
              </w:rPr>
              <w:t>Reclassification of interest rate swap settlement to</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60" w:type="dxa"/>
            <w:vAlign w:val="bottom"/>
            <w:gridSpan w:val="2"/>
            <w:vMerge w:val="restart"/>
          </w:tcPr>
          <w:p>
            <w:pPr>
              <w:ind w:left="8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ind w:right="1"/>
              <w:spacing w:after="0"/>
              <w:rPr>
                <w:sz w:val="20"/>
                <w:szCs w:val="20"/>
                <w:color w:val="auto"/>
              </w:rPr>
            </w:pPr>
            <w:r>
              <w:rPr>
                <w:rFonts w:ascii="Arial" w:cs="Arial" w:eastAsia="Arial" w:hAnsi="Arial"/>
                <w:sz w:val="16"/>
                <w:szCs w:val="16"/>
                <w:color w:val="auto"/>
              </w:rPr>
              <w:t>2,638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2,638</w:t>
            </w:r>
          </w:p>
        </w:tc>
        <w:tc>
          <w:tcPr>
            <w:tcW w:w="0" w:type="dxa"/>
            <w:vAlign w:val="bottom"/>
          </w:tcPr>
          <w:p>
            <w:pPr>
              <w:spacing w:after="0"/>
              <w:rPr>
                <w:sz w:val="1"/>
                <w:szCs w:val="1"/>
                <w:color w:val="auto"/>
              </w:rPr>
            </w:pPr>
          </w:p>
        </w:tc>
      </w:tr>
      <w:tr>
        <w:trPr>
          <w:trHeight w:val="209"/>
        </w:trPr>
        <w:tc>
          <w:tcPr>
            <w:tcW w:w="3780" w:type="dxa"/>
            <w:vAlign w:val="bottom"/>
          </w:tcPr>
          <w:p>
            <w:pPr>
              <w:ind w:left="340"/>
              <w:spacing w:after="0"/>
              <w:rPr>
                <w:sz w:val="20"/>
                <w:szCs w:val="20"/>
                <w:color w:val="auto"/>
              </w:rPr>
            </w:pPr>
            <w:r>
              <w:rPr>
                <w:rFonts w:ascii="Arial" w:cs="Arial" w:eastAsia="Arial" w:hAnsi="Arial"/>
                <w:sz w:val="16"/>
                <w:szCs w:val="16"/>
                <w:color w:val="auto"/>
              </w:rPr>
              <w:t>net loss, net of tax of $798</w:t>
            </w: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Foreign currency translation gain</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w:t>
            </w:r>
          </w:p>
        </w:tc>
        <w:tc>
          <w:tcPr>
            <w:tcW w:w="0" w:type="dxa"/>
            <w:vAlign w:val="bottom"/>
          </w:tcPr>
          <w:p>
            <w:pPr>
              <w:spacing w:after="0"/>
              <w:rPr>
                <w:sz w:val="1"/>
                <w:szCs w:val="1"/>
                <w:color w:val="auto"/>
              </w:rPr>
            </w:pPr>
          </w:p>
        </w:tc>
      </w:tr>
      <w:tr>
        <w:trPr>
          <w:trHeight w:val="213"/>
        </w:trPr>
        <w:tc>
          <w:tcPr>
            <w:tcW w:w="3780" w:type="dxa"/>
            <w:vAlign w:val="bottom"/>
          </w:tcPr>
          <w:p>
            <w:pPr>
              <w:ind w:left="20"/>
              <w:spacing w:after="0"/>
              <w:rPr>
                <w:sz w:val="20"/>
                <w:szCs w:val="20"/>
                <w:color w:val="auto"/>
              </w:rPr>
            </w:pPr>
            <w:r>
              <w:rPr>
                <w:rFonts w:ascii="Arial" w:cs="Arial" w:eastAsia="Arial" w:hAnsi="Arial"/>
                <w:sz w:val="16"/>
                <w:szCs w:val="16"/>
                <w:color w:val="auto"/>
              </w:rPr>
              <w:t>Balance, June 30, 2020</w:t>
            </w:r>
          </w:p>
        </w:tc>
        <w:tc>
          <w:tcPr>
            <w:tcW w:w="8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42,747</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498,294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(375,222)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(66,676)</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57,899</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2021 and 2020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8"/>
              </w:rPr>
              <w:t>Number</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Par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2"/>
                <w:szCs w:val="12"/>
                <w:color w:val="auto"/>
              </w:rPr>
            </w:pPr>
          </w:p>
        </w:tc>
        <w:tc>
          <w:tcPr>
            <w:tcW w:w="14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Accumulated other</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200" w:type="dxa"/>
            <w:vAlign w:val="bottom"/>
          </w:tcPr>
          <w:p>
            <w:pPr>
              <w:spacing w:after="0"/>
              <w:rPr>
                <w:sz w:val="11"/>
                <w:szCs w:val="11"/>
                <w:color w:val="auto"/>
              </w:rPr>
            </w:pPr>
          </w:p>
        </w:tc>
        <w:tc>
          <w:tcPr>
            <w:tcW w:w="74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86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88"/>
              </w:rPr>
              <w:t>shares</w:t>
            </w: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value</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2"/>
              </w:rPr>
              <w:t>deficit</w:t>
            </w:r>
          </w:p>
        </w:tc>
        <w:tc>
          <w:tcPr>
            <w:tcW w:w="12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8"/>
              </w:rPr>
              <w:t>income (loss)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December 31, 2020</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42,686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493,332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(205,875)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254,152</w:t>
            </w:r>
          </w:p>
        </w:tc>
        <w:tc>
          <w:tcPr>
            <w:tcW w:w="0" w:type="dxa"/>
            <w:vAlign w:val="bottom"/>
          </w:tcPr>
          <w:p>
            <w:pPr>
              <w:spacing w:after="0"/>
              <w:rPr>
                <w:sz w:val="1"/>
                <w:szCs w:val="1"/>
                <w:color w:val="auto"/>
              </w:rPr>
            </w:pPr>
          </w:p>
        </w:tc>
      </w:tr>
      <w:tr>
        <w:trPr>
          <w:trHeight w:val="213"/>
        </w:trPr>
        <w:tc>
          <w:tcPr>
            <w:tcW w:w="3860" w:type="dxa"/>
            <w:vAlign w:val="bottom"/>
          </w:tcPr>
          <w:p>
            <w:pPr>
              <w:ind w:left="360"/>
              <w:spacing w:after="0"/>
              <w:rPr>
                <w:sz w:val="20"/>
                <w:szCs w:val="20"/>
                <w:color w:val="auto"/>
              </w:rPr>
            </w:pPr>
            <w:r>
              <w:rPr>
                <w:rFonts w:ascii="Arial" w:cs="Arial" w:eastAsia="Arial" w:hAnsi="Arial"/>
                <w:sz w:val="16"/>
                <w:szCs w:val="16"/>
                <w:color w:val="auto"/>
              </w:rPr>
              <w:t>Net loss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(10,304)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(10,304)</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Dividends accrued for preferred stock</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(16,740)</w:t>
            </w:r>
          </w:p>
        </w:tc>
        <w:tc>
          <w:tcPr>
            <w:tcW w:w="0" w:type="dxa"/>
            <w:vAlign w:val="bottom"/>
          </w:tcPr>
          <w:p>
            <w:pPr>
              <w:spacing w:after="0"/>
              <w:rPr>
                <w:sz w:val="1"/>
                <w:szCs w:val="1"/>
                <w:color w:val="auto"/>
              </w:rPr>
            </w:pPr>
          </w:p>
        </w:tc>
      </w:tr>
      <w:tr>
        <w:trPr>
          <w:trHeight w:val="213"/>
        </w:trPr>
        <w:tc>
          <w:tcPr>
            <w:tcW w:w="3860" w:type="dxa"/>
            <w:vAlign w:val="bottom"/>
          </w:tcPr>
          <w:p>
            <w:pPr>
              <w:ind w:left="360"/>
              <w:spacing w:after="0"/>
              <w:rPr>
                <w:sz w:val="20"/>
                <w:szCs w:val="20"/>
                <w:color w:val="auto"/>
              </w:rPr>
            </w:pPr>
            <w:r>
              <w:rPr>
                <w:rFonts w:ascii="Arial" w:cs="Arial" w:eastAsia="Arial" w:hAnsi="Arial"/>
                <w:sz w:val="16"/>
                <w:szCs w:val="16"/>
                <w:color w:val="auto"/>
              </w:rPr>
              <w:t>Shares issued for option exercises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Share-based compensation expense</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1,986</w:t>
            </w:r>
          </w:p>
        </w:tc>
        <w:tc>
          <w:tcPr>
            <w:tcW w:w="0" w:type="dxa"/>
            <w:vAlign w:val="bottom"/>
          </w:tcPr>
          <w:p>
            <w:pPr>
              <w:spacing w:after="0"/>
              <w:rPr>
                <w:sz w:val="1"/>
                <w:szCs w:val="1"/>
                <w:color w:val="auto"/>
              </w:rPr>
            </w:pPr>
          </w:p>
        </w:tc>
      </w:tr>
      <w:tr>
        <w:trPr>
          <w:trHeight w:val="213"/>
        </w:trPr>
        <w:tc>
          <w:tcPr>
            <w:tcW w:w="3860" w:type="dxa"/>
            <w:vAlign w:val="bottom"/>
          </w:tcPr>
          <w:p>
            <w:pPr>
              <w:ind w:left="360"/>
              <w:spacing w:after="0"/>
              <w:rPr>
                <w:sz w:val="20"/>
                <w:szCs w:val="20"/>
                <w:color w:val="auto"/>
              </w:rPr>
            </w:pPr>
            <w:r>
              <w:rPr>
                <w:rFonts w:ascii="Arial" w:cs="Arial" w:eastAsia="Arial" w:hAnsi="Arial"/>
                <w:sz w:val="16"/>
                <w:szCs w:val="16"/>
                <w:color w:val="auto"/>
              </w:rPr>
              <w:t>Restricted shares forgiven for taxes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(52)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8"/>
              </w:rPr>
              <w:t>Change in estimate of share-based award vesting</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13"/>
        </w:trPr>
        <w:tc>
          <w:tcPr>
            <w:tcW w:w="4780" w:type="dxa"/>
            <w:vAlign w:val="bottom"/>
            <w:gridSpan w:val="3"/>
          </w:tcPr>
          <w:p>
            <w:pPr>
              <w:ind w:left="360"/>
              <w:spacing w:after="0"/>
              <w:rPr>
                <w:sz w:val="20"/>
                <w:szCs w:val="20"/>
                <w:color w:val="auto"/>
              </w:rPr>
            </w:pPr>
            <w:r>
              <w:rPr>
                <w:rFonts w:ascii="Arial" w:cs="Arial" w:eastAsia="Arial" w:hAnsi="Arial"/>
                <w:sz w:val="16"/>
                <w:szCs w:val="16"/>
                <w:color w:val="auto"/>
                <w:w w:val="93"/>
              </w:rPr>
              <w:t>Reclassification of interest rate swap to net loss, net of tax of $861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2,851</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currency translation gain</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1,062</w:t>
            </w:r>
          </w:p>
        </w:tc>
        <w:tc>
          <w:tcPr>
            <w:tcW w:w="0" w:type="dxa"/>
            <w:vAlign w:val="bottom"/>
          </w:tcPr>
          <w:p>
            <w:pPr>
              <w:spacing w:after="0"/>
              <w:rPr>
                <w:sz w:val="1"/>
                <w:szCs w:val="1"/>
                <w:color w:val="auto"/>
              </w:rPr>
            </w:pPr>
          </w:p>
        </w:tc>
      </w:tr>
      <w:tr>
        <w:trPr>
          <w:trHeight w:val="207"/>
        </w:trPr>
        <w:tc>
          <w:tcPr>
            <w:tcW w:w="3860" w:type="dxa"/>
            <w:vAlign w:val="bottom"/>
          </w:tcPr>
          <w:p>
            <w:pPr>
              <w:ind w:left="20"/>
              <w:spacing w:after="0"/>
              <w:rPr>
                <w:sz w:val="20"/>
                <w:szCs w:val="20"/>
                <w:color w:val="auto"/>
              </w:rPr>
            </w:pPr>
            <w:r>
              <w:rPr>
                <w:rFonts w:ascii="Arial" w:cs="Arial" w:eastAsia="Arial" w:hAnsi="Arial"/>
                <w:sz w:val="16"/>
                <w:szCs w:val="16"/>
                <w:color w:val="auto"/>
              </w:rPr>
              <w:t>Balance, June 30, 2021</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43,034</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430</w:t>
            </w:r>
          </w:p>
        </w:tc>
        <w:tc>
          <w:tcPr>
            <w:tcW w:w="120" w:type="dxa"/>
            <w:vAlign w:val="bottom"/>
          </w:tcPr>
          <w:p>
            <w:pPr>
              <w:spacing w:after="0"/>
              <w:rPr>
                <w:sz w:val="17"/>
                <w:szCs w:val="17"/>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477,923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(216,179)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(29,819)</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232,355</w:t>
            </w: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620" w:type="dxa"/>
            <w:vAlign w:val="bottom"/>
            <w:tcBorders>
              <w:top w:val="single" w:sz="8" w:color="auto"/>
              <w:bottom w:val="single" w:sz="8" w:color="auto"/>
            </w:tcBorders>
            <w:gridSpan w:val="2"/>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7"/>
        </w:trPr>
        <w:tc>
          <w:tcPr>
            <w:tcW w:w="3860" w:type="dxa"/>
            <w:vAlign w:val="bottom"/>
          </w:tcPr>
          <w:p>
            <w:pPr>
              <w:spacing w:after="0"/>
              <w:rPr>
                <w:sz w:val="24"/>
                <w:szCs w:val="24"/>
                <w:color w:val="auto"/>
              </w:rPr>
            </w:pPr>
          </w:p>
        </w:tc>
        <w:tc>
          <w:tcPr>
            <w:tcW w:w="1560" w:type="dxa"/>
            <w:vAlign w:val="bottom"/>
            <w:tcBorders>
              <w:bottom w:val="single" w:sz="8" w:color="auto"/>
            </w:tcBorders>
            <w:gridSpan w:val="5"/>
          </w:tcPr>
          <w:p>
            <w:pPr>
              <w:jc w:val="right"/>
              <w:ind w:right="221"/>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Number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Par</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2"/>
                <w:szCs w:val="12"/>
                <w:color w:val="auto"/>
              </w:rPr>
            </w:pPr>
          </w:p>
        </w:tc>
        <w:tc>
          <w:tcPr>
            <w:tcW w:w="14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Accumulated other</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of</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95"/>
              </w:rPr>
              <w:t>paid-in</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Warrants</w:t>
            </w:r>
          </w:p>
        </w:tc>
        <w:tc>
          <w:tcPr>
            <w:tcW w:w="8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200" w:type="dxa"/>
            <w:vAlign w:val="bottom"/>
          </w:tcPr>
          <w:p>
            <w:pPr>
              <w:spacing w:after="0"/>
              <w:rPr>
                <w:sz w:val="11"/>
                <w:szCs w:val="11"/>
                <w:color w:val="auto"/>
              </w:rPr>
            </w:pPr>
          </w:p>
        </w:tc>
        <w:tc>
          <w:tcPr>
            <w:tcW w:w="74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86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shares</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4"/>
              </w:rPr>
              <w:t>value</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deficit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8"/>
              </w:rPr>
              <w:t>income (loss)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December 31, 2019</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42,313</w:t>
            </w: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89"/>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501,615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(105,283)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353,277</w:t>
            </w:r>
          </w:p>
        </w:tc>
        <w:tc>
          <w:tcPr>
            <w:tcW w:w="0" w:type="dxa"/>
            <w:vAlign w:val="bottom"/>
          </w:tcPr>
          <w:p>
            <w:pPr>
              <w:spacing w:after="0"/>
              <w:rPr>
                <w:sz w:val="1"/>
                <w:szCs w:val="1"/>
                <w:color w:val="auto"/>
              </w:rPr>
            </w:pPr>
          </w:p>
        </w:tc>
      </w:tr>
      <w:tr>
        <w:trPr>
          <w:trHeight w:val="213"/>
        </w:trPr>
        <w:tc>
          <w:tcPr>
            <w:tcW w:w="3860" w:type="dxa"/>
            <w:vAlign w:val="bottom"/>
          </w:tcPr>
          <w:p>
            <w:pPr>
              <w:ind w:left="360"/>
              <w:spacing w:after="0"/>
              <w:rPr>
                <w:sz w:val="20"/>
                <w:szCs w:val="20"/>
                <w:color w:val="auto"/>
              </w:rPr>
            </w:pPr>
            <w:r>
              <w:rPr>
                <w:rFonts w:ascii="Arial" w:cs="Arial" w:eastAsia="Arial" w:hAnsi="Arial"/>
                <w:sz w:val="16"/>
                <w:szCs w:val="16"/>
                <w:color w:val="auto"/>
              </w:rPr>
              <w:t>Net loss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(269,939)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(269,939)</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Dividends accrued for preferred stock</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(5,994)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(5,994)</w:t>
            </w:r>
          </w:p>
        </w:tc>
        <w:tc>
          <w:tcPr>
            <w:tcW w:w="0" w:type="dxa"/>
            <w:vAlign w:val="bottom"/>
          </w:tcPr>
          <w:p>
            <w:pPr>
              <w:spacing w:after="0"/>
              <w:rPr>
                <w:sz w:val="1"/>
                <w:szCs w:val="1"/>
                <w:color w:val="auto"/>
              </w:rPr>
            </w:pPr>
          </w:p>
        </w:tc>
      </w:tr>
      <w:tr>
        <w:trPr>
          <w:trHeight w:val="213"/>
        </w:trPr>
        <w:tc>
          <w:tcPr>
            <w:tcW w:w="3860" w:type="dxa"/>
            <w:vAlign w:val="bottom"/>
          </w:tcPr>
          <w:p>
            <w:pPr>
              <w:ind w:left="360"/>
              <w:spacing w:after="0"/>
              <w:rPr>
                <w:sz w:val="20"/>
                <w:szCs w:val="20"/>
                <w:color w:val="auto"/>
              </w:rPr>
            </w:pPr>
            <w:r>
              <w:rPr>
                <w:rFonts w:ascii="Arial" w:cs="Arial" w:eastAsia="Arial" w:hAnsi="Arial"/>
                <w:sz w:val="16"/>
                <w:szCs w:val="16"/>
                <w:color w:val="auto"/>
              </w:rPr>
              <w:t>Share-based compensation expense</w:t>
            </w:r>
          </w:p>
        </w:tc>
        <w:tc>
          <w:tcPr>
            <w:tcW w:w="800" w:type="dxa"/>
            <w:vAlign w:val="bottom"/>
          </w:tcPr>
          <w:p>
            <w:pPr>
              <w:jc w:val="right"/>
              <w:spacing w:after="0"/>
              <w:rPr>
                <w:sz w:val="20"/>
                <w:szCs w:val="20"/>
                <w:color w:val="auto"/>
              </w:rPr>
            </w:pPr>
            <w:r>
              <w:rPr>
                <w:rFonts w:ascii="Arial" w:cs="Arial" w:eastAsia="Arial" w:hAnsi="Arial"/>
                <w:sz w:val="16"/>
                <w:szCs w:val="16"/>
                <w:color w:val="auto"/>
              </w:rPr>
              <w:t>442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2,703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ind w:left="8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2,707</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Restricted shares forgiven for taxes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66"/>
        </w:trPr>
        <w:tc>
          <w:tcPr>
            <w:tcW w:w="3860" w:type="dxa"/>
            <w:vAlign w:val="bottom"/>
          </w:tcPr>
          <w:p>
            <w:pPr>
              <w:ind w:left="360"/>
              <w:spacing w:after="0" w:line="166" w:lineRule="exact"/>
              <w:rPr>
                <w:sz w:val="20"/>
                <w:szCs w:val="20"/>
                <w:color w:val="auto"/>
              </w:rPr>
            </w:pPr>
            <w:r>
              <w:rPr>
                <w:rFonts w:ascii="Arial" w:cs="Arial" w:eastAsia="Arial" w:hAnsi="Arial"/>
                <w:sz w:val="16"/>
                <w:szCs w:val="16"/>
                <w:color w:val="auto"/>
                <w:w w:val="95"/>
              </w:rPr>
              <w:t>Change in fair value of interest rate swap, net of tax</w:t>
            </w: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vMerge w:val="restart"/>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vMerge w:val="restart"/>
          </w:tcPr>
          <w:p>
            <w:pPr>
              <w:ind w:left="8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(12,464)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(12,464)</w:t>
            </w:r>
          </w:p>
        </w:tc>
        <w:tc>
          <w:tcPr>
            <w:tcW w:w="0" w:type="dxa"/>
            <w:vAlign w:val="bottom"/>
          </w:tcPr>
          <w:p>
            <w:pPr>
              <w:spacing w:after="0"/>
              <w:rPr>
                <w:sz w:val="1"/>
                <w:szCs w:val="1"/>
                <w:color w:val="auto"/>
              </w:rPr>
            </w:pPr>
          </w:p>
        </w:tc>
      </w:tr>
      <w:tr>
        <w:trPr>
          <w:trHeight w:val="209"/>
        </w:trPr>
        <w:tc>
          <w:tcPr>
            <w:tcW w:w="3860" w:type="dxa"/>
            <w:vAlign w:val="bottom"/>
          </w:tcPr>
          <w:p>
            <w:pPr>
              <w:ind w:left="360"/>
              <w:spacing w:after="0"/>
              <w:rPr>
                <w:sz w:val="20"/>
                <w:szCs w:val="20"/>
                <w:color w:val="auto"/>
              </w:rPr>
            </w:pPr>
            <w:r>
              <w:rPr>
                <w:rFonts w:ascii="Arial" w:cs="Arial" w:eastAsia="Arial" w:hAnsi="Arial"/>
                <w:sz w:val="16"/>
                <w:szCs w:val="16"/>
                <w:color w:val="auto"/>
              </w:rPr>
              <w:t>of $3,770</w:t>
            </w:r>
          </w:p>
        </w:tc>
        <w:tc>
          <w:tcPr>
            <w:tcW w:w="9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86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w w:val="97"/>
              </w:rPr>
              <w:t>Reclassification of interest rate swap settlement to</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3"/>
            <w:vMerge w:val="restart"/>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3,690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3,690</w:t>
            </w: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loss, net of tax of $1,116</w:t>
            </w:r>
          </w:p>
        </w:tc>
        <w:tc>
          <w:tcPr>
            <w:tcW w:w="92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Foreign currency translation loss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ind w:left="8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(13,348)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(13,348)</w:t>
            </w:r>
          </w:p>
        </w:tc>
        <w:tc>
          <w:tcPr>
            <w:tcW w:w="0" w:type="dxa"/>
            <w:vAlign w:val="bottom"/>
          </w:tcPr>
          <w:p>
            <w:pPr>
              <w:spacing w:after="0"/>
              <w:rPr>
                <w:sz w:val="1"/>
                <w:szCs w:val="1"/>
                <w:color w:val="auto"/>
              </w:rPr>
            </w:pPr>
          </w:p>
        </w:tc>
      </w:tr>
      <w:tr>
        <w:trPr>
          <w:trHeight w:val="233"/>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June 30, 2020</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42,747</w:t>
            </w:r>
          </w:p>
        </w:tc>
        <w:tc>
          <w:tcPr>
            <w:tcW w:w="12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0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89"/>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498,294</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(375,222)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(66,676)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57,899</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r>
      <w:tr>
        <w:trPr>
          <w:trHeight w:val="186"/>
        </w:trPr>
        <w:tc>
          <w:tcPr>
            <w:tcW w:w="8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84"/>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w w:val="89"/>
              </w:rPr>
              <w:t>2020</w:t>
            </w:r>
          </w:p>
        </w:tc>
      </w:tr>
      <w:tr>
        <w:trPr>
          <w:trHeight w:val="170"/>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6"/>
        </w:trPr>
        <w:tc>
          <w:tcPr>
            <w:tcW w:w="8280" w:type="dxa"/>
            <w:vAlign w:val="bottom"/>
          </w:tcPr>
          <w:p>
            <w:pPr>
              <w:ind w:left="140"/>
              <w:spacing w:after="0"/>
              <w:rPr>
                <w:sz w:val="20"/>
                <w:szCs w:val="20"/>
                <w:color w:val="auto"/>
              </w:rPr>
            </w:pPr>
            <w:r>
              <w:rPr>
                <w:rFonts w:ascii="Arial" w:cs="Arial" w:eastAsia="Arial" w:hAnsi="Arial"/>
                <w:sz w:val="14"/>
                <w:szCs w:val="14"/>
                <w:color w:val="auto"/>
              </w:rPr>
              <w:t>Net loss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(10,304)</w:t>
            </w:r>
          </w:p>
        </w:tc>
        <w:tc>
          <w:tcPr>
            <w:tcW w:w="80" w:type="dxa"/>
            <w:vAlign w:val="bottom"/>
          </w:tcPr>
          <w:p>
            <w:pPr>
              <w:spacing w:after="0"/>
              <w:rPr>
                <w:sz w:val="16"/>
                <w:szCs w:val="16"/>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(269,939)</w:t>
            </w:r>
          </w:p>
        </w:tc>
      </w:tr>
      <w:tr>
        <w:trPr>
          <w:trHeight w:val="192"/>
        </w:trPr>
        <w:tc>
          <w:tcPr>
            <w:tcW w:w="8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6"/>
        </w:trPr>
        <w:tc>
          <w:tcPr>
            <w:tcW w:w="8280" w:type="dxa"/>
            <w:vAlign w:val="bottom"/>
          </w:tcPr>
          <w:p>
            <w:pPr>
              <w:ind w:left="480"/>
              <w:spacing w:after="0"/>
              <w:rPr>
                <w:sz w:val="20"/>
                <w:szCs w:val="20"/>
                <w:color w:val="auto"/>
              </w:rPr>
            </w:pPr>
            <w:r>
              <w:rPr>
                <w:rFonts w:ascii="Arial" w:cs="Arial" w:eastAsia="Arial" w:hAnsi="Arial"/>
                <w:sz w:val="14"/>
                <w:szCs w:val="14"/>
                <w:color w:val="auto"/>
              </w:rPr>
              <w:t>Depreciation and amortization of continuing operations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23,255</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22,684</w:t>
            </w:r>
          </w:p>
        </w:tc>
      </w:tr>
      <w:tr>
        <w:trPr>
          <w:trHeight w:val="192"/>
        </w:trPr>
        <w:tc>
          <w:tcPr>
            <w:tcW w:w="82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Depreciation and amortization of discontinued operations</w:t>
            </w:r>
          </w:p>
        </w:tc>
        <w:tc>
          <w:tcPr>
            <w:tcW w:w="3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23,701</w:t>
            </w:r>
          </w:p>
        </w:tc>
      </w:tr>
      <w:tr>
        <w:trPr>
          <w:trHeight w:val="186"/>
        </w:trPr>
        <w:tc>
          <w:tcPr>
            <w:tcW w:w="8280" w:type="dxa"/>
            <w:vAlign w:val="bottom"/>
          </w:tcPr>
          <w:p>
            <w:pPr>
              <w:ind w:left="480"/>
              <w:spacing w:after="0"/>
              <w:rPr>
                <w:sz w:val="20"/>
                <w:szCs w:val="20"/>
                <w:color w:val="auto"/>
              </w:rPr>
            </w:pPr>
            <w:r>
              <w:rPr>
                <w:rFonts w:ascii="Arial" w:cs="Arial" w:eastAsia="Arial" w:hAnsi="Arial"/>
                <w:sz w:val="14"/>
                <w:szCs w:val="14"/>
                <w:color w:val="auto"/>
              </w:rPr>
              <w:t>Amortization of debt issuance costs and discount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718</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3,348</w:t>
            </w:r>
          </w:p>
        </w:tc>
      </w:tr>
      <w:tr>
        <w:trPr>
          <w:trHeight w:val="192"/>
        </w:trPr>
        <w:tc>
          <w:tcPr>
            <w:tcW w:w="82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Goodwill impairment of continuing operations</w:t>
            </w:r>
          </w:p>
        </w:tc>
        <w:tc>
          <w:tcPr>
            <w:tcW w:w="3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92,942</w:t>
            </w:r>
          </w:p>
        </w:tc>
      </w:tr>
      <w:tr>
        <w:trPr>
          <w:trHeight w:val="186"/>
        </w:trPr>
        <w:tc>
          <w:tcPr>
            <w:tcW w:w="8280" w:type="dxa"/>
            <w:vAlign w:val="bottom"/>
          </w:tcPr>
          <w:p>
            <w:pPr>
              <w:ind w:left="480"/>
              <w:spacing w:after="0"/>
              <w:rPr>
                <w:sz w:val="20"/>
                <w:szCs w:val="20"/>
                <w:color w:val="auto"/>
              </w:rPr>
            </w:pPr>
            <w:r>
              <w:rPr>
                <w:rFonts w:ascii="Arial" w:cs="Arial" w:eastAsia="Arial" w:hAnsi="Arial"/>
                <w:sz w:val="14"/>
                <w:szCs w:val="14"/>
                <w:color w:val="auto"/>
              </w:rPr>
              <w:t>Goodwill impairment of discontinued operations</w:t>
            </w:r>
          </w:p>
        </w:tc>
        <w:tc>
          <w:tcPr>
            <w:tcW w:w="34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146,757</w:t>
            </w:r>
          </w:p>
        </w:tc>
      </w:tr>
      <w:tr>
        <w:trPr>
          <w:trHeight w:val="192"/>
        </w:trPr>
        <w:tc>
          <w:tcPr>
            <w:tcW w:w="82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Loss on extinguishment of debt and write-off of debt issuance costs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2,390</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280" w:type="dxa"/>
            <w:vAlign w:val="bottom"/>
          </w:tcPr>
          <w:p>
            <w:pPr>
              <w:ind w:left="480"/>
              <w:spacing w:after="0"/>
              <w:rPr>
                <w:sz w:val="20"/>
                <w:szCs w:val="20"/>
                <w:color w:val="auto"/>
              </w:rPr>
            </w:pPr>
            <w:r>
              <w:rPr>
                <w:rFonts w:ascii="Arial" w:cs="Arial" w:eastAsia="Arial" w:hAnsi="Arial"/>
                <w:sz w:val="14"/>
                <w:szCs w:val="14"/>
                <w:color w:val="auto"/>
              </w:rPr>
              <w:t>Total derivative loss, net of cash settlements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3,750</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2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Share of net income from joint venture</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(2,614)</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w:t>
            </w:r>
          </w:p>
        </w:tc>
      </w:tr>
      <w:tr>
        <w:trPr>
          <w:trHeight w:val="186"/>
        </w:trPr>
        <w:tc>
          <w:tcPr>
            <w:tcW w:w="8280" w:type="dxa"/>
            <w:vAlign w:val="bottom"/>
          </w:tcPr>
          <w:p>
            <w:pPr>
              <w:ind w:left="480"/>
              <w:spacing w:after="0"/>
              <w:rPr>
                <w:sz w:val="20"/>
                <w:szCs w:val="20"/>
                <w:color w:val="auto"/>
              </w:rPr>
            </w:pPr>
            <w:r>
              <w:rPr>
                <w:rFonts w:ascii="Arial" w:cs="Arial" w:eastAsia="Arial" w:hAnsi="Arial"/>
                <w:sz w:val="14"/>
                <w:szCs w:val="14"/>
                <w:color w:val="auto"/>
              </w:rPr>
              <w:t>Compensation expense from issuance of share-based awards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1,649</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2,707</w:t>
            </w:r>
          </w:p>
        </w:tc>
      </w:tr>
      <w:tr>
        <w:trPr>
          <w:trHeight w:val="192"/>
        </w:trPr>
        <w:tc>
          <w:tcPr>
            <w:tcW w:w="82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Deferred income taxes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(3,050)</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(8,889)</w:t>
            </w:r>
          </w:p>
        </w:tc>
      </w:tr>
      <w:tr>
        <w:trPr>
          <w:trHeight w:val="186"/>
        </w:trPr>
        <w:tc>
          <w:tcPr>
            <w:tcW w:w="8280" w:type="dxa"/>
            <w:vAlign w:val="bottom"/>
          </w:tcPr>
          <w:p>
            <w:pPr>
              <w:ind w:left="480"/>
              <w:spacing w:after="0"/>
              <w:rPr>
                <w:sz w:val="20"/>
                <w:szCs w:val="20"/>
                <w:color w:val="auto"/>
              </w:rPr>
            </w:pPr>
            <w:r>
              <w:rPr>
                <w:rFonts w:ascii="Arial" w:cs="Arial" w:eastAsia="Arial" w:hAnsi="Arial"/>
                <w:sz w:val="14"/>
                <w:szCs w:val="14"/>
                <w:color w:val="auto"/>
              </w:rPr>
              <w:t>Other</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(1,154)</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(2,207)</w:t>
            </w:r>
          </w:p>
        </w:tc>
      </w:tr>
      <w:tr>
        <w:trPr>
          <w:trHeight w:val="192"/>
        </w:trPr>
        <w:tc>
          <w:tcPr>
            <w:tcW w:w="82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6"/>
        </w:trPr>
        <w:tc>
          <w:tcPr>
            <w:tcW w:w="8280" w:type="dxa"/>
            <w:vAlign w:val="bottom"/>
          </w:tcPr>
          <w:p>
            <w:pPr>
              <w:ind w:left="880"/>
              <w:spacing w:after="0"/>
              <w:rPr>
                <w:sz w:val="20"/>
                <w:szCs w:val="20"/>
                <w:color w:val="auto"/>
              </w:rPr>
            </w:pPr>
            <w:r>
              <w:rPr>
                <w:rFonts w:ascii="Arial" w:cs="Arial" w:eastAsia="Arial" w:hAnsi="Arial"/>
                <w:sz w:val="14"/>
                <w:szCs w:val="14"/>
                <w:color w:val="auto"/>
              </w:rPr>
              <w:t>Accounts receivable</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2,685</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23,485</w:t>
            </w:r>
          </w:p>
        </w:tc>
      </w:tr>
      <w:tr>
        <w:trPr>
          <w:trHeight w:val="192"/>
        </w:trPr>
        <w:tc>
          <w:tcPr>
            <w:tcW w:w="8280" w:type="dxa"/>
            <w:vAlign w:val="bottom"/>
            <w:shd w:val="clear" w:color="auto" w:fill="CCEEFF"/>
          </w:tcPr>
          <w:p>
            <w:pPr>
              <w:ind w:left="880"/>
              <w:spacing w:after="0"/>
              <w:rPr>
                <w:sz w:val="20"/>
                <w:szCs w:val="20"/>
                <w:color w:val="auto"/>
              </w:rPr>
            </w:pPr>
            <w:r>
              <w:rPr>
                <w:rFonts w:ascii="Arial" w:cs="Arial" w:eastAsia="Arial" w:hAnsi="Arial"/>
                <w:sz w:val="14"/>
                <w:szCs w:val="14"/>
                <w:color w:val="auto"/>
              </w:rPr>
              <w:t>Inventories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(12,052)</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(4,327)</w:t>
            </w:r>
          </w:p>
        </w:tc>
      </w:tr>
      <w:tr>
        <w:trPr>
          <w:trHeight w:val="186"/>
        </w:trPr>
        <w:tc>
          <w:tcPr>
            <w:tcW w:w="8280" w:type="dxa"/>
            <w:vAlign w:val="bottom"/>
          </w:tcPr>
          <w:p>
            <w:pPr>
              <w:ind w:left="880"/>
              <w:spacing w:after="0"/>
              <w:rPr>
                <w:sz w:val="20"/>
                <w:szCs w:val="20"/>
                <w:color w:val="auto"/>
              </w:rPr>
            </w:pPr>
            <w:r>
              <w:rPr>
                <w:rFonts w:ascii="Arial" w:cs="Arial" w:eastAsia="Arial" w:hAnsi="Arial"/>
                <w:sz w:val="14"/>
                <w:szCs w:val="14"/>
                <w:color w:val="auto"/>
              </w:rPr>
              <w:t>Accounts payable</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9,441</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(12,391)</w:t>
            </w:r>
          </w:p>
        </w:tc>
      </w:tr>
      <w:tr>
        <w:trPr>
          <w:trHeight w:val="192"/>
        </w:trPr>
        <w:tc>
          <w:tcPr>
            <w:tcW w:w="8280" w:type="dxa"/>
            <w:vAlign w:val="bottom"/>
            <w:shd w:val="clear" w:color="auto" w:fill="CCEEFF"/>
          </w:tcPr>
          <w:p>
            <w:pPr>
              <w:ind w:left="880"/>
              <w:spacing w:after="0"/>
              <w:rPr>
                <w:sz w:val="20"/>
                <w:szCs w:val="20"/>
                <w:color w:val="auto"/>
              </w:rPr>
            </w:pPr>
            <w:r>
              <w:rPr>
                <w:rFonts w:ascii="Arial" w:cs="Arial" w:eastAsia="Arial" w:hAnsi="Arial"/>
                <w:sz w:val="14"/>
                <w:szCs w:val="14"/>
                <w:color w:val="auto"/>
              </w:rPr>
              <w:t>Income taxes receivable and payable, net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(6,326)</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(12,897)</w:t>
            </w:r>
          </w:p>
        </w:tc>
      </w:tr>
      <w:tr>
        <w:trPr>
          <w:trHeight w:val="186"/>
        </w:trPr>
        <w:tc>
          <w:tcPr>
            <w:tcW w:w="8280" w:type="dxa"/>
            <w:vAlign w:val="bottom"/>
            <w:tcBorders>
              <w:bottom w:val="single" w:sz="8" w:color="CCEEFF"/>
            </w:tcBorders>
          </w:tcPr>
          <w:p>
            <w:pPr>
              <w:ind w:left="880"/>
              <w:spacing w:after="0"/>
              <w:rPr>
                <w:sz w:val="20"/>
                <w:szCs w:val="20"/>
                <w:color w:val="auto"/>
              </w:rPr>
            </w:pPr>
            <w:r>
              <w:rPr>
                <w:rFonts w:ascii="Arial" w:cs="Arial" w:eastAsia="Arial" w:hAnsi="Arial"/>
                <w:sz w:val="14"/>
                <w:szCs w:val="14"/>
                <w:color w:val="auto"/>
              </w:rPr>
              <w:t>Other</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(2,490)</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11,544</w:t>
            </w:r>
          </w:p>
        </w:tc>
      </w:tr>
      <w:tr>
        <w:trPr>
          <w:trHeight w:val="186"/>
        </w:trPr>
        <w:tc>
          <w:tcPr>
            <w:tcW w:w="828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5,898</w:t>
            </w: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15,862</w:t>
            </w:r>
          </w:p>
        </w:tc>
      </w:tr>
      <w:tr>
        <w:trPr>
          <w:trHeight w:val="168"/>
        </w:trPr>
        <w:tc>
          <w:tcPr>
            <w:tcW w:w="828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0"/>
        </w:trPr>
        <w:tc>
          <w:tcPr>
            <w:tcW w:w="8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 of property, plant and equipment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(11,015)</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(15,624)</w:t>
            </w:r>
          </w:p>
        </w:tc>
      </w:tr>
      <w:tr>
        <w:trPr>
          <w:trHeight w:val="186"/>
        </w:trPr>
        <w:tc>
          <w:tcPr>
            <w:tcW w:w="8280" w:type="dxa"/>
            <w:vAlign w:val="bottom"/>
          </w:tcPr>
          <w:p>
            <w:pPr>
              <w:ind w:left="140"/>
              <w:spacing w:after="0"/>
              <w:rPr>
                <w:sz w:val="20"/>
                <w:szCs w:val="20"/>
                <w:color w:val="auto"/>
              </w:rPr>
            </w:pPr>
            <w:r>
              <w:rPr>
                <w:rFonts w:ascii="Arial" w:cs="Arial" w:eastAsia="Arial" w:hAnsi="Arial"/>
                <w:sz w:val="14"/>
                <w:szCs w:val="14"/>
                <w:color w:val="auto"/>
              </w:rPr>
              <w:t>Proceeds from sale of property, plant, and equipment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74</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3,112</w:t>
            </w:r>
          </w:p>
        </w:tc>
      </w:tr>
      <w:tr>
        <w:trPr>
          <w:trHeight w:val="192"/>
        </w:trPr>
        <w:tc>
          <w:tcPr>
            <w:tcW w:w="8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paid for post-closing adjustments on sale of business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(3,880)</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Cash settlements of interest rate swap</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(15,420)</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28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Net cash used in investing activities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(30,241)</w:t>
            </w: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(12,512)</w:t>
            </w:r>
          </w:p>
        </w:tc>
      </w:tr>
      <w:tr>
        <w:trPr>
          <w:trHeight w:val="168"/>
        </w:trPr>
        <w:tc>
          <w:tcPr>
            <w:tcW w:w="828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0"/>
        </w:trPr>
        <w:tc>
          <w:tcPr>
            <w:tcW w:w="8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paid for debt issuance costs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(6,981)</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r>
      <w:tr>
        <w:trPr>
          <w:trHeight w:val="186"/>
        </w:trPr>
        <w:tc>
          <w:tcPr>
            <w:tcW w:w="8280" w:type="dxa"/>
            <w:vAlign w:val="bottom"/>
          </w:tcPr>
          <w:p>
            <w:pPr>
              <w:ind w:left="140"/>
              <w:spacing w:after="0"/>
              <w:rPr>
                <w:sz w:val="20"/>
                <w:szCs w:val="20"/>
                <w:color w:val="auto"/>
              </w:rPr>
            </w:pPr>
            <w:r>
              <w:rPr>
                <w:rFonts w:ascii="Arial" w:cs="Arial" w:eastAsia="Arial" w:hAnsi="Arial"/>
                <w:sz w:val="14"/>
                <w:szCs w:val="14"/>
                <w:color w:val="auto"/>
              </w:rPr>
              <w:t>Proceeds from issuance of preferred stock</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61,793</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Redemption of preferred stock</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(122,434)</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280" w:type="dxa"/>
            <w:vAlign w:val="bottom"/>
          </w:tcPr>
          <w:p>
            <w:pPr>
              <w:ind w:left="140"/>
              <w:spacing w:after="0"/>
              <w:rPr>
                <w:sz w:val="20"/>
                <w:szCs w:val="20"/>
                <w:color w:val="auto"/>
              </w:rPr>
            </w:pPr>
            <w:r>
              <w:rPr>
                <w:rFonts w:ascii="Arial" w:cs="Arial" w:eastAsia="Arial" w:hAnsi="Arial"/>
                <w:sz w:val="14"/>
                <w:szCs w:val="14"/>
                <w:color w:val="auto"/>
              </w:rPr>
              <w:t>Proceeds from long-term debt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156,000</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64,716</w:t>
            </w:r>
          </w:p>
        </w:tc>
      </w:tr>
      <w:tr>
        <w:trPr>
          <w:trHeight w:val="192"/>
        </w:trPr>
        <w:tc>
          <w:tcPr>
            <w:tcW w:w="8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Repayments of long-term debt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(77,442)</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(9,078)</w:t>
            </w:r>
          </w:p>
        </w:tc>
      </w:tr>
      <w:tr>
        <w:trPr>
          <w:trHeight w:val="186"/>
        </w:trPr>
        <w:tc>
          <w:tcPr>
            <w:tcW w:w="8280" w:type="dxa"/>
            <w:vAlign w:val="bottom"/>
          </w:tcPr>
          <w:p>
            <w:pPr>
              <w:ind w:left="140"/>
              <w:spacing w:after="0"/>
              <w:rPr>
                <w:sz w:val="20"/>
                <w:szCs w:val="20"/>
                <w:color w:val="auto"/>
              </w:rPr>
            </w:pPr>
            <w:r>
              <w:rPr>
                <w:rFonts w:ascii="Arial" w:cs="Arial" w:eastAsia="Arial" w:hAnsi="Arial"/>
                <w:sz w:val="14"/>
                <w:szCs w:val="14"/>
                <w:color w:val="auto"/>
              </w:rPr>
              <w:t>Repayments of short-term debt, net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(1,321)</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(411)</w:t>
            </w:r>
          </w:p>
        </w:tc>
      </w:tr>
      <w:tr>
        <w:trPr>
          <w:trHeight w:val="192"/>
        </w:trPr>
        <w:tc>
          <w:tcPr>
            <w:tcW w:w="8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(2,685)</w:t>
            </w: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(1,523)</w:t>
            </w:r>
          </w:p>
        </w:tc>
      </w:tr>
      <w:tr>
        <w:trPr>
          <w:trHeight w:val="179"/>
        </w:trPr>
        <w:tc>
          <w:tcPr>
            <w:tcW w:w="8280" w:type="dxa"/>
            <w:vAlign w:val="bottom"/>
            <w:tcBorders>
              <w:bottom w:val="single" w:sz="8" w:color="CCEEFF"/>
            </w:tcBorders>
          </w:tcPr>
          <w:p>
            <w:pPr>
              <w:ind w:left="1120"/>
              <w:spacing w:after="0"/>
              <w:rPr>
                <w:sz w:val="20"/>
                <w:szCs w:val="20"/>
                <w:color w:val="auto"/>
              </w:rPr>
            </w:pPr>
            <w:r>
              <w:rPr>
                <w:rFonts w:ascii="Arial" w:cs="Arial" w:eastAsia="Arial" w:hAnsi="Arial"/>
                <w:sz w:val="14"/>
                <w:szCs w:val="14"/>
                <w:color w:val="auto"/>
              </w:rPr>
              <w:t>Net cash provided by financing activities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6,930</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53,418</w:t>
            </w:r>
          </w:p>
        </w:tc>
      </w:tr>
      <w:tr>
        <w:trPr>
          <w:trHeight w:val="186"/>
        </w:trPr>
        <w:tc>
          <w:tcPr>
            <w:tcW w:w="8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Effect of exchange rate changes on cash flows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(5,776)</w:t>
            </w:r>
          </w:p>
        </w:tc>
      </w:tr>
      <w:tr>
        <w:trPr>
          <w:trHeight w:val="186"/>
        </w:trPr>
        <w:tc>
          <w:tcPr>
            <w:tcW w:w="8280" w:type="dxa"/>
            <w:vAlign w:val="bottom"/>
          </w:tcPr>
          <w:p>
            <w:pPr>
              <w:ind w:left="140"/>
              <w:spacing w:after="0"/>
              <w:rPr>
                <w:sz w:val="20"/>
                <w:szCs w:val="20"/>
                <w:color w:val="auto"/>
              </w:rPr>
            </w:pPr>
            <w:r>
              <w:rPr>
                <w:rFonts w:ascii="Arial" w:cs="Arial" w:eastAsia="Arial" w:hAnsi="Arial"/>
                <w:sz w:val="14"/>
                <w:szCs w:val="14"/>
                <w:color w:val="auto"/>
              </w:rPr>
              <w:t>Net change in cash and cash equivalents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(16,595)</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50,992</w:t>
            </w:r>
          </w:p>
        </w:tc>
      </w:tr>
      <w:tr>
        <w:trPr>
          <w:trHeight w:val="192"/>
        </w:trPr>
        <w:tc>
          <w:tcPr>
            <w:tcW w:w="8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 at beginning of period (1)</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48,138</w:t>
            </w: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31,703</w:t>
            </w:r>
          </w:p>
        </w:tc>
      </w:tr>
      <w:tr>
        <w:trPr>
          <w:trHeight w:val="179"/>
        </w:trPr>
        <w:tc>
          <w:tcPr>
            <w:tcW w:w="8280" w:type="dxa"/>
            <w:vAlign w:val="bottom"/>
          </w:tcPr>
          <w:p>
            <w:pPr>
              <w:ind w:left="140"/>
              <w:spacing w:after="0"/>
              <w:rPr>
                <w:sz w:val="20"/>
                <w:szCs w:val="20"/>
                <w:color w:val="auto"/>
              </w:rPr>
            </w:pPr>
            <w:r>
              <w:rPr>
                <w:rFonts w:ascii="Arial" w:cs="Arial" w:eastAsia="Arial" w:hAnsi="Arial"/>
                <w:sz w:val="14"/>
                <w:szCs w:val="14"/>
                <w:color w:val="auto"/>
              </w:rPr>
              <w:t>Cash and cash equivalents at end of period (1)</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31,543</w:t>
            </w:r>
          </w:p>
        </w:tc>
        <w:tc>
          <w:tcPr>
            <w:tcW w:w="80" w:type="dxa"/>
            <w:vAlign w:val="bottom"/>
          </w:tcPr>
          <w:p>
            <w:pPr>
              <w:spacing w:after="0"/>
              <w:rPr>
                <w:sz w:val="15"/>
                <w:szCs w:val="15"/>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82,695</w:t>
            </w:r>
          </w:p>
        </w:tc>
      </w:tr>
      <w:tr>
        <w:trPr>
          <w:trHeight w:val="24"/>
        </w:trPr>
        <w:tc>
          <w:tcPr>
            <w:tcW w:w="8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5" w:lineRule="exact"/>
        <w:rPr>
          <w:sz w:val="20"/>
          <w:szCs w:val="20"/>
          <w:color w:val="auto"/>
        </w:rPr>
      </w:pPr>
    </w:p>
    <w:p>
      <w:pPr>
        <w:ind w:left="900" w:right="60" w:hanging="244"/>
        <w:spacing w:after="0" w:line="273" w:lineRule="auto"/>
        <w:tabs>
          <w:tab w:leader="none" w:pos="861" w:val="left"/>
        </w:tabs>
        <w:numPr>
          <w:ilvl w:val="0"/>
          <w:numId w:val="3"/>
        </w:numPr>
        <w:rPr>
          <w:rFonts w:ascii="Arial" w:cs="Arial" w:eastAsia="Arial" w:hAnsi="Arial"/>
          <w:sz w:val="14"/>
          <w:szCs w:val="14"/>
          <w:color w:val="auto"/>
        </w:rPr>
      </w:pPr>
      <w:r>
        <w:rPr>
          <w:rFonts w:ascii="Arial" w:cs="Arial" w:eastAsia="Arial" w:hAnsi="Arial"/>
          <w:sz w:val="14"/>
          <w:szCs w:val="14"/>
          <w:color w:val="auto"/>
        </w:rPr>
        <w:t>Cash and cash equivalents include $12.2 million and $13.8 million of cash and cash equivalents that were included in current assets of discontinued operations as of June 30, 2020, and December 31, 2019, respectively.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2021</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Interim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Business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NN, Inc. is a global diversified industrial company that combines advanced engineering and production capabilities with in-depth materials science expertise to design and manufacture high-precision components and assemblies primarily for the automotive, general industrial, electrical, aerospace, defense, and medical markets. As used in this Quarterly Report on Form 10-Q (this “Quarterly Report”), the terms “NN,” the “Company,” “we,” “our,” or “us” refer to NN, Inc., and its subsidiaries.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The accompanying condensed consolidated financial statements have not been audited. The Condensed Consolidated Balance Sheet as of December 31, 2020, was derived from the audited consolidated financial statements included in our Annual Report on Form 10-K for the year ended December 31, 2020 (the “2020 Annual Report”), which we filed with the U.S. Securities and Exchange Commission (the “SEC”) on March 15, 2021. Historical periods presented reflect reclassifications for discontinued operations (see Note 2). In management’s opinion, the accompanying unaudited condensed consolidated financial statements reflect all adjustments necessary to fairly state our results of operations for the three and six months ended June 30, 2021 and 2020; financial position as of June 30, 2021, and December 31, 2020; and cash flows for the six months ended June 30, 2021 and 2020, on a basis consistent with our audited consolidated financial statements other than the adoption of new accounting standards (see </w:t>
      </w:r>
      <w:r>
        <w:rPr>
          <w:rFonts w:ascii="Arial" w:cs="Arial" w:eastAsia="Arial" w:hAnsi="Arial"/>
          <w:sz w:val="17"/>
          <w:szCs w:val="17"/>
          <w:i w:val="1"/>
          <w:iCs w:val="1"/>
          <w:color w:val="auto"/>
        </w:rPr>
        <w:t>Accounting Standards Recently Adopted</w:t>
      </w:r>
      <w:r>
        <w:rPr>
          <w:rFonts w:ascii="Arial" w:cs="Arial" w:eastAsia="Arial" w:hAnsi="Arial"/>
          <w:sz w:val="17"/>
          <w:szCs w:val="17"/>
          <w:color w:val="auto"/>
        </w:rPr>
        <w:t xml:space="preserve"> section below). These adjustments are of a normal recurring nature and are, in the opinion of management, necessary to state fairly the Company’s financial position and operating results for the interim periods.</w:t>
      </w:r>
    </w:p>
    <w:p>
      <w:pPr>
        <w:spacing w:after="0" w:line="73"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Certain information and footnote disclosures normally included in the consolidated financial statements prepared in accordance with accounting principles generally accepted in the United States (“U.S. GAAP”) have been condensed or omitted from the interim financial statements presented in this Quarterly Report. These unaudited condensed consolidated financial statements should be read in conjunction with our audited consolidated financial statements and accompanying notes included in the 2020 Annual Report. The results for the three and six months ended June 30, 2021, are not necessarily indicative of results for the year ending December 31, 2021, or any other future periods.</w:t>
      </w:r>
    </w:p>
    <w:p>
      <w:pPr>
        <w:spacing w:after="0" w:line="68"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Except for per share data or as otherwise indicated, all U.S. dollar amounts and share counts presented in the tables in these Notes to Condensed Consolidated Financial Statements are in thousands.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Recently Adopted</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 Simplifying the Accounting for Income Taxes,</w:t>
      </w:r>
      <w:r>
        <w:rPr>
          <w:rFonts w:ascii="Arial" w:cs="Arial" w:eastAsia="Arial" w:hAnsi="Arial"/>
          <w:sz w:val="18"/>
          <w:szCs w:val="18"/>
          <w:color w:val="auto"/>
        </w:rPr>
        <w:t xml:space="preserve"> (“ASU 2019-12”) as part of its initiative to reduce complexity in accounting standards. ASU 2019-12 removes certain exceptions and provides simplification to specific tax items to improve consistent application. This standard was effective for us beginning January 1, 2021. The adoption of ASU 2019-12 did not have a material impact on our consolidated financial statements and related disclosures.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Accounting for Convertible Instruments and Contracts in an Entity’s Own Equity,</w:t>
      </w:r>
      <w:r>
        <w:rPr>
          <w:rFonts w:ascii="Arial" w:cs="Arial" w:eastAsia="Arial" w:hAnsi="Arial"/>
          <w:sz w:val="18"/>
          <w:szCs w:val="18"/>
          <w:color w:val="auto"/>
        </w:rPr>
        <w:t xml:space="preserve"> (“ASU 2020-06”) which simplifies the accounting for certain financial instruments with characteristics of liabilities and equity. Specifically, ASU 2020-06 simplifies accounting for convertible instruments by removing major separation models required under current U.S. GAAP. In addition, ASU 2020-06 removes certain settlement conditions that are required for equity contracts to qualify for the derivative scope exception, which will permit more equity contracts to qualify for the exception. Further, for the diluted earnings-per-share calculation, the new guidance requires entities to use the if-converted method for all convertible instruments and generally requires entities to include the effect of share settlement for instruments that may be settled in cash or shares, among other things. ASU 2020-06 is effective for fiscal years beginning after December 15, 2021, and interim periods within those fiscal years, with early adoption permitted. Either the full or modified retrospective adoption method is allowed. We are currently evaluating the impact on our consolidated financial statements and related disclosures.</w:t>
      </w:r>
    </w:p>
    <w:p>
      <w:pPr>
        <w:spacing w:after="0" w:line="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In May 2021, the FASB issued ASU 2021-04, </w:t>
      </w:r>
      <w:r>
        <w:rPr>
          <w:rFonts w:ascii="Arial" w:cs="Arial" w:eastAsia="Arial" w:hAnsi="Arial"/>
          <w:sz w:val="18"/>
          <w:szCs w:val="18"/>
          <w:i w:val="1"/>
          <w:iCs w:val="1"/>
          <w:color w:val="auto"/>
        </w:rPr>
        <w:t>Issuer’s Accounting for Certain Modifications or Exchanges of Freestanding Equity-Classified Written Call</w:t>
      </w:r>
      <w:r>
        <w:rPr>
          <w:rFonts w:ascii="Arial" w:cs="Arial" w:eastAsia="Arial" w:hAnsi="Arial"/>
          <w:sz w:val="18"/>
          <w:szCs w:val="18"/>
          <w:color w:val="auto"/>
        </w:rPr>
        <w:t xml:space="preserve"> </w:t>
      </w:r>
      <w:r>
        <w:rPr>
          <w:rFonts w:ascii="Arial" w:cs="Arial" w:eastAsia="Arial" w:hAnsi="Arial"/>
          <w:sz w:val="18"/>
          <w:szCs w:val="18"/>
          <w:i w:val="1"/>
          <w:iCs w:val="1"/>
          <w:color w:val="auto"/>
        </w:rPr>
        <w:t>Options</w:t>
      </w:r>
      <w:r>
        <w:rPr>
          <w:rFonts w:ascii="Arial" w:cs="Arial" w:eastAsia="Arial" w:hAnsi="Arial"/>
          <w:sz w:val="18"/>
          <w:szCs w:val="18"/>
          <w:color w:val="auto"/>
        </w:rPr>
        <w:t>, (“ASU 2021-04”) which clarifies the accounting for modifications or exchanges of</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freestanding equity-classified written call options that remain equity classified after modification or exchange. Specifically, ASU 2021-04 requires the issuer to treat a modification of an equity-classified warrant as an exchange of the original warrant. The difference between the fair value of the modified warrant and the fair value of the warrant immediately before modification is then recognized as an issuance cost or discount of the related transaction. ASU 2021-04 is effective for fiscal years beginning after December 15, 2021, and interim periods within those fiscal years, with early adoption permitted. ASU 2021-04 should be applied prospectively to modifications or exchanges occurring after the effective date. Either the full or modified retrospective adoption method is allowed. We do not have any equity-classified written call options that would be subject to this guidance. Therefore, we do not expect any impact on our consolidated financial statements and related disclosures.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October 2020, we closed on the sale of our Life Sciences business under the terms of a Stock Purchase Agreement (the “SPA”) with affiliates of American Securities LLC for $753.3 million cash. The SPA includes a potential earnout payment of up to $70 million based on the performance of the Life Sciences business during the year ending December 31, 2022, measured by Adjusted EBITDA targets, as defined by the SPA. After working capital and other closing adjustments, we received cash proceeds at closing of $757.2 million and paid $3.9 million to the buyer during the six months ended June 30, 2021, for post-closing adjustments.</w:t>
      </w:r>
    </w:p>
    <w:p>
      <w:pPr>
        <w:spacing w:after="0" w:line="80"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Under the terms of a transition services agreement, we provided certain support services after the sale. In accordance with the terms of the SPA, we agreed to indemnify the buyer for certain tax liabilities on its consolidated federal income tax return related to the Life Sciences business during the portion of the year ended December 31, 2020, prior to the change in ownership on October 6, 2020. We estimate that the tax indemnification will result in a payment of approximately $1.2 million to the buyer during the year ending December 31, 2021, and we have recorded this estimated obligation in the “Other current liabilities” line item on the Condensed Consolidated Balance Sheets as of June 30, 2021, and December 31, 2020.</w:t>
      </w:r>
    </w:p>
    <w:p>
      <w:pPr>
        <w:spacing w:after="0" w:line="6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In accordance with ASC 205-20, </w:t>
      </w:r>
      <w:r>
        <w:rPr>
          <w:rFonts w:ascii="Arial" w:cs="Arial" w:eastAsia="Arial" w:hAnsi="Arial"/>
          <w:sz w:val="18"/>
          <w:szCs w:val="18"/>
          <w:i w:val="1"/>
          <w:iCs w:val="1"/>
          <w:color w:val="auto"/>
        </w:rPr>
        <w:t>Presentation of Financial Statements - Discontinued Operations</w:t>
      </w:r>
      <w:r>
        <w:rPr>
          <w:rFonts w:ascii="Arial" w:cs="Arial" w:eastAsia="Arial" w:hAnsi="Arial"/>
          <w:sz w:val="18"/>
          <w:szCs w:val="18"/>
          <w:color w:val="auto"/>
        </w:rPr>
        <w:t>, the operating results of the Life Sciences business are classified as discontinued operations. The presentation of discontinued operations includes revenues and expenses of the discontinued operations as well as any gain on the disposition of the business, all net of tax, as one line item on the Condensed Consolidated Statements of Operations and Comprehensive Income (Loss). The Condensed Consolidated Statements of Operations and Comprehensive Income (Loss) for all historical periods presented have been revised to reflect this presentation. Accordingly, the results of the Life Sciences business have been excluded from continuing operations and segment results for all historical periods presented in the condensed consolidated financial statements and the accompanying notes unless otherwise stated. The Condensed Consolidated Statements of Cash Flows for historical periods include cash flows of the Life Sciences business in each line item unless otherwise stated.</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operating results of the discontinued operations.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560" w:type="dxa"/>
            <w:vAlign w:val="bottom"/>
          </w:tcPr>
          <w:p>
            <w:pPr>
              <w:jc w:val="right"/>
              <w:ind w:right="232"/>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7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June 30, 2020</w:t>
            </w:r>
          </w:p>
        </w:tc>
        <w:tc>
          <w:tcPr>
            <w:tcW w:w="200" w:type="dxa"/>
            <w:vAlign w:val="bottom"/>
          </w:tcPr>
          <w:p>
            <w:pPr>
              <w:spacing w:after="0"/>
              <w:rPr>
                <w:sz w:val="16"/>
                <w:szCs w:val="16"/>
                <w:color w:val="auto"/>
              </w:rPr>
            </w:pPr>
          </w:p>
        </w:tc>
        <w:tc>
          <w:tcPr>
            <w:tcW w:w="1560" w:type="dxa"/>
            <w:vAlign w:val="bottom"/>
          </w:tcPr>
          <w:p>
            <w:pPr>
              <w:jc w:val="right"/>
              <w:ind w:right="372"/>
              <w:spacing w:after="0"/>
              <w:rPr>
                <w:sz w:val="20"/>
                <w:szCs w:val="20"/>
                <w:color w:val="auto"/>
              </w:rPr>
            </w:pPr>
            <w:r>
              <w:rPr>
                <w:rFonts w:ascii="Arial" w:cs="Arial" w:eastAsia="Arial" w:hAnsi="Arial"/>
                <w:sz w:val="14"/>
                <w:szCs w:val="14"/>
                <w:b w:val="1"/>
                <w:bCs w:val="1"/>
                <w:color w:val="auto"/>
              </w:rPr>
              <w:t>June 30, 2020</w:t>
            </w:r>
          </w:p>
        </w:tc>
      </w:tr>
      <w:tr>
        <w:trPr>
          <w:trHeight w:val="224"/>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71,888</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155,420</w:t>
            </w: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Cost of sales (exclusive of depreciation and amortization shown separately below)</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50,331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108,094</w:t>
            </w: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5,619</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14,024</w:t>
            </w: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11,874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23,701</w:t>
            </w: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w:t>
            </w:r>
          </w:p>
        </w:tc>
        <w:tc>
          <w:tcPr>
            <w:tcW w:w="1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146,757</w:t>
            </w:r>
          </w:p>
        </w:tc>
      </w:tr>
      <w:tr>
        <w:trPr>
          <w:trHeight w:val="230"/>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income, net</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4,070</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(137,153)</w:t>
            </w: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12,340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25,610</w:t>
            </w: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color w:val="auto"/>
              </w:rPr>
              <w:t>Loss from discontinued operations before costs of disposal and benefit for income taxes</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(8,604)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(162,673)</w:t>
            </w: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for income taxes</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5,457</w:t>
            </w:r>
          </w:p>
        </w:tc>
        <w:tc>
          <w:tcPr>
            <w:tcW w:w="2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19,644</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color w:val="auto"/>
              </w:rPr>
              <w:t>Loss from discontinued operations before costs of disposal</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(3,147)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(143,029)</w:t>
            </w: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of disposal of discontinued operations (1)</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r>
      <w:tr>
        <w:trPr>
          <w:trHeight w:val="229"/>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Benefit for income taxes on costs of disposal</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(144,296)</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(1) Represents incremental direct costs related to the sale of the Life Sciences business that were incurred prior to the closing of the sale.</w:t>
      </w:r>
    </w:p>
    <w:p>
      <w:pPr>
        <w:spacing w:after="0" w:line="237"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During the first quarter of 2020, our market capitalization declined to a level that was less than the net book value of our stockholders’ equity. The decline in market capitalization was a triggering event that caused us to perform a goodwill impairment analysis as of March 31, 2020. The carrying value of the Life Sciences reporting unit exceeded its estimated fair value as of March 31, 2020. As a result of our analysis, we recorded an impairment loss on goodwill of $146.8 million for Life Sciences. The judgments, assumptions, and estimates involved in the goodwill impairment analysis for the Life Sciences reporting unit are consistent with those discussed in Note 5.</w:t>
      </w:r>
    </w:p>
    <w:p>
      <w:pPr>
        <w:spacing w:after="0" w:line="81" w:lineRule="exact"/>
        <w:rPr>
          <w:sz w:val="20"/>
          <w:szCs w:val="20"/>
          <w:color w:val="auto"/>
        </w:rPr>
      </w:pPr>
    </w:p>
    <w:p>
      <w:pPr>
        <w:ind w:right="200"/>
        <w:spacing w:after="0" w:line="282" w:lineRule="auto"/>
        <w:rPr>
          <w:sz w:val="20"/>
          <w:szCs w:val="20"/>
          <w:color w:val="auto"/>
        </w:rPr>
      </w:pPr>
      <w:r>
        <w:rPr>
          <w:rFonts w:ascii="Arial" w:cs="Arial" w:eastAsia="Arial" w:hAnsi="Arial"/>
          <w:sz w:val="16"/>
          <w:szCs w:val="16"/>
          <w:color w:val="auto"/>
        </w:rPr>
        <w:t>Our previous credit facility, which was in place at the time, required us to use proceeds from the sale of the Life Sciences business to prepay a portion of our previous debt. We paid $700 million in the aggregate on our term loans immediately after the transaction closed on October 6, 2020. The prepayment</w:t>
      </w:r>
    </w:p>
    <w:p>
      <w:pPr>
        <w:ind w:right="200"/>
        <w:spacing w:after="0" w:line="248" w:lineRule="auto"/>
        <w:rPr>
          <w:sz w:val="20"/>
          <w:szCs w:val="20"/>
          <w:color w:val="auto"/>
        </w:rPr>
      </w:pPr>
      <w:r>
        <w:rPr>
          <w:rFonts w:ascii="Arial" w:cs="Arial" w:eastAsia="Arial" w:hAnsi="Arial"/>
          <w:sz w:val="18"/>
          <w:szCs w:val="18"/>
          <w:color w:val="auto"/>
        </w:rPr>
        <w:t>was applied to debt in accordance with the prepayment provisions of the previous credit agreement which was in place at the time. Average quarterly interest rates were multiplied by the required prepayment amounts to calculate interest expense to be reclassified to discontinued operations for historical periods presented. The following table summarizes the amount of interest expense related to the previous credit facility that has been reclassified to discontinued operations.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560" w:type="dxa"/>
            <w:vAlign w:val="bottom"/>
          </w:tcPr>
          <w:p>
            <w:pPr>
              <w:jc w:val="right"/>
              <w:ind w:right="235"/>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7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June 30, 2020</w:t>
            </w:r>
          </w:p>
        </w:tc>
        <w:tc>
          <w:tcPr>
            <w:tcW w:w="200" w:type="dxa"/>
            <w:vAlign w:val="bottom"/>
          </w:tcPr>
          <w:p>
            <w:pPr>
              <w:spacing w:after="0"/>
              <w:rPr>
                <w:sz w:val="16"/>
                <w:szCs w:val="16"/>
                <w:color w:val="auto"/>
              </w:rPr>
            </w:pPr>
          </w:p>
        </w:tc>
        <w:tc>
          <w:tcPr>
            <w:tcW w:w="1560" w:type="dxa"/>
            <w:vAlign w:val="bottom"/>
          </w:tcPr>
          <w:p>
            <w:pPr>
              <w:jc w:val="right"/>
              <w:ind w:right="375"/>
              <w:spacing w:after="0"/>
              <w:rPr>
                <w:sz w:val="20"/>
                <w:szCs w:val="20"/>
                <w:color w:val="auto"/>
              </w:rPr>
            </w:pPr>
            <w:r>
              <w:rPr>
                <w:rFonts w:ascii="Arial" w:cs="Arial" w:eastAsia="Arial" w:hAnsi="Arial"/>
                <w:sz w:val="14"/>
                <w:szCs w:val="14"/>
                <w:b w:val="1"/>
                <w:bCs w:val="1"/>
                <w:color w:val="auto"/>
              </w:rPr>
              <w:t>June 30, 2020</w:t>
            </w:r>
          </w:p>
        </w:tc>
      </w:tr>
      <w:tr>
        <w:trPr>
          <w:trHeight w:val="224"/>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on debt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11,214</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23,350</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Amortization of debt issuance costs</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1,251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2,477</w:t>
            </w: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interest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30"/>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expense of discontinued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12,340</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25,610</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580"/>
        <w:spacing w:after="0" w:line="269" w:lineRule="auto"/>
        <w:rPr>
          <w:sz w:val="20"/>
          <w:szCs w:val="20"/>
          <w:color w:val="auto"/>
        </w:rPr>
      </w:pPr>
      <w:r>
        <w:rPr>
          <w:rFonts w:ascii="Arial" w:cs="Arial" w:eastAsia="Arial" w:hAnsi="Arial"/>
          <w:sz w:val="18"/>
          <w:szCs w:val="18"/>
          <w:color w:val="auto"/>
        </w:rPr>
        <w:t>The following table presents the significant noncash items and cash paid for capital expenditures of discontinued operations for the historical period presented.</w:t>
      </w:r>
    </w:p>
    <w:tbl>
      <w:tblPr>
        <w:tblLayout w:type="fixed"/>
        <w:tblInd w:w="0" w:type="dxa"/>
        <w:tblCellMar>
          <w:top w:w="0" w:type="dxa"/>
          <w:left w:w="0" w:type="dxa"/>
          <w:bottom w:w="0" w:type="dxa"/>
          <w:right w:w="0" w:type="dxa"/>
        </w:tblCellMar>
      </w:tblPr>
      <w:tr>
        <w:trPr>
          <w:trHeight w:val="144"/>
        </w:trPr>
        <w:tc>
          <w:tcPr>
            <w:tcW w:w="9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jc w:val="right"/>
              <w:ind w:right="235"/>
              <w:spacing w:after="0" w:line="145" w:lineRule="exact"/>
              <w:rPr>
                <w:sz w:val="20"/>
                <w:szCs w:val="20"/>
                <w:color w:val="auto"/>
              </w:rPr>
            </w:pPr>
            <w:r>
              <w:rPr>
                <w:rFonts w:ascii="Arial" w:cs="Arial" w:eastAsia="Arial" w:hAnsi="Arial"/>
                <w:sz w:val="14"/>
                <w:szCs w:val="14"/>
                <w:b w:val="1"/>
                <w:bCs w:val="1"/>
                <w:color w:val="auto"/>
              </w:rPr>
              <w:t>Six Months Ended</w:t>
            </w:r>
          </w:p>
        </w:tc>
      </w:tr>
      <w:tr>
        <w:trPr>
          <w:trHeight w:val="188"/>
        </w:trPr>
        <w:tc>
          <w:tcPr>
            <w:tcW w:w="94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June 30, 2020</w:t>
            </w:r>
          </w:p>
        </w:tc>
      </w:tr>
      <w:tr>
        <w:trPr>
          <w:trHeight w:val="224"/>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23,701</w:t>
            </w:r>
          </w:p>
        </w:tc>
      </w:tr>
      <w:tr>
        <w:trPr>
          <w:trHeight w:val="229"/>
        </w:trPr>
        <w:tc>
          <w:tcPr>
            <w:tcW w:w="9480" w:type="dxa"/>
            <w:vAlign w:val="bottom"/>
          </w:tcPr>
          <w:p>
            <w:pPr>
              <w:ind w:left="20"/>
              <w:spacing w:after="0"/>
              <w:rPr>
                <w:sz w:val="20"/>
                <w:szCs w:val="20"/>
                <w:color w:val="auto"/>
              </w:rPr>
            </w:pPr>
            <w:r>
              <w:rPr>
                <w:rFonts w:ascii="Arial" w:cs="Arial" w:eastAsia="Arial" w:hAnsi="Arial"/>
                <w:sz w:val="18"/>
                <w:szCs w:val="18"/>
                <w:color w:val="auto"/>
              </w:rPr>
              <w:t>Goodwill impairment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146,757</w:t>
            </w: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issuance costs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w:t>
            </w:r>
          </w:p>
        </w:tc>
      </w:tr>
      <w:tr>
        <w:trPr>
          <w:trHeight w:val="229"/>
        </w:trPr>
        <w:tc>
          <w:tcPr>
            <w:tcW w:w="9480" w:type="dxa"/>
            <w:vAlign w:val="bottom"/>
          </w:tcPr>
          <w:p>
            <w:pPr>
              <w:ind w:left="20"/>
              <w:spacing w:after="0"/>
              <w:rPr>
                <w:sz w:val="20"/>
                <w:szCs w:val="20"/>
                <w:color w:val="auto"/>
              </w:rPr>
            </w:pPr>
            <w:r>
              <w:rPr>
                <w:rFonts w:ascii="Arial" w:cs="Arial" w:eastAsia="Arial" w:hAnsi="Arial"/>
                <w:sz w:val="18"/>
                <w:szCs w:val="18"/>
                <w:color w:val="auto"/>
              </w:rPr>
              <w:t>Acquisition of property, plant and equipment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6,036</w:t>
            </w: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 (1)</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6,064</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Includes new leases, renewals, and modifications.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Segment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aggregated into the following two reportable segments:</w:t>
      </w:r>
    </w:p>
    <w:p>
      <w:pPr>
        <w:spacing w:after="0" w:line="11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Mobile Solutions, which is focused on growth in the automotive and general industrial end markets;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Power Solutions, which is focused on growth in the electrical, general industrial, automotive, aerospace, defense, and medical end markets.</w:t>
      </w:r>
    </w:p>
    <w:p>
      <w:pPr>
        <w:spacing w:after="0" w:line="1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These divisions are considered our two operating segments as each engages in business activities for which it earns revenues and incurs expenses, discrete financial information is available for each, and this is the level at which the chief operating decision maker reviews discrete financial information for purposes of allocating resources and assessing performance. Historically, we had a third operating segment, Life Sciences, that was focused on growth in the medical end market. See Note 2 for information regarding the sale of the Life Sciences business on October 6, 2020. The results of the Life Sciences business are classified as discontinued operations for the three and six months ended June 30, 2020, and therefore are not included in the tabular presentation below.</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results of continuing operations by reportable segment.</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Mobile</w:t>
            </w:r>
          </w:p>
        </w:tc>
        <w:tc>
          <w:tcPr>
            <w:tcW w:w="220" w:type="dxa"/>
            <w:vAlign w:val="bottom"/>
          </w:tcPr>
          <w:p>
            <w:pPr>
              <w:spacing w:after="0"/>
              <w:rPr>
                <w:sz w:val="14"/>
                <w:szCs w:val="14"/>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Power</w:t>
            </w:r>
          </w:p>
        </w:tc>
        <w:tc>
          <w:tcPr>
            <w:tcW w:w="140" w:type="dxa"/>
            <w:vAlign w:val="bottom"/>
          </w:tcPr>
          <w:p>
            <w:pPr>
              <w:spacing w:after="0"/>
              <w:rPr>
                <w:sz w:val="14"/>
                <w:szCs w:val="14"/>
                <w:color w:val="auto"/>
              </w:rPr>
            </w:pPr>
          </w:p>
        </w:tc>
        <w:tc>
          <w:tcPr>
            <w:tcW w:w="1180" w:type="dxa"/>
            <w:vAlign w:val="bottom"/>
          </w:tcPr>
          <w:p>
            <w:pPr>
              <w:jc w:val="center"/>
              <w:ind w:right="58"/>
              <w:spacing w:after="0"/>
              <w:rPr>
                <w:sz w:val="20"/>
                <w:szCs w:val="20"/>
                <w:color w:val="auto"/>
              </w:rPr>
            </w:pPr>
            <w:r>
              <w:rPr>
                <w:rFonts w:ascii="Arial" w:cs="Arial" w:eastAsia="Arial" w:hAnsi="Arial"/>
                <w:sz w:val="14"/>
                <w:szCs w:val="14"/>
                <w:b w:val="1"/>
                <w:bCs w:val="1"/>
                <w:color w:val="auto"/>
                <w:w w:val="95"/>
              </w:rPr>
              <w:t>Corporate</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w w:val="96"/>
              </w:rPr>
              <w:t>and</w:t>
            </w: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Solutions</w:t>
            </w:r>
          </w:p>
        </w:tc>
        <w:tc>
          <w:tcPr>
            <w:tcW w:w="140" w:type="dxa"/>
            <w:vAlign w:val="bottom"/>
          </w:tcPr>
          <w:p>
            <w:pPr>
              <w:spacing w:after="0"/>
              <w:rPr>
                <w:sz w:val="16"/>
                <w:szCs w:val="16"/>
                <w:color w:val="auto"/>
              </w:rPr>
            </w:pPr>
          </w:p>
        </w:tc>
        <w:tc>
          <w:tcPr>
            <w:tcW w:w="118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Consolidations</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Borders>
              <w:top w:val="single" w:sz="8" w:color="CCEEFF"/>
            </w:tcBorders>
            <w:shd w:val="clear" w:color="auto" w:fill="CCEEFF"/>
          </w:tcPr>
          <w:p>
            <w:pPr>
              <w:spacing w:after="0"/>
              <w:rPr>
                <w:sz w:val="13"/>
                <w:szCs w:val="13"/>
                <w:color w:val="auto"/>
              </w:rPr>
            </w:pPr>
          </w:p>
        </w:tc>
        <w:tc>
          <w:tcPr>
            <w:tcW w:w="5260" w:type="dxa"/>
            <w:vAlign w:val="bottom"/>
            <w:tcBorders>
              <w:top w:val="single" w:sz="8" w:color="CCEEFF"/>
            </w:tcBorders>
            <w:gridSpan w:val="2"/>
            <w:shd w:val="clear" w:color="auto" w:fill="CCEEFF"/>
          </w:tcPr>
          <w:p>
            <w:pPr>
              <w:spacing w:after="0" w:line="130" w:lineRule="exact"/>
              <w:rPr>
                <w:sz w:val="20"/>
                <w:szCs w:val="20"/>
                <w:color w:val="auto"/>
              </w:rPr>
            </w:pPr>
            <w:r>
              <w:rPr>
                <w:rFonts w:ascii="Arial" w:cs="Arial" w:eastAsia="Arial" w:hAnsi="Arial"/>
                <w:sz w:val="14"/>
                <w:szCs w:val="14"/>
                <w:b w:val="1"/>
                <w:bCs w:val="1"/>
                <w:color w:val="auto"/>
              </w:rPr>
              <w:t>Three Months Ended June 30, 2021</w:t>
            </w:r>
          </w:p>
        </w:tc>
        <w:tc>
          <w:tcPr>
            <w:tcW w:w="2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sales</w:t>
            </w:r>
          </w:p>
        </w:tc>
        <w:tc>
          <w:tcPr>
            <w:tcW w:w="308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73,886</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49,271</w:t>
            </w: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tcPr>
          <w:p>
            <w:pPr>
              <w:ind w:left="120"/>
              <w:spacing w:after="0"/>
              <w:rPr>
                <w:sz w:val="20"/>
                <w:szCs w:val="20"/>
                <w:color w:val="auto"/>
              </w:rPr>
            </w:pPr>
            <w:r>
              <w:rPr>
                <w:rFonts w:ascii="Arial" w:cs="Arial" w:eastAsia="Arial" w:hAnsi="Arial"/>
                <w:sz w:val="18"/>
                <w:szCs w:val="18"/>
                <w:color w:val="auto"/>
              </w:rPr>
              <w:t>(a)</w:t>
            </w:r>
          </w:p>
        </w:tc>
        <w:tc>
          <w:tcPr>
            <w:tcW w:w="30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123,157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(6,972)</w:t>
            </w: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(3,573)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gridSpan w:val="8"/>
          </w:tcPr>
          <w:p>
            <w:pPr>
              <w:spacing w:after="0"/>
              <w:rPr>
                <w:sz w:val="20"/>
                <w:szCs w:val="20"/>
                <w:color w:val="auto"/>
              </w:rPr>
            </w:pPr>
            <w:r>
              <w:rPr>
                <w:rFonts w:ascii="Arial" w:cs="Arial" w:eastAsia="Arial" w:hAnsi="Arial"/>
                <w:sz w:val="18"/>
                <w:szCs w:val="18"/>
                <w:color w:val="auto"/>
              </w:rPr>
              <w:t>Loss from continuing operations before income taxes and share of net income from joint venture</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5260" w:type="dxa"/>
            <w:vAlign w:val="bottom"/>
            <w:gridSpan w:val="2"/>
            <w:shd w:val="clear" w:color="auto" w:fill="CCEEFF"/>
          </w:tcPr>
          <w:p>
            <w:pPr>
              <w:spacing w:after="0" w:line="116" w:lineRule="exact"/>
              <w:rPr>
                <w:sz w:val="20"/>
                <w:szCs w:val="20"/>
                <w:color w:val="auto"/>
              </w:rPr>
            </w:pPr>
            <w:r>
              <w:rPr>
                <w:rFonts w:ascii="Arial" w:cs="Arial" w:eastAsia="Arial" w:hAnsi="Arial"/>
                <w:sz w:val="13"/>
                <w:szCs w:val="13"/>
                <w:b w:val="1"/>
                <w:bCs w:val="1"/>
                <w:color w:val="auto"/>
              </w:rPr>
              <w:t>Three Months Ended June 30, 2020</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2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sales</w:t>
            </w:r>
          </w:p>
        </w:tc>
        <w:tc>
          <w:tcPr>
            <w:tcW w:w="308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41,037</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37,491</w:t>
            </w: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w:t>
            </w:r>
          </w:p>
        </w:tc>
        <w:tc>
          <w:tcPr>
            <w:tcW w:w="620" w:type="dxa"/>
            <w:vAlign w:val="bottom"/>
            <w:tcBorders>
              <w:top w:val="single" w:sz="8" w:color="CCEEFF"/>
            </w:tcBorders>
          </w:tcPr>
          <w:p>
            <w:pPr>
              <w:ind w:left="120"/>
              <w:spacing w:after="0"/>
              <w:rPr>
                <w:sz w:val="20"/>
                <w:szCs w:val="20"/>
                <w:color w:val="auto"/>
              </w:rPr>
            </w:pPr>
            <w:r>
              <w:rPr>
                <w:rFonts w:ascii="Arial" w:cs="Arial" w:eastAsia="Arial" w:hAnsi="Arial"/>
                <w:sz w:val="18"/>
                <w:szCs w:val="18"/>
                <w:color w:val="auto"/>
              </w:rPr>
              <w:t>(a)</w:t>
            </w:r>
          </w:p>
        </w:tc>
        <w:tc>
          <w:tcPr>
            <w:tcW w:w="30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78,532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(8,039)</w:t>
            </w: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(6,356)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gridSpan w:val="8"/>
          </w:tcPr>
          <w:p>
            <w:pPr>
              <w:spacing w:after="0"/>
              <w:rPr>
                <w:sz w:val="20"/>
                <w:szCs w:val="20"/>
                <w:color w:val="auto"/>
              </w:rPr>
            </w:pPr>
            <w:r>
              <w:rPr>
                <w:rFonts w:ascii="Arial" w:cs="Arial" w:eastAsia="Arial" w:hAnsi="Arial"/>
                <w:sz w:val="18"/>
                <w:szCs w:val="18"/>
                <w:color w:val="auto"/>
              </w:rPr>
              <w:t>Loss from continuing operations before income taxes and share of net income from joint venture</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Mobile</w:t>
            </w:r>
          </w:p>
        </w:tc>
        <w:tc>
          <w:tcPr>
            <w:tcW w:w="220" w:type="dxa"/>
            <w:vAlign w:val="bottom"/>
          </w:tcPr>
          <w:p>
            <w:pPr>
              <w:spacing w:after="0"/>
              <w:rPr>
                <w:sz w:val="14"/>
                <w:szCs w:val="14"/>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Power</w:t>
            </w:r>
          </w:p>
        </w:tc>
        <w:tc>
          <w:tcPr>
            <w:tcW w:w="140" w:type="dxa"/>
            <w:vAlign w:val="bottom"/>
          </w:tcPr>
          <w:p>
            <w:pPr>
              <w:spacing w:after="0"/>
              <w:rPr>
                <w:sz w:val="14"/>
                <w:szCs w:val="14"/>
                <w:color w:val="auto"/>
              </w:rPr>
            </w:pPr>
          </w:p>
        </w:tc>
        <w:tc>
          <w:tcPr>
            <w:tcW w:w="1180" w:type="dxa"/>
            <w:vAlign w:val="bottom"/>
          </w:tcPr>
          <w:p>
            <w:pPr>
              <w:jc w:val="center"/>
              <w:ind w:right="57"/>
              <w:spacing w:after="0"/>
              <w:rPr>
                <w:sz w:val="20"/>
                <w:szCs w:val="20"/>
                <w:color w:val="auto"/>
              </w:rPr>
            </w:pPr>
            <w:r>
              <w:rPr>
                <w:rFonts w:ascii="Arial" w:cs="Arial" w:eastAsia="Arial" w:hAnsi="Arial"/>
                <w:sz w:val="14"/>
                <w:szCs w:val="14"/>
                <w:b w:val="1"/>
                <w:bCs w:val="1"/>
                <w:color w:val="auto"/>
                <w:w w:val="95"/>
              </w:rPr>
              <w:t>Corporate</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center"/>
              <w:ind w:right="57"/>
              <w:spacing w:after="0" w:line="135" w:lineRule="exact"/>
              <w:rPr>
                <w:sz w:val="20"/>
                <w:szCs w:val="20"/>
                <w:color w:val="auto"/>
              </w:rPr>
            </w:pPr>
            <w:r>
              <w:rPr>
                <w:rFonts w:ascii="Arial" w:cs="Arial" w:eastAsia="Arial" w:hAnsi="Arial"/>
                <w:sz w:val="14"/>
                <w:szCs w:val="14"/>
                <w:b w:val="1"/>
                <w:bCs w:val="1"/>
                <w:color w:val="auto"/>
                <w:w w:val="96"/>
              </w:rPr>
              <w:t>and</w:t>
            </w: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Solutions</w:t>
            </w:r>
          </w:p>
        </w:tc>
        <w:tc>
          <w:tcPr>
            <w:tcW w:w="2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Solutions</w:t>
            </w:r>
          </w:p>
        </w:tc>
        <w:tc>
          <w:tcPr>
            <w:tcW w:w="140" w:type="dxa"/>
            <w:vAlign w:val="bottom"/>
          </w:tcPr>
          <w:p>
            <w:pPr>
              <w:spacing w:after="0"/>
              <w:rPr>
                <w:sz w:val="16"/>
                <w:szCs w:val="16"/>
                <w:color w:val="auto"/>
              </w:rPr>
            </w:pPr>
          </w:p>
        </w:tc>
        <w:tc>
          <w:tcPr>
            <w:tcW w:w="1180" w:type="dxa"/>
            <w:vAlign w:val="bottom"/>
          </w:tcPr>
          <w:p>
            <w:pPr>
              <w:jc w:val="center"/>
              <w:ind w:right="57"/>
              <w:spacing w:after="0"/>
              <w:rPr>
                <w:sz w:val="20"/>
                <w:szCs w:val="20"/>
                <w:color w:val="auto"/>
              </w:rPr>
            </w:pPr>
            <w:r>
              <w:rPr>
                <w:rFonts w:ascii="Arial" w:cs="Arial" w:eastAsia="Arial" w:hAnsi="Arial"/>
                <w:sz w:val="14"/>
                <w:szCs w:val="14"/>
                <w:b w:val="1"/>
                <w:bCs w:val="1"/>
                <w:color w:val="auto"/>
                <w:w w:val="90"/>
              </w:rPr>
              <w:t>Consolidations</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20" w:type="dxa"/>
            <w:vAlign w:val="bottom"/>
            <w:tcBorders>
              <w:top w:val="single" w:sz="8" w:color="CCEEFF"/>
              <w:bottom w:val="single" w:sz="8" w:color="auto"/>
            </w:tcBorders>
            <w:shd w:val="clear" w:color="auto" w:fill="CCEEFF"/>
          </w:tcPr>
          <w:p>
            <w:pPr>
              <w:spacing w:after="0" w:line="130" w:lineRule="exact"/>
              <w:rPr>
                <w:sz w:val="20"/>
                <w:szCs w:val="20"/>
                <w:color w:val="auto"/>
              </w:rPr>
            </w:pPr>
            <w:r>
              <w:rPr>
                <w:rFonts w:ascii="Arial" w:cs="Arial" w:eastAsia="Arial" w:hAnsi="Arial"/>
                <w:sz w:val="14"/>
                <w:szCs w:val="14"/>
                <w:b w:val="1"/>
                <w:bCs w:val="1"/>
                <w:color w:val="auto"/>
                <w:w w:val="92"/>
              </w:rPr>
              <w:t>Six Months Ended June 30, 2021</w:t>
            </w:r>
          </w:p>
        </w:tc>
        <w:tc>
          <w:tcPr>
            <w:tcW w:w="322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CCEEFF"/>
            </w:tcBorders>
            <w:shd w:val="clear" w:color="auto" w:fill="CCEEFF"/>
          </w:tcPr>
          <w:p>
            <w:pPr>
              <w:spacing w:after="0"/>
              <w:rPr>
                <w:sz w:val="13"/>
                <w:szCs w:val="13"/>
                <w:color w:val="auto"/>
              </w:rPr>
            </w:pPr>
          </w:p>
        </w:tc>
        <w:tc>
          <w:tcPr>
            <w:tcW w:w="104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CCEEFF"/>
            </w:tcBorders>
            <w:shd w:val="clear" w:color="auto" w:fill="CCEEFF"/>
          </w:tcPr>
          <w:p>
            <w:pPr>
              <w:spacing w:after="0"/>
              <w:rPr>
                <w:sz w:val="13"/>
                <w:szCs w:val="13"/>
                <w:color w:val="auto"/>
              </w:rPr>
            </w:pPr>
          </w:p>
        </w:tc>
        <w:tc>
          <w:tcPr>
            <w:tcW w:w="1020" w:type="dxa"/>
            <w:vAlign w:val="bottom"/>
            <w:tcBorders>
              <w:top w:val="single" w:sz="8" w:color="auto"/>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CCEEFF"/>
            </w:tcBorders>
            <w:shd w:val="clear" w:color="auto" w:fill="CCEEFF"/>
          </w:tcPr>
          <w:p>
            <w:pPr>
              <w:spacing w:after="0"/>
              <w:rPr>
                <w:sz w:val="13"/>
                <w:szCs w:val="13"/>
                <w:color w:val="auto"/>
              </w:rPr>
            </w:pPr>
          </w:p>
        </w:tc>
        <w:tc>
          <w:tcPr>
            <w:tcW w:w="1180" w:type="dxa"/>
            <w:vAlign w:val="bottom"/>
            <w:tcBorders>
              <w:top w:val="single" w:sz="8" w:color="auto"/>
              <w:bottom w:val="single" w:sz="8" w:color="CCEEFF"/>
            </w:tcBorders>
            <w:shd w:val="clear" w:color="auto" w:fill="CCEEFF"/>
          </w:tcPr>
          <w:p>
            <w:pPr>
              <w:spacing w:after="0"/>
              <w:rPr>
                <w:sz w:val="13"/>
                <w:szCs w:val="13"/>
                <w:color w:val="auto"/>
              </w:rPr>
            </w:pPr>
          </w:p>
        </w:tc>
        <w:tc>
          <w:tcPr>
            <w:tcW w:w="62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CCEEFF"/>
            </w:tcBorders>
            <w:shd w:val="clear" w:color="auto" w:fill="CCEEFF"/>
          </w:tcPr>
          <w:p>
            <w:pPr>
              <w:spacing w:after="0"/>
              <w:rPr>
                <w:sz w:val="13"/>
                <w:szCs w:val="13"/>
                <w:color w:val="auto"/>
              </w:rPr>
            </w:pPr>
          </w:p>
        </w:tc>
        <w:tc>
          <w:tcPr>
            <w:tcW w:w="1020" w:type="dxa"/>
            <w:vAlign w:val="bottom"/>
            <w:tcBorders>
              <w:top w:val="single" w:sz="8" w:color="auto"/>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151,662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98,346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c>
          <w:tcPr>
            <w:tcW w:w="620" w:type="dxa"/>
            <w:vAlign w:val="bottom"/>
          </w:tcPr>
          <w:p>
            <w:pPr>
              <w:ind w:left="120"/>
              <w:spacing w:after="0"/>
              <w:rPr>
                <w:sz w:val="20"/>
                <w:szCs w:val="20"/>
                <w:color w:val="auto"/>
              </w:rPr>
            </w:pPr>
            <w:r>
              <w:rPr>
                <w:rFonts w:ascii="Arial" w:cs="Arial" w:eastAsia="Arial" w:hAnsi="Arial"/>
                <w:sz w:val="18"/>
                <w:szCs w:val="18"/>
                <w:color w:val="auto"/>
              </w:rPr>
              <w:t>(a)</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249,961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(14,516)</w:t>
            </w: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(5,597)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gridSpan w:val="8"/>
          </w:tcPr>
          <w:p>
            <w:pPr>
              <w:spacing w:after="0"/>
              <w:rPr>
                <w:sz w:val="20"/>
                <w:szCs w:val="20"/>
                <w:color w:val="auto"/>
              </w:rPr>
            </w:pPr>
            <w:r>
              <w:rPr>
                <w:rFonts w:ascii="Arial" w:cs="Arial" w:eastAsia="Arial" w:hAnsi="Arial"/>
                <w:sz w:val="18"/>
                <w:szCs w:val="18"/>
                <w:color w:val="auto"/>
              </w:rPr>
              <w:t>Loss from continuing operations before income taxes and share of net income from joint venture</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3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Six Months Ended June 30, 2020</w:t>
            </w: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tcBorders>
              <w:top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Goodwill impairment</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92,942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92,942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(21,819)</w:t>
            </w: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(115,027)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(10,163)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gridSpan w:val="8"/>
          </w:tcPr>
          <w:p>
            <w:pPr>
              <w:spacing w:after="0"/>
              <w:rPr>
                <w:sz w:val="20"/>
                <w:szCs w:val="20"/>
                <w:color w:val="auto"/>
              </w:rPr>
            </w:pPr>
            <w:r>
              <w:rPr>
                <w:rFonts w:ascii="Arial" w:cs="Arial" w:eastAsia="Arial" w:hAnsi="Arial"/>
                <w:sz w:val="18"/>
                <w:szCs w:val="18"/>
                <w:color w:val="auto"/>
              </w:rPr>
              <w:t>Loss from continuing operations before income taxes and share of net income from joint venture</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Includes elimination of intersegment transactions occurring during the ordinary course of business.</w:t>
      </w:r>
    </w:p>
    <w:p>
      <w:pPr>
        <w:spacing w:after="0" w:line="36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of June 30, 2021, and December 31, 2020, one customer represented 11% and 11%, respectively, of consolidated accounts receivable. Amounts due from this customer are primarily related to Mobile Solutions.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comprised of the following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Pr>
          <w:p>
            <w:pPr>
              <w:spacing w:after="0"/>
              <w:rPr>
                <w:sz w:val="16"/>
                <w:szCs w:val="16"/>
                <w:color w:val="auto"/>
              </w:rPr>
            </w:pPr>
          </w:p>
        </w:tc>
        <w:tc>
          <w:tcPr>
            <w:tcW w:w="1480" w:type="dxa"/>
            <w:vAlign w:val="bottom"/>
          </w:tcPr>
          <w:p>
            <w:pPr>
              <w:jc w:val="right"/>
              <w:ind w:right="154"/>
              <w:spacing w:after="0"/>
              <w:rPr>
                <w:sz w:val="20"/>
                <w:szCs w:val="20"/>
                <w:color w:val="auto"/>
              </w:rPr>
            </w:pPr>
            <w:r>
              <w:rPr>
                <w:rFonts w:ascii="Arial" w:cs="Arial" w:eastAsia="Arial" w:hAnsi="Arial"/>
                <w:sz w:val="14"/>
                <w:szCs w:val="14"/>
                <w:b w:val="1"/>
                <w:bCs w:val="1"/>
                <w:color w:val="auto"/>
                <w:w w:val="96"/>
              </w:rPr>
              <w:t>December 31, 2020</w:t>
            </w:r>
          </w:p>
        </w:tc>
      </w:tr>
      <w:tr>
        <w:trPr>
          <w:trHeight w:val="229"/>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27,456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22,589</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25,764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20,758</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19,170</w:t>
            </w:r>
          </w:p>
        </w:tc>
      </w:tr>
      <w:tr>
        <w:trPr>
          <w:trHeight w:val="223"/>
        </w:trPr>
        <w:tc>
          <w:tcPr>
            <w:tcW w:w="7800" w:type="dxa"/>
            <w:vAlign w:val="bottom"/>
          </w:tcPr>
          <w:p>
            <w:pPr>
              <w:ind w:left="140"/>
              <w:spacing w:after="0"/>
              <w:rPr>
                <w:sz w:val="20"/>
                <w:szCs w:val="20"/>
                <w:color w:val="auto"/>
              </w:rPr>
            </w:pPr>
            <w:r>
              <w:rPr>
                <w:rFonts w:ascii="Arial" w:cs="Arial" w:eastAsia="Arial" w:hAnsi="Arial"/>
                <w:sz w:val="18"/>
                <w:szCs w:val="18"/>
                <w:color w:val="auto"/>
              </w:rPr>
              <w:t>Total inventories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74,770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62,517</w:t>
            </w:r>
          </w:p>
        </w:tc>
      </w:tr>
      <w:tr>
        <w:trPr>
          <w:trHeight w:val="20"/>
        </w:trPr>
        <w:tc>
          <w:tcPr>
            <w:tcW w:w="7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During the first quarter of 2020, our market capitalization declined to a level that was less than the net book value of our stockholders’ equity. The decline in market capitalization was a triggering event that caused us to perform a goodwill impairment analysis as of March 31, 2020. The goodwill impairment analysis required significant judgments to calculate the fair value for the Power Solutions reporting unit, including estimation of future cash flows, which is dependent on internal forecasts, estimation of the long-term growth rate for the operating segment, and determination of weighted average cost of capital. Our forecasts used in the goodwill impairment analysis reflected our expectations of declines in sales resulting from COVID-19. Significant assumptions and estimates are involved in the application of the discounted cash flow model to forecast operating cash flows, including market growth and market share, sales volumes and prices, costs to produce, discount rate, and estimated capital needs. Management considers historical experience and all available information at the time the fair values of its reporting units are estimated. Assumptions in estimating future cash flows are subject to a high degree of judgment and complexity. The carrying value of the Power Solutions reporting unit exceeded the estimated fair value as of the March 31, 2020, analysis. As a result of our analysis, we recorded an impairment loss on goodwill of $92.9 million to the “Goodwill impairment” line on the Condensed Consolidated Statements of Operations and Comprehensive Income (Loss). As of June 30, 2021, and December 31, 2020, there was no remaining goodwill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changes in the carrying amount of intangible assets, net, by reportable segment.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Mobile</w:t>
            </w:r>
          </w:p>
        </w:tc>
        <w:tc>
          <w:tcPr>
            <w:tcW w:w="30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Power</w:t>
            </w:r>
          </w:p>
        </w:tc>
        <w:tc>
          <w:tcPr>
            <w:tcW w:w="360" w:type="dxa"/>
            <w:vAlign w:val="bottom"/>
          </w:tcPr>
          <w:p>
            <w:pPr>
              <w:spacing w:after="0"/>
              <w:rPr>
                <w:sz w:val="14"/>
                <w:szCs w:val="14"/>
                <w:color w:val="auto"/>
              </w:rPr>
            </w:pPr>
          </w:p>
        </w:tc>
        <w:tc>
          <w:tcPr>
            <w:tcW w:w="120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Solutions</w:t>
            </w:r>
          </w:p>
        </w:tc>
        <w:tc>
          <w:tcPr>
            <w:tcW w:w="300" w:type="dxa"/>
            <w:vAlign w:val="bottom"/>
          </w:tcPr>
          <w:p>
            <w:pPr>
              <w:spacing w:after="0"/>
              <w:rPr>
                <w:sz w:val="16"/>
                <w:szCs w:val="16"/>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Solutions</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29,062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98"/>
              </w:rPr>
              <w:t>74,003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103,065</w:t>
            </w:r>
          </w:p>
        </w:tc>
        <w:tc>
          <w:tcPr>
            <w:tcW w:w="0" w:type="dxa"/>
            <w:vAlign w:val="bottom"/>
          </w:tcPr>
          <w:p>
            <w:pPr>
              <w:spacing w:after="0"/>
              <w:rPr>
                <w:sz w:val="1"/>
                <w:szCs w:val="1"/>
                <w:color w:val="auto"/>
              </w:rPr>
            </w:pPr>
          </w:p>
        </w:tc>
      </w:tr>
      <w:tr>
        <w:trPr>
          <w:trHeight w:val="229"/>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94"/>
              </w:rPr>
              <w:t>(1,677)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w w:val="91"/>
              </w:rPr>
              <w:t>(5,497)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(7,174)</w:t>
            </w:r>
          </w:p>
        </w:tc>
        <w:tc>
          <w:tcPr>
            <w:tcW w:w="0" w:type="dxa"/>
            <w:vAlign w:val="bottom"/>
          </w:tcPr>
          <w:p>
            <w:pPr>
              <w:spacing w:after="0"/>
              <w:rPr>
                <w:sz w:val="1"/>
                <w:szCs w:val="1"/>
                <w:color w:val="auto"/>
              </w:rPr>
            </w:pPr>
          </w:p>
        </w:tc>
      </w:tr>
      <w:tr>
        <w:trPr>
          <w:trHeight w:val="248"/>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2021</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27,385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98"/>
              </w:rPr>
              <w:t>68,506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95,891</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Intangible assets are tested for impairment when changes in circumstances indicate the carrying value of those assets may not be recoverable. As of June 30, 2021, and December 31, 2020, there were no indicators of impairment.</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 in Joint Venture</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own a 49% investment in Wuxi Weifu Autocam Precision Machinery Company, Ltd. (the “JV”), a joint venture located in Wuxi, China. The JV is jointly controlled and managed, and we account for it under the equity method.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60" w:type="dxa"/>
            <w:vAlign w:val="bottom"/>
          </w:tcPr>
          <w:p>
            <w:pPr>
              <w:spacing w:after="0"/>
              <w:rPr>
                <w:sz w:val="20"/>
                <w:szCs w:val="20"/>
                <w:color w:val="auto"/>
              </w:rPr>
            </w:pPr>
            <w:r>
              <w:rPr>
                <w:rFonts w:ascii="Arial" w:cs="Arial" w:eastAsia="Arial" w:hAnsi="Arial"/>
                <w:sz w:val="18"/>
                <w:szCs w:val="18"/>
                <w:color w:val="auto"/>
              </w:rPr>
              <w:t>The following table shows changes in our investment in the JV.</w:t>
            </w: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108"/>
        </w:trPr>
        <w:tc>
          <w:tcPr>
            <w:tcW w:w="9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23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26,983</w:t>
            </w:r>
          </w:p>
        </w:tc>
      </w:tr>
      <w:tr>
        <w:trPr>
          <w:trHeight w:val="229"/>
        </w:trPr>
        <w:tc>
          <w:tcPr>
            <w:tcW w:w="9560" w:type="dxa"/>
            <w:vAlign w:val="bottom"/>
          </w:tcPr>
          <w:p>
            <w:pPr>
              <w:ind w:left="20"/>
              <w:spacing w:after="0"/>
              <w:rPr>
                <w:sz w:val="20"/>
                <w:szCs w:val="20"/>
                <w:color w:val="auto"/>
              </w:rPr>
            </w:pPr>
            <w:r>
              <w:rPr>
                <w:rFonts w:ascii="Arial" w:cs="Arial" w:eastAsia="Arial" w:hAnsi="Arial"/>
                <w:sz w:val="18"/>
                <w:szCs w:val="18"/>
                <w:color w:val="auto"/>
              </w:rPr>
              <w:t>Share of earnings</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2,614</w:t>
            </w:r>
          </w:p>
        </w:tc>
      </w:tr>
      <w:tr>
        <w:trPr>
          <w:trHeight w:val="229"/>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gain</w:t>
            </w:r>
          </w:p>
        </w:tc>
        <w:tc>
          <w:tcPr>
            <w:tcW w:w="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23"/>
        </w:trPr>
        <w:tc>
          <w:tcPr>
            <w:tcW w:w="9560" w:type="dxa"/>
            <w:vAlign w:val="bottom"/>
          </w:tcPr>
          <w:p>
            <w:pPr>
              <w:ind w:left="20"/>
              <w:spacing w:after="0"/>
              <w:rPr>
                <w:sz w:val="20"/>
                <w:szCs w:val="20"/>
                <w:color w:val="auto"/>
              </w:rPr>
            </w:pPr>
            <w:r>
              <w:rPr>
                <w:rFonts w:ascii="Arial" w:cs="Arial" w:eastAsia="Arial" w:hAnsi="Arial"/>
                <w:sz w:val="18"/>
                <w:szCs w:val="18"/>
                <w:color w:val="auto"/>
              </w:rPr>
              <w:t>Balance as of June 30, 2021</w:t>
            </w: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29,897</w:t>
            </w:r>
          </w:p>
        </w:tc>
      </w:tr>
      <w:tr>
        <w:trPr>
          <w:trHeight w:val="21"/>
        </w:trPr>
        <w:tc>
          <w:tcPr>
            <w:tcW w:w="9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effective tax rate for continuing operations was 3.4% and 7.1% for the three and six months ended June 30, 2021, respectively, and (13.3)% and (0.6)% for the three and six months ended June 30, 2020, respectively. The effective tax rate for the three and six months ended June 30, 2021, differs from the U.S. federal statutory tax rate of 21% primarily due to the accrual of tax on non-permanently reinvested unremitted earnings of foreign subsidiaries and by limitation on the amount of tax benefit recorded for loss carryforwards in certain jurisdictions where we believe it is more likely than not that a portion of the future tax benefit may not be realized. In addition, the effective tax rate was unfavorably impacted by U.S. tax on the earnings of foreign subsidiaries under the global intangible low-taxed income (“GILTI”) regime.</w:t>
      </w:r>
    </w:p>
    <w:p>
      <w:pPr>
        <w:spacing w:after="0" w:line="7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On March 27, 2020, the Coronavirus Aid, Relief, and Economic Security Act (the “CARES Act”) was enacted. The provisions of the legislation had a significant impact on our effective tax rate and income tax receivable as of and for the six months ended June 30, 2020. Under the CARES Act, NOLs arising in tax years beginning after December 31, 2017, were carried back to preceding tax years when the federal tax rate was 35% rather than the currently enacted 21%. The effective tax rate for the three and six months ended June 30, 2020, was also adversely impacted by the effect of the non-deductible goodwill impairment on the estimated annual effective tax rate and the impact of the minimum GILTI tax, partially offset by impacts from the CARES Act.</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March 22, 2021, we entered into a new $150.0 million term loan facility (the “Term Loan Facility”) and a new $50.0 million asset backed credit facility (the “ABL Facility”). The proceeds from the Term Loan Facility were used to prepay the amounts outstanding on our previous term loans. The previous credit facility was terminated and consisted of a Senior Secured Term Loan, Incremental Term Loan, and Senior Secured Revolver. No amounts were outstanding on the Senior Secured Revolver at the time of termination.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debt balances as of June 30, 2021, and December 31,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December 31, 2020</w:t>
            </w:r>
          </w:p>
        </w:tc>
      </w:tr>
      <w:tr>
        <w:trPr>
          <w:trHeight w:val="229"/>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Facility</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149,625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Senior Secured Term Loan</w:t>
            </w:r>
          </w:p>
        </w:tc>
        <w:tc>
          <w:tcPr>
            <w:tcW w:w="2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47,728</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Incremental Term Loan</w:t>
            </w: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22,716</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lines of credit and other loans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14,418</w:t>
            </w:r>
          </w:p>
        </w:tc>
      </w:tr>
      <w:tr>
        <w:trPr>
          <w:trHeight w:val="223"/>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principal</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84,862</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Less-current maturities of long-term debt</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4,885</w:t>
            </w:r>
          </w:p>
        </w:tc>
      </w:tr>
      <w:tr>
        <w:trPr>
          <w:trHeight w:val="223"/>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Principal, net of current portion</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79,977</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Less-unamortized debt issuance costs and discount (1)</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w:t>
            </w:r>
          </w:p>
        </w:tc>
      </w:tr>
      <w:tr>
        <w:trPr>
          <w:trHeight w:val="248"/>
        </w:trPr>
        <w:tc>
          <w:tcPr>
            <w:tcW w:w="7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Long-term debt, net of current portion</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79,025</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900" w:right="120" w:hanging="244"/>
        <w:spacing w:after="0" w:line="308" w:lineRule="auto"/>
        <w:tabs>
          <w:tab w:leader="none" w:pos="912"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addition to this amount, costs of $0.8 million related to the ABL Facility were recorded in other non-current assets as of June 30, 2021, and $1.8 million related to the Senior Secured Revolver were recorded in other non-current assets as of December 31, 2020.</w:t>
      </w:r>
    </w:p>
    <w:p>
      <w:pPr>
        <w:spacing w:after="0" w:line="1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capitalized interest costs of $0.1 million and less than $0.1 million in the three months ended June 30, 2021 and 2020, respectively, and $0.1 million and $0.1 million in the six months ended June 30, 2021 and 2020, respectively, related to construction in progress.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11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Outstanding borrowings under the Term Loan Facility bear interest at either 1) one-month LIBOR (subject to a 1.000% floor) plus an applicable margin of 6.875% or 2) the greater of various benchmark rates plus an applicable margin of 5.875%. At June 30, 2021, the Term Loan Facility bore interest, based on one-month LIBOR, at 7.875%.</w:t>
      </w:r>
    </w:p>
    <w:p>
      <w:pPr>
        <w:spacing w:after="0" w:line="7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Term Loan Facility requires quarterly principal payments of $0.4 million with the remaining unpaid principal amount due on the final maturity date of September 22, 2026. The Term Loan Facility is collateralized by all of our assets. The Term Loan Facility has a first lien on all assets other than accounts receivable and inventory and has a second lien on accounts receivable and inventory. We were in compliance with all requirements under the Term Loan Facility as of June 30, 2021.</w:t>
      </w:r>
    </w:p>
    <w:p>
      <w:pPr>
        <w:spacing w:after="0" w:line="7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Term Loan Facility was issued at a $3.8 million discount. We capitalized an additional $2.8 million in new debt issuance costs related to the Term Loan Facility. Debt issuance costs and original issue discount related to the Term Loan Facility are recorded as a direct reduction to the carrying amount of the associated long-term debt and amortized over the term of the debt.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ABL Facility</w:t>
      </w:r>
    </w:p>
    <w:p>
      <w:pPr>
        <w:spacing w:after="0" w:line="11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ABL Facility provides for a senior secured revolving credit facility in the amount of $50.0 million, of which $30.0 million is available in the form of letters of credit and $5.0 million is available for the issuance of short-term swingline loans. The availability of credit under the ABL Facility is limited by a borrowing base calculation derived from accounts receivable and inventory held in the United States. Outstanding borrowings under the ABL Facility bear interest on a variable rate structure plus an interest rate spread that is based on the average amount of aggregate revolving commitment available. The variable borrowing rate is either 1) LIBOR plus an applicable margin of 1.75% or 2.00%, depending on availability, or 2) the greater of the federal funds rate or prime, plus an applicable margin of 0.75% or 1.00%, depending on availability. We may elect whether to use one-month, three-month, or six-month LIBOR, subject to a 0.50% floor. Interest payments are due monthly on borrowings that utilize one-month LIBOR and quarterly on borrowings that utilize three-month or six-month LIBOR. At June 30, 2021, using one-month LIBOR plus a 1.75% spread, the weighted average interest rate on outstanding borrowings under the ABL Facility would have been 2.25% if there had been any balance outstanding. We pay a commitment fee of 0.375% for unused capacity under the ABL Facility and a 0.125% fee on the amount of letters of credit outstanding. The final maturity date of the ABL Facility is March 22, 2026.</w:t>
      </w:r>
    </w:p>
    <w:p>
      <w:pPr>
        <w:spacing w:after="0" w:line="84"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We had no outstanding borrowings under the ABL Facility at June 30, 2021. Total capacity under the ABL Facility was $44.2 million as of June 30, 2021, of which $30.2 million was available for future borrowings after reductions for outstanding letters of credit as of June 30, 2021. The ABL Facility has a first lien on accounts receivable and inventory. We were in compliance with all requirements under the ABL Facility as of June 30, 2021.</w:t>
      </w:r>
    </w:p>
    <w:p>
      <w:pPr>
        <w:spacing w:after="0" w:line="4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capitalized a total of $0.8 million in new debt issuance costs related to the ABL Facility. Costs related to the ABL Facility are recorded in other non-current assets and amortized over the term of the agreement.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Term Loan</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Outstanding borrowings under the Senior Secured Term Loan bore interest at one-month LIBOR (subject to a 0.75% floor) plus an applicable margin of 5.75%. During 2021 until termination, the Senior Secured Term Loan bore interest at 6.50%.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Incremental Term Loan</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Outstanding borrowings under the Incremental Term Loan bore interest at one-month LIBOR plus an applicable margin of 5.75%. During 2021 until termination, the Incremental Term Loan bore interest at 5.90%.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Revolver</w:t>
      </w:r>
    </w:p>
    <w:p>
      <w:pPr>
        <w:spacing w:after="0" w:line="117"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Outstanding borrowings under the Senior Secured Revolver bore interest on a variable rate structure at either 1) one-month LIBOR plus an applicable margin of 4.00% or 2) the prime lending rate plus an applicable margin of 3.00%. We had no outstanding borrowings under the Senior Secured Revolver during 2021. We incurred a commitment fee of 0.50% for unused capacity under the Senior Secured Revolver until it was terminated.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recognized a $2.4 million loss on extinguishment for unamortized debt issuance costs that were written off in the six months ended June 30, 2021, in connection with the termination of our previous credit facility.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 portion of the proceeds from the Term Loan Facility was used to settle and terminate our fixed-rate interest rate swap agreement with a cash payment of $13.7 million during the first quarter of 2021. Refer to Note 17 for further discussion of the interest rate swap agreement. On July 22, 2021, we entered into a new interest rate swap as discussed in Note 18.</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supplemental cash flow information related to leases of continuing operations.</w:t>
      </w:r>
    </w:p>
    <w:p>
      <w:pPr>
        <w:spacing w:after="0" w:line="139"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Six Months Ended</w:t>
      </w:r>
    </w:p>
    <w:p>
      <w:pPr>
        <w:jc w:val="center"/>
        <w:ind w:left="822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4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1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40" w:type="dxa"/>
            <w:vAlign w:val="bottom"/>
          </w:tcPr>
          <w:p>
            <w:pPr>
              <w:ind w:left="220"/>
              <w:spacing w:after="0"/>
              <w:rPr>
                <w:sz w:val="20"/>
                <w:szCs w:val="20"/>
                <w:color w:val="auto"/>
              </w:rPr>
            </w:pPr>
            <w:r>
              <w:rPr>
                <w:rFonts w:ascii="Arial" w:cs="Arial" w:eastAsia="Arial" w:hAnsi="Arial"/>
                <w:sz w:val="18"/>
                <w:szCs w:val="18"/>
                <w:color w:val="auto"/>
              </w:rPr>
              <w:t>Operating cash flows used in finance leases</w:t>
            </w:r>
          </w:p>
        </w:tc>
        <w:tc>
          <w:tcPr>
            <w:tcW w:w="900" w:type="dxa"/>
            <w:vAlign w:val="bottom"/>
          </w:tcPr>
          <w:p>
            <w:pPr>
              <w:jc w:val="right"/>
              <w:ind w:right="699"/>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cash flows used in operating leases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7,221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7,312</w:t>
            </w:r>
          </w:p>
        </w:tc>
      </w:tr>
      <w:tr>
        <w:trPr>
          <w:trHeight w:val="230"/>
        </w:trPr>
        <w:tc>
          <w:tcPr>
            <w:tcW w:w="8240" w:type="dxa"/>
            <w:vAlign w:val="bottom"/>
          </w:tcPr>
          <w:p>
            <w:pPr>
              <w:ind w:left="220"/>
              <w:spacing w:after="0"/>
              <w:rPr>
                <w:sz w:val="20"/>
                <w:szCs w:val="20"/>
                <w:color w:val="auto"/>
              </w:rPr>
            </w:pPr>
            <w:r>
              <w:rPr>
                <w:rFonts w:ascii="Arial" w:cs="Arial" w:eastAsia="Arial" w:hAnsi="Arial"/>
                <w:sz w:val="18"/>
                <w:szCs w:val="18"/>
                <w:color w:val="auto"/>
              </w:rPr>
              <w:t>Financing cash flows used in finance leases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2,370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936</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 (1)</w:t>
            </w:r>
          </w:p>
        </w:tc>
        <w:tc>
          <w:tcPr>
            <w:tcW w:w="90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9,334</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Includes new leases, renewals, and modifications.</w:t>
      </w:r>
    </w:p>
    <w:p>
      <w:pPr>
        <w:spacing w:after="0" w:line="2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disclosed in our 2020 Annual Report, we amended the lease of our corporate headquarters building in March 2020 to exit over half of the previously leased space and reduce annual base rent payments. The amendment was accounted for as a lease modification, and the remeasurement of the lease resulted in an $8.1 million decrease in the operating lease right-of-use (“ROU”) asset, a $10.5 million decrease in the noncurrent portion of the operating lease liability, and a $0.6 million decrease in the current portion of the operating lease liability. The $3.0 million difference between the change in the operating lease ROU asset and the operating lease liabilities was recognized in “Other operating expense (income), net,” on the Condensed Consolidated Statements of Operations and Comprehensive Income (Loss). In connection with the discontinued use of the previously leased space, we also recognized a $4.4 million termination charge and a $2.9 million impairment charge on the associated leasehold improvements, all of which were also recognized in “Other operating expense (income), net.”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Brazil ICMS Tax Matter</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Prior to the acquisition of Autocam Corporation (“Autocam”) in 2014, Autocam’s Brazilian subsidiary (“Autocam Brazil”) received notification from the Brazilian tax authority regarding ICMS (state value added tax or “VAT”) tax credits claimed on intermediary materials (e.g., tooling and perishable items) used in the manufacturing process. The Brazilian tax authority notification disallowed state ICMS tax credits claimed on intermediary materials based on the argument that these items are not intrinsically related to the manufacturing processes.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8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believe that we have substantial legal and factual defenses, and we plan to defend our interests in this matter vigorously. The matter encompasses several lawsuits filed with the Brazilian courts requesting declaratory actions that no tax is due or seeking a stay of execution on the collection of the tax. In 2018, we obtained a favorable decision in one of the declaratory actions for which the period for appeal has expired. We have filed actions in each court requesting dismissal of the matter based on the earlier court action. In May 2020, we received an unfavorable decision in one of the lawsuits, and as a result have recorded a liability to the Brazilian tax authorities and a receivable from the former shareholders of Autocam for the same amount. Although we anticipate a favorable resolution to the remaining matters, we can provide no assurances that we will be successful in achieving dismissal of all pending cases. The U.S. dollar amount that would be owed in the event of an unfavorable decision is subject to interest, penalties, and currency impacts and therefore is dependent on the timing of the decision. For the remaining open lawsuits, we currently believe the cumulative potential liability in the event of unfavorable decisions on all matters will be less than $5.0 million, inclusive of interest and penalties.</w:t>
      </w:r>
    </w:p>
    <w:p>
      <w:pPr>
        <w:spacing w:after="0" w:line="58"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We are entitled to indemnification from the former shareholders of Autocam, subject to the limitations and procedures set forth in the agreement and plan of merger relating to the Autocam acquisition. Management believes the indemnification would include amounts owed for the tax, interest, and penalties related to this matter. Accordingly, we don’t expect to incur a loss related to this matter even in the event of an unfavorable decision and, therefore, have not accrued an amount for the remaining matters as of June 30,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Offering Matter</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On November 1, 2019, Erie County Employees’ Retirement System, on behalf of a purported class of plaintiffs, filed a complaint in the Supreme Court of the State of New York, County of New York, against the Company, certain of the Company’s current and former officers and directors, and each of the underwriters involved in the Company’s public offering and sale of 14.4 million shares of its common stock pursuant to a preliminary prospectus supplement, dated September 10, 2018, a final prospectus supplement, dated September 13, 2018, and a base prospectus, dated April 19, 2017, relating to the Company’s effective shelf registration statement on Form S-3 (File No. 333-216737) (the “Offering”), which complaint was amended on January 24, 2020. The complaint alleges violations of Sections 11, 12(a)(2), and 15 of the Securities Act of 1933 in connection with the Offering. The plaintiffs seek to represent a class of stockholders who purchased shares of the Company’s common stock in the Offering. The complaint seeks unspecified monetary damages and other relief. The Company believes the complaint and allegations to be without merit and intends to vigorously defend itself against these actions. The Company is unable at this time to determine whether the outcome of the litigation would have a material impact on the Company’s financial position, results of operations, or cash flows.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Legal Matters</w:t>
      </w:r>
    </w:p>
    <w:p>
      <w:pPr>
        <w:spacing w:after="0" w:line="104"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On October 26, 2020, Corre Opportunities Qualified Master Fund, LP, and Corre Horizon Fund, LP, (collectively, “Corre Partners”) filed a complaint in the Chancery Court of the State of Delaware against the Company. The complaint alleged that the Company’s sale of its Life Sciences business without obtaining the prior consent of the plaintiffs was a breach of the terms of the Series B Preferred Stock. On May 13, 2021, Company entered into a cooperation agreement with Corre Partners. In connection with the cooperation agreement, on May 13, 2021, the Company also entered into a settlement agreement with Corre Partners, which resolved the complaint.</w:t>
      </w:r>
    </w:p>
    <w:p>
      <w:pPr>
        <w:spacing w:after="0" w:line="83"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Preferred Stock and Stockholders'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D Perpetual Preferred Stock</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March 22, 2021, we completed a private placement of 65 thousand shares of newly designated Series D Perpetual Preferred Stock, with a par value of $0.01 per share (the “Series D Preferred Stock”), at a price of $1,000 per share, together with detachable warrants (the “2021 Warrants”) to purchase up to 1.9 million shares of our common stock at an exercise price of $0.01 per share. The Series D Preferred Stock has an initial liquidation preference of $1,000 per share and is redeemable at our option in cash at a redemption price equal to the liquidation preference then in effect. Series D Preferred Stock shares earn cash dividends at a rate of 10.0% per year, payable quarterly in arrears, accruing whether or not earned or declared. If no cash dividend is paid, then the liquidation preference per share effective on the dividend date increases by 12.0% per year. On March 22, 2026, the cash dividend rate and in-kind dividend rate increase by 2.5% per year. Cash dividends are required beginning on September 30, 2027.</w:t>
      </w:r>
    </w:p>
    <w:p>
      <w:pPr>
        <w:spacing w:after="0" w:line="58"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Series D Preferred Stock is classified as mezzanine equity, between liabilities and stockholders’ equity, because certain features of the Series D Preferred Stock could require redemption of the Series D Preferred Stock upon a change of control event that is considered not solely within our control. For initial recognition, the Series D Preferred Stock was recognized at a discounted value, net of issuance costs and allocation to warrants and a bifurcated embedded derivative. The aggregate discount is amortized as a deemed dividend through March 22, 2026, which is the date the dividend rate begins to increase by 2.5% per year. Deemed dividends adjust retained earnings (or in the absence of retained earnings, additional paid-in capital).</w:t>
      </w:r>
    </w:p>
    <w:p>
      <w:pPr>
        <w:spacing w:after="0" w:line="5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In accordance with ASC 815-15, </w:t>
      </w:r>
      <w:r>
        <w:rPr>
          <w:rFonts w:ascii="Arial" w:cs="Arial" w:eastAsia="Arial" w:hAnsi="Arial"/>
          <w:sz w:val="18"/>
          <w:szCs w:val="18"/>
          <w:i w:val="1"/>
          <w:iCs w:val="1"/>
          <w:color w:val="auto"/>
        </w:rPr>
        <w:t>Derivatives and Hedging - Embedded Derivatives,</w:t>
      </w:r>
      <w:r>
        <w:rPr>
          <w:rFonts w:ascii="Arial" w:cs="Arial" w:eastAsia="Arial" w:hAnsi="Arial"/>
          <w:sz w:val="18"/>
          <w:szCs w:val="18"/>
          <w:color w:val="auto"/>
        </w:rPr>
        <w:t xml:space="preserve"> certain features of the Series D Preferred Stock were bifurcated and accounted for as derivatives separately. Note 17 discusses the accounting for these features.</w:t>
      </w:r>
    </w:p>
    <w:p>
      <w:pPr>
        <w:spacing w:after="0" w:line="62"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As of June 30, 2021, the carrying value of the Series D Preferred Stock shares was $49.1 million which included $2.4 million of accumulated unpaid and deemed dividends. The following table presents the change in the Series D Preferred Stock carrying value during the six months ended June 30, 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right"/>
              <w:ind w:right="274"/>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93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June 30, 2021</w:t>
            </w:r>
          </w:p>
        </w:tc>
      </w:tr>
      <w:tr>
        <w:trPr>
          <w:trHeight w:val="224"/>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380" w:type="dxa"/>
            <w:vAlign w:val="bottom"/>
          </w:tcPr>
          <w:p>
            <w:pPr>
              <w:ind w:left="20"/>
              <w:spacing w:after="0"/>
              <w:rPr>
                <w:sz w:val="20"/>
                <w:szCs w:val="20"/>
                <w:color w:val="auto"/>
              </w:rPr>
            </w:pPr>
            <w:r>
              <w:rPr>
                <w:rFonts w:ascii="Arial" w:cs="Arial" w:eastAsia="Arial" w:hAnsi="Arial"/>
                <w:sz w:val="18"/>
                <w:szCs w:val="18"/>
                <w:color w:val="auto"/>
              </w:rPr>
              <w:t>Proceeds from issuance of shares, net of issuance costs</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61,793</w:t>
            </w:r>
          </w:p>
        </w:tc>
      </w:tr>
      <w:tr>
        <w:trPr>
          <w:trHeight w:val="229"/>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2021 Warrants issued</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(14,839)</w:t>
            </w:r>
          </w:p>
        </w:tc>
      </w:tr>
      <w:tr>
        <w:trPr>
          <w:trHeight w:val="230"/>
        </w:trPr>
        <w:tc>
          <w:tcPr>
            <w:tcW w:w="9380" w:type="dxa"/>
            <w:vAlign w:val="bottom"/>
          </w:tcPr>
          <w:p>
            <w:pPr>
              <w:ind w:left="20"/>
              <w:spacing w:after="0"/>
              <w:rPr>
                <w:sz w:val="20"/>
                <w:szCs w:val="20"/>
                <w:color w:val="auto"/>
              </w:rPr>
            </w:pPr>
            <w:r>
              <w:rPr>
                <w:rFonts w:ascii="Arial" w:cs="Arial" w:eastAsia="Arial" w:hAnsi="Arial"/>
                <w:sz w:val="18"/>
                <w:szCs w:val="18"/>
                <w:color w:val="auto"/>
              </w:rPr>
              <w:t>Recognition of bifurcated embedded derivative</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30"/>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Accrual of in-kind dividends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w:t>
            </w:r>
          </w:p>
        </w:tc>
      </w:tr>
      <w:tr>
        <w:trPr>
          <w:trHeight w:val="230"/>
        </w:trPr>
        <w:tc>
          <w:tcPr>
            <w:tcW w:w="9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r>
      <w:tr>
        <w:trPr>
          <w:trHeight w:val="248"/>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49,069</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Net cash proceeds of $61.8 million from the issuance of the Series D Preferred Stock, along with part of the proceeds from the Term Loan Facility, were used to redeem all of the outstanding shares of the Company’s Series B Convertible Preferred Stock (the “Series B Preferred Stock”).</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Convertible Preferred Stock</w:t>
      </w:r>
    </w:p>
    <w:p>
      <w:pPr>
        <w:spacing w:after="0" w:line="117"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The Series B Preferred Stock had a liquidation preference of $1,000 per share and was redeemable in cash at our option, subject to the applicable redemption premium. Series B Preferred Stock shares earned cumulative dividends at a rate of 10.625% per year, and accrued whether or not earned or declared. The Series B Preferred Stock was recognized at a discounted value, net of issuance costs and allocation to warrants and bifurcated embedded derivatives. The aggregate discount was amortized as a deemed dividend through December 31, 2023, which is the date the holders had a non-contingent conversion option into a variable number of common shares equal to the liquidation preference plus accrued and unpaid dividends. Deemed dividends adjust retained earnings (or in the absence of retained earnings, additional paid-in capital).</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At redemption on March 22, 2021, the carrying value of the Series B Preferred Stock shares included $14.3 million of accumulated unpaid and deemed dividends. The following table presents the change in the Series B Preferred Stock carrying value during the six months ended June 30, 2021.</w:t>
      </w:r>
    </w:p>
    <w:p>
      <w:pPr>
        <w:sectPr>
          <w:pgSz w:w="11900" w:h="16838" w:orient="portrait"/>
          <w:cols w:equalWidth="0" w:num="1">
            <w:col w:w="11240"/>
          </w:cols>
          <w:pgMar w:left="320" w:top="233" w:right="339" w:bottom="1440" w:gutter="0" w:footer="0" w:header="0"/>
        </w:sect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7"/>
          <w:szCs w:val="17"/>
          <w:color w:val="auto"/>
        </w:rPr>
        <w:t>Accrual of in-kind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Amortization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Ending balance</w:t>
      </w:r>
    </w:p>
    <w:p>
      <w:pPr>
        <w:spacing w:after="0" w:line="20" w:lineRule="exact"/>
        <w:rPr>
          <w:sz w:val="20"/>
          <w:szCs w:val="20"/>
          <w:color w:val="auto"/>
        </w:rPr>
      </w:pPr>
      <w:r>
        <w:rPr>
          <w:sz w:val="20"/>
          <w:szCs w:val="20"/>
          <w:color w:val="auto"/>
        </w:rPr>
        <w:br w:type="column"/>
      </w:r>
    </w:p>
    <w:p>
      <w:pPr>
        <w:jc w:val="center"/>
        <w:ind w:right="15"/>
        <w:spacing w:after="0" w:line="226" w:lineRule="auto"/>
        <w:rPr>
          <w:sz w:val="20"/>
          <w:szCs w:val="20"/>
          <w:color w:val="auto"/>
        </w:rPr>
      </w:pPr>
      <w:r>
        <w:rPr>
          <w:rFonts w:ascii="Arial" w:cs="Arial" w:eastAsia="Arial" w:hAnsi="Arial"/>
          <w:sz w:val="14"/>
          <w:szCs w:val="14"/>
          <w:b w:val="1"/>
          <w:bCs w:val="1"/>
          <w:color w:val="auto"/>
        </w:rPr>
        <w:t>Six Months Ended</w:t>
      </w:r>
    </w:p>
    <w:p>
      <w:pPr>
        <w:jc w:val="center"/>
        <w:ind w:right="15"/>
        <w:spacing w:after="0"/>
        <w:rPr>
          <w:sz w:val="20"/>
          <w:szCs w:val="20"/>
          <w:color w:val="auto"/>
        </w:rPr>
      </w:pPr>
      <w:r>
        <w:rPr>
          <w:rFonts w:ascii="Arial" w:cs="Arial" w:eastAsia="Arial" w:hAnsi="Arial"/>
          <w:sz w:val="14"/>
          <w:szCs w:val="14"/>
          <w:b w:val="1"/>
          <w:bCs w:val="1"/>
          <w:color w:val="auto"/>
        </w:rPr>
        <w:t>June 30, 2021</w:t>
      </w:r>
    </w:p>
    <w:p>
      <w:pPr>
        <w:spacing w:after="0" w:line="34" w:lineRule="exact"/>
        <w:rPr>
          <w:sz w:val="20"/>
          <w:szCs w:val="20"/>
          <w:color w:val="auto"/>
        </w:rPr>
      </w:pPr>
    </w:p>
    <w:p>
      <w:pPr>
        <w:ind w:left="1185" w:hanging="1185"/>
        <w:spacing w:after="0"/>
        <w:tabs>
          <w:tab w:leader="none" w:pos="1185" w:val="left"/>
        </w:tabs>
        <w:numPr>
          <w:ilvl w:val="0"/>
          <w:numId w:val="6"/>
        </w:numPr>
        <w:rPr>
          <w:rFonts w:ascii="Arial" w:cs="Arial" w:eastAsia="Arial" w:hAnsi="Arial"/>
          <w:sz w:val="17"/>
          <w:szCs w:val="17"/>
          <w:color w:val="auto"/>
        </w:rPr>
      </w:pPr>
      <w:r>
        <w:rPr>
          <w:rFonts w:ascii="Arial" w:cs="Arial" w:eastAsia="Arial" w:hAnsi="Arial"/>
          <w:sz w:val="17"/>
          <w:szCs w:val="17"/>
          <w:color w:val="auto"/>
        </w:rPr>
        <w:t>105,086</w:t>
      </w:r>
    </w:p>
    <w:p>
      <w:pPr>
        <w:spacing w:after="0" w:line="34" w:lineRule="exact"/>
        <w:rPr>
          <w:rFonts w:ascii="Arial" w:cs="Arial" w:eastAsia="Arial" w:hAnsi="Arial"/>
          <w:sz w:val="17"/>
          <w:szCs w:val="17"/>
          <w:color w:val="auto"/>
        </w:rPr>
      </w:pPr>
    </w:p>
    <w:p>
      <w:pPr>
        <w:ind w:left="1285"/>
        <w:spacing w:after="0"/>
        <w:rPr>
          <w:rFonts w:ascii="Arial" w:cs="Arial" w:eastAsia="Arial" w:hAnsi="Arial"/>
          <w:sz w:val="17"/>
          <w:szCs w:val="17"/>
          <w:color w:val="auto"/>
        </w:rPr>
      </w:pPr>
      <w:r>
        <w:rPr>
          <w:rFonts w:ascii="Arial" w:cs="Arial" w:eastAsia="Arial" w:hAnsi="Arial"/>
          <w:sz w:val="17"/>
          <w:szCs w:val="17"/>
          <w:color w:val="auto"/>
        </w:rPr>
        <w:t>14,008</w:t>
      </w:r>
    </w:p>
    <w:p>
      <w:pPr>
        <w:spacing w:after="0" w:line="34" w:lineRule="exact"/>
        <w:rPr>
          <w:rFonts w:ascii="Arial" w:cs="Arial" w:eastAsia="Arial" w:hAnsi="Arial"/>
          <w:sz w:val="17"/>
          <w:szCs w:val="17"/>
          <w:color w:val="auto"/>
        </w:rPr>
      </w:pPr>
    </w:p>
    <w:p>
      <w:pPr>
        <w:ind w:left="1505"/>
        <w:spacing w:after="0"/>
        <w:rPr>
          <w:rFonts w:ascii="Arial" w:cs="Arial" w:eastAsia="Arial" w:hAnsi="Arial"/>
          <w:sz w:val="17"/>
          <w:szCs w:val="17"/>
          <w:color w:val="auto"/>
        </w:rPr>
      </w:pPr>
      <w:r>
        <w:rPr>
          <w:rFonts w:ascii="Arial" w:cs="Arial" w:eastAsia="Arial" w:hAnsi="Arial"/>
          <w:sz w:val="18"/>
          <w:szCs w:val="18"/>
          <w:color w:val="auto"/>
        </w:rPr>
        <w:t>335</w:t>
      </w:r>
    </w:p>
    <w:p>
      <w:pPr>
        <w:spacing w:after="0" w:line="23" w:lineRule="exact"/>
        <w:rPr>
          <w:sz w:val="20"/>
          <w:szCs w:val="20"/>
          <w:color w:val="auto"/>
        </w:rPr>
      </w:pPr>
    </w:p>
    <w:p>
      <w:pPr>
        <w:ind w:left="1125"/>
        <w:spacing w:after="0"/>
        <w:rPr>
          <w:sz w:val="20"/>
          <w:szCs w:val="20"/>
          <w:color w:val="auto"/>
        </w:rPr>
      </w:pPr>
      <w:r>
        <w:rPr>
          <w:rFonts w:ascii="Arial" w:cs="Arial" w:eastAsia="Arial" w:hAnsi="Arial"/>
          <w:sz w:val="16"/>
          <w:szCs w:val="16"/>
          <w:color w:val="auto"/>
        </w:rPr>
        <w:t>(119,429)</w:t>
      </w:r>
    </w:p>
    <w:p>
      <w:pPr>
        <w:spacing w:after="0" w:line="58" w:lineRule="exact"/>
        <w:rPr>
          <w:sz w:val="20"/>
          <w:szCs w:val="20"/>
          <w:color w:val="auto"/>
        </w:rPr>
      </w:pPr>
    </w:p>
    <w:p>
      <w:pPr>
        <w:ind w:left="5"/>
        <w:spacing w:after="0"/>
        <w:tabs>
          <w:tab w:leader="none" w:pos="1565"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40640</wp:posOffset>
            </wp:positionV>
            <wp:extent cx="11830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675" w:space="720"/>
            <w:col w:w="1845"/>
          </w:cols>
          <w:pgMar w:left="320" w:top="233" w:right="339" w:bottom="1440" w:gutter="0" w:footer="0" w:header="0"/>
          <w:type w:val="continuous"/>
        </w:sectPr>
      </w:pP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Share Purchase Rights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April 15, 2020, our Board of Directors authorized and declared a dividend of one preferred share purchase right for each outstanding share of common stock to shareholders of record on April 27, 2020. The rights expired on March 31, 2021.</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Revenue from Contracts with Customers</w:t>
      </w:r>
    </w:p>
    <w:p>
      <w:pPr>
        <w:spacing w:after="0" w:line="12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Revenue is recognized when control of the good or service is transferred to the customer either at a point in time or, in limited circumstances, as our services are rendered over time. Revenue is measured as the amount of consideration we expect to receive in exchange for transferring goods or services. The following tables summarize revenue by customer geographical region.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June 30, 2021</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9"/>
              </w:rPr>
              <w:t>Mobile</w:t>
            </w:r>
          </w:p>
        </w:tc>
        <w:tc>
          <w:tcPr>
            <w:tcW w:w="240" w:type="dxa"/>
            <w:vAlign w:val="bottom"/>
          </w:tcPr>
          <w:p>
            <w:pPr>
              <w:spacing w:after="0"/>
              <w:rPr>
                <w:sz w:val="11"/>
                <w:szCs w:val="11"/>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Power</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Intersegment</w:t>
            </w: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1"/>
              </w:rPr>
              <w:t>Sales</w:t>
            </w:r>
          </w:p>
        </w:tc>
        <w:tc>
          <w:tcPr>
            <w:tcW w:w="320" w:type="dxa"/>
            <w:vAlign w:val="bottom"/>
          </w:tcPr>
          <w:p>
            <w:pPr>
              <w:spacing w:after="0"/>
              <w:rPr>
                <w:sz w:val="11"/>
                <w:szCs w:val="11"/>
                <w:color w:val="auto"/>
              </w:rPr>
            </w:pPr>
          </w:p>
        </w:tc>
        <w:tc>
          <w:tcPr>
            <w:tcW w:w="108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Solutions</w:t>
            </w: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Solutions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Eliminations</w:t>
            </w: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 and Puerto Rico</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35,284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39,424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74,708</w:t>
            </w: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China</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14,501</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Brazil</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10,328</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Mexico</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9,178</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Germany</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Poland</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12,070</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73,886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49,271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123,157</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6"/>
        </w:trPr>
        <w:tc>
          <w:tcPr>
            <w:tcW w:w="5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June 30, 2020</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9"/>
              </w:rPr>
              <w:t>Mobile</w:t>
            </w:r>
          </w:p>
        </w:tc>
        <w:tc>
          <w:tcPr>
            <w:tcW w:w="240" w:type="dxa"/>
            <w:vAlign w:val="bottom"/>
          </w:tcPr>
          <w:p>
            <w:pPr>
              <w:spacing w:after="0"/>
              <w:rPr>
                <w:sz w:val="11"/>
                <w:szCs w:val="11"/>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Power</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Intersegment</w:t>
            </w: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1"/>
              </w:rPr>
              <w:t>Sales</w:t>
            </w:r>
          </w:p>
        </w:tc>
        <w:tc>
          <w:tcPr>
            <w:tcW w:w="320" w:type="dxa"/>
            <w:vAlign w:val="bottom"/>
          </w:tcPr>
          <w:p>
            <w:pPr>
              <w:spacing w:after="0"/>
              <w:rPr>
                <w:sz w:val="11"/>
                <w:szCs w:val="11"/>
                <w:color w:val="auto"/>
              </w:rPr>
            </w:pPr>
          </w:p>
        </w:tc>
        <w:tc>
          <w:tcPr>
            <w:tcW w:w="108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Solutions</w:t>
            </w: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Solutions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Eliminations</w:t>
            </w: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 and Puerto Rico</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30,859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51,100</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China</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11,978</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Brazil</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Mexico</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6,575</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Germany</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Poland</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5,399</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41,037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37,491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78,532</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Six Months Ended June 30, 2021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9"/>
              </w:rPr>
              <w:t>Mobile</w:t>
            </w:r>
          </w:p>
        </w:tc>
        <w:tc>
          <w:tcPr>
            <w:tcW w:w="260" w:type="dxa"/>
            <w:vAlign w:val="bottom"/>
          </w:tcPr>
          <w:p>
            <w:pPr>
              <w:spacing w:after="0"/>
              <w:rPr>
                <w:sz w:val="11"/>
                <w:szCs w:val="11"/>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Power</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Intersegment</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7"/>
              </w:rPr>
              <w:t>Sales</w:t>
            </w:r>
          </w:p>
        </w:tc>
        <w:tc>
          <w:tcPr>
            <w:tcW w:w="360" w:type="dxa"/>
            <w:vAlign w:val="bottom"/>
          </w:tcPr>
          <w:p>
            <w:pPr>
              <w:spacing w:after="0"/>
              <w:rPr>
                <w:sz w:val="11"/>
                <w:szCs w:val="11"/>
                <w:color w:val="auto"/>
              </w:rPr>
            </w:pPr>
          </w:p>
        </w:tc>
        <w:tc>
          <w:tcPr>
            <w:tcW w:w="12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Solutions</w:t>
            </w: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Solutions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Eliminations</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 and Puerto Rico</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72,722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79,230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center"/>
              <w:ind w:left="775"/>
              <w:spacing w:after="0"/>
              <w:rPr>
                <w:sz w:val="20"/>
                <w:szCs w:val="20"/>
                <w:color w:val="auto"/>
              </w:rPr>
            </w:pPr>
            <w:r>
              <w:rPr>
                <w:rFonts w:ascii="Arial" w:cs="Arial" w:eastAsia="Arial" w:hAnsi="Arial"/>
                <w:sz w:val="18"/>
                <w:szCs w:val="18"/>
                <w:color w:val="auto"/>
                <w:w w:val="93"/>
              </w:rPr>
              <w:t>(47)</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151,905</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China</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27,633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30,421</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Brazil</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20,188</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Mexico</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17,590</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Germany</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Poland</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2,091</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24,370</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151,662</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98,346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center"/>
              <w:ind w:left="775"/>
              <w:spacing w:after="0"/>
              <w:rPr>
                <w:sz w:val="20"/>
                <w:szCs w:val="20"/>
                <w:color w:val="auto"/>
              </w:rPr>
            </w:pPr>
            <w:r>
              <w:rPr>
                <w:rFonts w:ascii="Arial" w:cs="Arial" w:eastAsia="Arial" w:hAnsi="Arial"/>
                <w:sz w:val="18"/>
                <w:szCs w:val="18"/>
                <w:color w:val="auto"/>
                <w:w w:val="93"/>
              </w:rPr>
              <w:t>(47)</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249,961</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5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Six Months Ended June 30, 2020</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9"/>
              </w:rPr>
              <w:t>Mobile</w:t>
            </w:r>
          </w:p>
        </w:tc>
        <w:tc>
          <w:tcPr>
            <w:tcW w:w="260" w:type="dxa"/>
            <w:vAlign w:val="bottom"/>
          </w:tcPr>
          <w:p>
            <w:pPr>
              <w:spacing w:after="0"/>
              <w:rPr>
                <w:sz w:val="11"/>
                <w:szCs w:val="11"/>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Power</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Intersegment</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7"/>
              </w:rPr>
              <w:t>Sales</w:t>
            </w:r>
          </w:p>
        </w:tc>
        <w:tc>
          <w:tcPr>
            <w:tcW w:w="360" w:type="dxa"/>
            <w:vAlign w:val="bottom"/>
          </w:tcPr>
          <w:p>
            <w:pPr>
              <w:spacing w:after="0"/>
              <w:rPr>
                <w:sz w:val="11"/>
                <w:szCs w:val="11"/>
                <w:color w:val="auto"/>
              </w:rPr>
            </w:pPr>
          </w:p>
        </w:tc>
        <w:tc>
          <w:tcPr>
            <w:tcW w:w="12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Solutions</w:t>
            </w: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Solutions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Eliminations</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 and Puerto Rico</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57,366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69,156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center"/>
              <w:ind w:left="775"/>
              <w:spacing w:after="0"/>
              <w:rPr>
                <w:sz w:val="20"/>
                <w:szCs w:val="20"/>
                <w:color w:val="auto"/>
              </w:rPr>
            </w:pPr>
            <w:r>
              <w:rPr>
                <w:rFonts w:ascii="Arial" w:cs="Arial" w:eastAsia="Arial" w:hAnsi="Arial"/>
                <w:sz w:val="18"/>
                <w:szCs w:val="18"/>
                <w:color w:val="auto"/>
                <w:w w:val="93"/>
              </w:rPr>
              <w:t>(68)</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126,454</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China</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20,827</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Brazil</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10,908</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Mexico</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13,554</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Germany</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Poland</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17,765</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110,921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83,892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center"/>
              <w:ind w:left="775"/>
              <w:spacing w:after="0"/>
              <w:rPr>
                <w:sz w:val="20"/>
                <w:szCs w:val="20"/>
                <w:color w:val="auto"/>
              </w:rPr>
            </w:pPr>
            <w:r>
              <w:rPr>
                <w:rFonts w:ascii="Arial" w:cs="Arial" w:eastAsia="Arial" w:hAnsi="Arial"/>
                <w:sz w:val="18"/>
                <w:szCs w:val="18"/>
                <w:color w:val="auto"/>
                <w:w w:val="93"/>
              </w:rPr>
              <w:t>(68)</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194,745</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following tables summarize revenue by customer industry. Our products in the automotive industry include high-precision components and assemblies for fuel systems, steering systems, electric motors, transmissions, moldings, stampings, sensors, and electrical contacts. Our products in the general industrial industry include high-precision metal and plastic components for a variety of industrial applications including heating and cooling systems, fluid power systems, power tools, and more. While many of the industries we serve include electrical components, our products in the residential/commercial electrical industry category in the following tables include electrical contact assemblies, precision stampings, welded contact assemblies, and specification plating and surface finishing.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 June 30, 2021</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Mobile</w:t>
            </w:r>
          </w:p>
        </w:tc>
        <w:tc>
          <w:tcPr>
            <w:tcW w:w="240" w:type="dxa"/>
            <w:vAlign w:val="bottom"/>
          </w:tcPr>
          <w:p>
            <w:pPr>
              <w:spacing w:after="0"/>
              <w:rPr>
                <w:sz w:val="11"/>
                <w:szCs w:val="11"/>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Power</w:t>
            </w:r>
          </w:p>
        </w:tc>
        <w:tc>
          <w:tcPr>
            <w:tcW w:w="200" w:type="dxa"/>
            <w:vAlign w:val="bottom"/>
          </w:tcPr>
          <w:p>
            <w:pPr>
              <w:spacing w:after="0"/>
              <w:rPr>
                <w:sz w:val="11"/>
                <w:szCs w:val="11"/>
                <w:color w:val="auto"/>
              </w:rPr>
            </w:pPr>
          </w:p>
        </w:tc>
        <w:tc>
          <w:tcPr>
            <w:tcW w:w="13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Intersegment</w:t>
            </w: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7"/>
              </w:rPr>
              <w:t>Sales</w:t>
            </w:r>
          </w:p>
        </w:tc>
        <w:tc>
          <w:tcPr>
            <w:tcW w:w="340" w:type="dxa"/>
            <w:vAlign w:val="bottom"/>
          </w:tcPr>
          <w:p>
            <w:pPr>
              <w:spacing w:after="0"/>
              <w:rPr>
                <w:sz w:val="11"/>
                <w:szCs w:val="11"/>
                <w:color w:val="auto"/>
              </w:rPr>
            </w:pPr>
          </w:p>
        </w:tc>
        <w:tc>
          <w:tcPr>
            <w:tcW w:w="10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Solutions</w:t>
            </w: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Solutions</w:t>
            </w:r>
          </w:p>
        </w:tc>
        <w:tc>
          <w:tcPr>
            <w:tcW w:w="20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Eliminations</w:t>
            </w:r>
          </w:p>
        </w:tc>
        <w:tc>
          <w:tcPr>
            <w:tcW w:w="3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46,247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58,368</w:t>
            </w: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General Industrial</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24,449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38,074</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Residential/Commercial Electrical</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16,798</w:t>
            </w: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9,917</w:t>
            </w:r>
          </w:p>
        </w:tc>
        <w:tc>
          <w:tcPr>
            <w:tcW w:w="0" w:type="dxa"/>
            <w:vAlign w:val="bottom"/>
          </w:tcPr>
          <w:p>
            <w:pPr>
              <w:spacing w:after="0"/>
              <w:rPr>
                <w:sz w:val="1"/>
                <w:szCs w:val="1"/>
                <w:color w:val="auto"/>
              </w:rPr>
            </w:pPr>
          </w:p>
        </w:tc>
      </w:tr>
      <w:tr>
        <w:trPr>
          <w:trHeight w:val="248"/>
        </w:trPr>
        <w:tc>
          <w:tcPr>
            <w:tcW w:w="5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123,157</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5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ind w:right="935"/>
              <w:spacing w:after="0"/>
              <w:rPr>
                <w:sz w:val="20"/>
                <w:szCs w:val="20"/>
                <w:color w:val="auto"/>
              </w:rPr>
            </w:pPr>
            <w:r>
              <w:rPr>
                <w:rFonts w:ascii="Arial" w:cs="Arial" w:eastAsia="Arial" w:hAnsi="Arial"/>
                <w:sz w:val="18"/>
                <w:szCs w:val="18"/>
                <w:color w:val="auto"/>
                <w:w w:val="99"/>
              </w:rPr>
              <w:t>19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 June 30, 2020</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9"/>
              </w:rPr>
              <w:t>Mobile</w:t>
            </w:r>
          </w:p>
        </w:tc>
        <w:tc>
          <w:tcPr>
            <w:tcW w:w="240" w:type="dxa"/>
            <w:vAlign w:val="bottom"/>
          </w:tcPr>
          <w:p>
            <w:pPr>
              <w:spacing w:after="0"/>
              <w:rPr>
                <w:sz w:val="11"/>
                <w:szCs w:val="11"/>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Power</w:t>
            </w:r>
          </w:p>
        </w:tc>
        <w:tc>
          <w:tcPr>
            <w:tcW w:w="200" w:type="dxa"/>
            <w:vAlign w:val="bottom"/>
          </w:tcPr>
          <w:p>
            <w:pPr>
              <w:spacing w:after="0"/>
              <w:rPr>
                <w:sz w:val="11"/>
                <w:szCs w:val="11"/>
                <w:color w:val="auto"/>
              </w:rPr>
            </w:pPr>
          </w:p>
        </w:tc>
        <w:tc>
          <w:tcPr>
            <w:tcW w:w="13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Intersegment</w:t>
            </w: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7"/>
              </w:rPr>
              <w:t>Sales</w:t>
            </w:r>
          </w:p>
        </w:tc>
        <w:tc>
          <w:tcPr>
            <w:tcW w:w="340" w:type="dxa"/>
            <w:vAlign w:val="bottom"/>
          </w:tcPr>
          <w:p>
            <w:pPr>
              <w:spacing w:after="0"/>
              <w:rPr>
                <w:sz w:val="11"/>
                <w:szCs w:val="11"/>
                <w:color w:val="auto"/>
              </w:rPr>
            </w:pPr>
          </w:p>
        </w:tc>
        <w:tc>
          <w:tcPr>
            <w:tcW w:w="10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Solutions</w:t>
            </w: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Solutions</w:t>
            </w:r>
          </w:p>
        </w:tc>
        <w:tc>
          <w:tcPr>
            <w:tcW w:w="20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Eliminations</w:t>
            </w:r>
          </w:p>
        </w:tc>
        <w:tc>
          <w:tcPr>
            <w:tcW w:w="3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29,328</w:t>
            </w: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General Industrial</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28,523</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Residential/Commercial Electrical</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12,838</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7,843</w:t>
            </w:r>
          </w:p>
        </w:tc>
        <w:tc>
          <w:tcPr>
            <w:tcW w:w="0" w:type="dxa"/>
            <w:vAlign w:val="bottom"/>
          </w:tcPr>
          <w:p>
            <w:pPr>
              <w:spacing w:after="0"/>
              <w:rPr>
                <w:sz w:val="1"/>
                <w:szCs w:val="1"/>
                <w:color w:val="auto"/>
              </w:rPr>
            </w:pP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78,532</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Six Months Ended June 30, 2021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9"/>
              </w:rPr>
              <w:t>Mobile</w:t>
            </w:r>
          </w:p>
        </w:tc>
        <w:tc>
          <w:tcPr>
            <w:tcW w:w="260" w:type="dxa"/>
            <w:vAlign w:val="bottom"/>
          </w:tcPr>
          <w:p>
            <w:pPr>
              <w:spacing w:after="0"/>
              <w:rPr>
                <w:sz w:val="11"/>
                <w:szCs w:val="11"/>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Power</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Intersegment</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7"/>
              </w:rPr>
              <w:t>Sales</w:t>
            </w:r>
          </w:p>
        </w:tc>
        <w:tc>
          <w:tcPr>
            <w:tcW w:w="360" w:type="dxa"/>
            <w:vAlign w:val="bottom"/>
          </w:tcPr>
          <w:p>
            <w:pPr>
              <w:spacing w:after="0"/>
              <w:rPr>
                <w:sz w:val="11"/>
                <w:szCs w:val="11"/>
                <w:color w:val="auto"/>
              </w:rPr>
            </w:pPr>
          </w:p>
        </w:tc>
        <w:tc>
          <w:tcPr>
            <w:tcW w:w="12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Solutions</w:t>
            </w: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Solutions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Eliminations</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96,391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25,581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center"/>
              <w:ind w:left="817"/>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121,972</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General Industrial</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48,759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27,335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7"/>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76,094</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Residential/Commercial Electrical</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7"/>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31,980</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77"/>
              <w:spacing w:after="0"/>
              <w:rPr>
                <w:sz w:val="20"/>
                <w:szCs w:val="20"/>
                <w:color w:val="auto"/>
              </w:rPr>
            </w:pPr>
            <w:r>
              <w:rPr>
                <w:rFonts w:ascii="Arial" w:cs="Arial" w:eastAsia="Arial" w:hAnsi="Arial"/>
                <w:sz w:val="18"/>
                <w:szCs w:val="18"/>
                <w:color w:val="auto"/>
                <w:w w:val="93"/>
              </w:rPr>
              <w:t>(47)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19,915</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777"/>
              <w:spacing w:after="0"/>
              <w:rPr>
                <w:sz w:val="20"/>
                <w:szCs w:val="20"/>
                <w:color w:val="auto"/>
              </w:rPr>
            </w:pPr>
            <w:r>
              <w:rPr>
                <w:rFonts w:ascii="Arial" w:cs="Arial" w:eastAsia="Arial" w:hAnsi="Arial"/>
                <w:sz w:val="18"/>
                <w:szCs w:val="18"/>
                <w:color w:val="auto"/>
                <w:w w:val="93"/>
              </w:rPr>
              <w:t>(47)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249,961</w:t>
            </w:r>
          </w:p>
        </w:tc>
        <w:tc>
          <w:tcPr>
            <w:tcW w:w="0" w:type="dxa"/>
            <w:vAlign w:val="bottom"/>
          </w:tcPr>
          <w:p>
            <w:pPr>
              <w:spacing w:after="0"/>
              <w:rPr>
                <w:sz w:val="1"/>
                <w:szCs w:val="1"/>
                <w:color w:val="auto"/>
              </w:rPr>
            </w:pPr>
          </w:p>
        </w:tc>
      </w:tr>
      <w:tr>
        <w:trPr>
          <w:trHeight w:val="413"/>
        </w:trPr>
        <w:tc>
          <w:tcPr>
            <w:tcW w:w="5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Six Months Ended June 30, 2020</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9"/>
              </w:rPr>
              <w:t>Mobile</w:t>
            </w:r>
          </w:p>
        </w:tc>
        <w:tc>
          <w:tcPr>
            <w:tcW w:w="260" w:type="dxa"/>
            <w:vAlign w:val="bottom"/>
          </w:tcPr>
          <w:p>
            <w:pPr>
              <w:spacing w:after="0"/>
              <w:rPr>
                <w:sz w:val="11"/>
                <w:szCs w:val="11"/>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Power</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Intersegment</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7"/>
              </w:rPr>
              <w:t>Sales</w:t>
            </w:r>
          </w:p>
        </w:tc>
        <w:tc>
          <w:tcPr>
            <w:tcW w:w="360" w:type="dxa"/>
            <w:vAlign w:val="bottom"/>
          </w:tcPr>
          <w:p>
            <w:pPr>
              <w:spacing w:after="0"/>
              <w:rPr>
                <w:sz w:val="11"/>
                <w:szCs w:val="11"/>
                <w:color w:val="auto"/>
              </w:rPr>
            </w:pPr>
          </w:p>
        </w:tc>
        <w:tc>
          <w:tcPr>
            <w:tcW w:w="12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Solutions</w:t>
            </w: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Solutions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Eliminations</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71,585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center"/>
              <w:ind w:left="817"/>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90,766</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General Industrial</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35,157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23,888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7"/>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59,045</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Residential/Commercial Electrical</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7"/>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26,699</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77"/>
              <w:spacing w:after="0"/>
              <w:rPr>
                <w:sz w:val="20"/>
                <w:szCs w:val="20"/>
                <w:color w:val="auto"/>
              </w:rPr>
            </w:pPr>
            <w:r>
              <w:rPr>
                <w:rFonts w:ascii="Arial" w:cs="Arial" w:eastAsia="Arial" w:hAnsi="Arial"/>
                <w:sz w:val="18"/>
                <w:szCs w:val="18"/>
                <w:color w:val="auto"/>
                <w:w w:val="93"/>
              </w:rPr>
              <w:t>(68)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18,235</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777"/>
              <w:spacing w:after="0"/>
              <w:rPr>
                <w:sz w:val="20"/>
                <w:szCs w:val="20"/>
                <w:color w:val="auto"/>
              </w:rPr>
            </w:pPr>
            <w:r>
              <w:rPr>
                <w:rFonts w:ascii="Arial" w:cs="Arial" w:eastAsia="Arial" w:hAnsi="Arial"/>
                <w:sz w:val="18"/>
                <w:szCs w:val="18"/>
                <w:color w:val="auto"/>
                <w:w w:val="93"/>
              </w:rPr>
              <w:t>(68)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Future Performance Obligations</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are required to disclose the aggregate amount of transaction price that is allocated to performance obligations that have not yet been satisfied as of June 30, 2021, unless our contracts meet one of the practical expedients. Our contracts met the practical expedient for a performance obligation that is part of a contract that has an original expected duration of one year or less.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Concentration</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recognized sales from a single customer of $13.2 million, or 11% and $26.2 million, or 11%, of consolidated net sales, during the three and six months ended June 30, 2021, respectively. We recognized sales from this customer of $9.2 million, or 12% of consolidated net sales, during the three months ended June 30, 2020. Revenues from this customer are primarily in our Mobile Solutions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Share-Based Compensation</w:t>
      </w:r>
    </w:p>
    <w:p>
      <w:pPr>
        <w:spacing w:after="0" w:line="121" w:lineRule="exact"/>
        <w:rPr>
          <w:sz w:val="20"/>
          <w:szCs w:val="20"/>
          <w:color w:val="auto"/>
        </w:rPr>
      </w:pPr>
    </w:p>
    <w:p>
      <w:pPr>
        <w:ind w:right="40"/>
        <w:spacing w:after="0" w:line="308" w:lineRule="auto"/>
        <w:rPr>
          <w:sz w:val="20"/>
          <w:szCs w:val="20"/>
          <w:color w:val="auto"/>
        </w:rPr>
      </w:pPr>
      <w:r>
        <w:rPr>
          <w:rFonts w:ascii="Arial" w:cs="Arial" w:eastAsia="Arial" w:hAnsi="Arial"/>
          <w:sz w:val="16"/>
          <w:szCs w:val="16"/>
          <w:color w:val="auto"/>
        </w:rPr>
        <w:t>Share-based compensation cost is recognized in the “Selling, general, and administrative expense” line in the Condensed Consolidated Statements of Operations and Comprehensive Income (Loss) except for $0.2 million and $0.4 million, attributable to discontinued operations for the three and six months</w:t>
      </w:r>
    </w:p>
    <w:p>
      <w:pPr>
        <w:spacing w:after="0"/>
        <w:rPr>
          <w:sz w:val="20"/>
          <w:szCs w:val="20"/>
          <w:color w:val="auto"/>
        </w:rPr>
      </w:pPr>
      <w:r>
        <w:rPr>
          <w:rFonts w:ascii="Arial" w:cs="Arial" w:eastAsia="Arial" w:hAnsi="Arial"/>
          <w:sz w:val="18"/>
          <w:szCs w:val="18"/>
          <w:color w:val="auto"/>
        </w:rPr>
        <w:t>ended June 30, 2020, respectively. The following table lists the components of share-based compensation expense by type of award.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Pr>
          <w:p>
            <w:pPr>
              <w:spacing w:after="0"/>
              <w:rPr>
                <w:sz w:val="14"/>
                <w:szCs w:val="14"/>
                <w:color w:val="auto"/>
              </w:rPr>
            </w:pPr>
          </w:p>
        </w:tc>
      </w:tr>
      <w:tr>
        <w:trPr>
          <w:trHeight w:val="188"/>
        </w:trPr>
        <w:tc>
          <w:tcPr>
            <w:tcW w:w="48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183"/>
        </w:trPr>
        <w:tc>
          <w:tcPr>
            <w:tcW w:w="48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24"/>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1,828</w:t>
            </w: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share units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Change in estimate of share-based award vesting (1)</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21" w:lineRule="exact"/>
        <w:rPr>
          <w:sz w:val="20"/>
          <w:szCs w:val="20"/>
          <w:color w:val="auto"/>
        </w:rPr>
      </w:pPr>
    </w:p>
    <w:p>
      <w:pPr>
        <w:ind w:left="660" w:right="220" w:hanging="328"/>
        <w:spacing w:after="0" w:line="274" w:lineRule="auto"/>
        <w:tabs>
          <w:tab w:leader="none" w:pos="716"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Amounts reflect the decrease in share-based compensation expense based on the change in estimate of the probability of vesting of share-based awards.</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stock option activity for the six months ended June 30,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right="159"/>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center"/>
              <w:ind w:right="139"/>
              <w:spacing w:after="0" w:line="135"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1"/>
                <w:szCs w:val="11"/>
                <w:color w:val="auto"/>
              </w:rPr>
            </w:pPr>
          </w:p>
        </w:tc>
        <w:tc>
          <w:tcPr>
            <w:tcW w:w="15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1"/>
                <w:szCs w:val="11"/>
                <w:color w:val="auto"/>
              </w:rPr>
            </w:pPr>
          </w:p>
        </w:tc>
        <w:tc>
          <w:tcPr>
            <w:tcW w:w="162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Number of Options</w:t>
            </w:r>
          </w:p>
        </w:tc>
        <w:tc>
          <w:tcPr>
            <w:tcW w:w="240" w:type="dxa"/>
            <w:vAlign w:val="bottom"/>
          </w:tcPr>
          <w:p>
            <w:pPr>
              <w:spacing w:after="0"/>
              <w:rPr>
                <w:sz w:val="11"/>
                <w:szCs w:val="11"/>
                <w:color w:val="auto"/>
              </w:rPr>
            </w:pPr>
          </w:p>
        </w:tc>
        <w:tc>
          <w:tcPr>
            <w:tcW w:w="1200" w:type="dxa"/>
            <w:vAlign w:val="bottom"/>
          </w:tcPr>
          <w:p>
            <w:pPr>
              <w:jc w:val="center"/>
              <w:ind w:right="159"/>
              <w:spacing w:after="0" w:line="135" w:lineRule="exact"/>
              <w:rPr>
                <w:sz w:val="20"/>
                <w:szCs w:val="20"/>
                <w:color w:val="auto"/>
              </w:rPr>
            </w:pPr>
            <w:r>
              <w:rPr>
                <w:rFonts w:ascii="Arial" w:cs="Arial" w:eastAsia="Arial" w:hAnsi="Arial"/>
                <w:sz w:val="14"/>
                <w:szCs w:val="14"/>
                <w:b w:val="1"/>
                <w:bCs w:val="1"/>
                <w:color w:val="auto"/>
                <w:w w:val="90"/>
              </w:rPr>
              <w:t>Exercise</w:t>
            </w:r>
          </w:p>
        </w:tc>
        <w:tc>
          <w:tcPr>
            <w:tcW w:w="120" w:type="dxa"/>
            <w:vAlign w:val="bottom"/>
          </w:tcPr>
          <w:p>
            <w:pPr>
              <w:spacing w:after="0"/>
              <w:rPr>
                <w:sz w:val="11"/>
                <w:szCs w:val="11"/>
                <w:color w:val="auto"/>
              </w:rPr>
            </w:pPr>
          </w:p>
        </w:tc>
        <w:tc>
          <w:tcPr>
            <w:tcW w:w="15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Remaining</w:t>
            </w:r>
          </w:p>
        </w:tc>
        <w:tc>
          <w:tcPr>
            <w:tcW w:w="24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center"/>
              <w:ind w:right="159"/>
              <w:spacing w:after="0" w:line="135" w:lineRule="exact"/>
              <w:rPr>
                <w:sz w:val="20"/>
                <w:szCs w:val="20"/>
                <w:color w:val="auto"/>
              </w:rPr>
            </w:pPr>
            <w:r>
              <w:rPr>
                <w:rFonts w:ascii="Arial" w:cs="Arial" w:eastAsia="Arial" w:hAnsi="Arial"/>
                <w:sz w:val="14"/>
                <w:szCs w:val="14"/>
                <w:b w:val="1"/>
                <w:bCs w:val="1"/>
                <w:color w:val="auto"/>
                <w:w w:val="93"/>
              </w:rPr>
              <w:t>Price</w:t>
            </w:r>
          </w:p>
        </w:tc>
        <w:tc>
          <w:tcPr>
            <w:tcW w:w="120" w:type="dxa"/>
            <w:vAlign w:val="bottom"/>
          </w:tcPr>
          <w:p>
            <w:pPr>
              <w:spacing w:after="0"/>
              <w:rPr>
                <w:sz w:val="11"/>
                <w:szCs w:val="11"/>
                <w:color w:val="auto"/>
              </w:rPr>
            </w:pPr>
          </w:p>
        </w:tc>
        <w:tc>
          <w:tcPr>
            <w:tcW w:w="15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1"/>
                <w:szCs w:val="11"/>
                <w:color w:val="auto"/>
              </w:rPr>
            </w:pPr>
          </w:p>
        </w:tc>
        <w:tc>
          <w:tcPr>
            <w:tcW w:w="1620" w:type="dxa"/>
            <w:vAlign w:val="bottom"/>
            <w:gridSpan w:val="2"/>
          </w:tcPr>
          <w:p>
            <w:pPr>
              <w:jc w:val="center"/>
              <w:ind w:right="700"/>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8"/>
        </w:trPr>
        <w:tc>
          <w:tcPr>
            <w:tcW w:w="462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6"/>
                <w:szCs w:val="16"/>
                <w:color w:val="auto"/>
              </w:rPr>
            </w:pPr>
          </w:p>
        </w:tc>
        <w:tc>
          <w:tcPr>
            <w:tcW w:w="1200" w:type="dxa"/>
            <w:vAlign w:val="bottom"/>
          </w:tcPr>
          <w:p>
            <w:pPr>
              <w:jc w:val="center"/>
              <w:ind w:right="159"/>
              <w:spacing w:after="0"/>
              <w:rPr>
                <w:sz w:val="20"/>
                <w:szCs w:val="20"/>
                <w:color w:val="auto"/>
              </w:rPr>
            </w:pPr>
            <w:r>
              <w:rPr>
                <w:rFonts w:ascii="Arial" w:cs="Arial" w:eastAsia="Arial" w:hAnsi="Arial"/>
                <w:sz w:val="14"/>
                <w:szCs w:val="14"/>
                <w:b w:val="1"/>
                <w:bCs w:val="1"/>
                <w:color w:val="auto"/>
                <w:w w:val="93"/>
              </w:rPr>
              <w:t>(per share)</w:t>
            </w:r>
          </w:p>
        </w:tc>
        <w:tc>
          <w:tcPr>
            <w:tcW w:w="12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Term</w:t>
            </w:r>
          </w:p>
        </w:tc>
        <w:tc>
          <w:tcPr>
            <w:tcW w:w="240" w:type="dxa"/>
            <w:vAlign w:val="bottom"/>
          </w:tcPr>
          <w:p>
            <w:pPr>
              <w:spacing w:after="0"/>
              <w:rPr>
                <w:sz w:val="16"/>
                <w:szCs w:val="16"/>
                <w:color w:val="auto"/>
              </w:rPr>
            </w:pPr>
          </w:p>
        </w:tc>
        <w:tc>
          <w:tcPr>
            <w:tcW w:w="16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4"/>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 or expired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Outstanding at June 30, 2021</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w:t>
            </w:r>
          </w:p>
        </w:tc>
        <w:tc>
          <w:tcPr>
            <w:tcW w:w="120" w:type="dxa"/>
            <w:vAlign w:val="bottom"/>
          </w:tcPr>
          <w:p>
            <w:pPr>
              <w:spacing w:after="0"/>
              <w:rPr>
                <w:sz w:val="19"/>
                <w:szCs w:val="19"/>
                <w:color w:val="auto"/>
              </w:rPr>
            </w:pPr>
          </w:p>
        </w:tc>
        <w:tc>
          <w:tcPr>
            <w:tcW w:w="1580" w:type="dxa"/>
            <w:vAlign w:val="bottom"/>
            <w:gridSpan w:val="2"/>
          </w:tcPr>
          <w:p>
            <w:pPr>
              <w:ind w:left="800"/>
              <w:spacing w:after="0"/>
              <w:rPr>
                <w:sz w:val="20"/>
                <w:szCs w:val="20"/>
                <w:color w:val="auto"/>
              </w:rPr>
            </w:pPr>
            <w:r>
              <w:rPr>
                <w:rFonts w:ascii="Arial" w:cs="Arial" w:eastAsia="Arial" w:hAnsi="Arial"/>
                <w:sz w:val="18"/>
                <w:szCs w:val="18"/>
                <w:color w:val="auto"/>
              </w:rPr>
              <w:t>3.6 years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ind w:left="920"/>
              <w:spacing w:after="0"/>
              <w:rPr>
                <w:sz w:val="20"/>
                <w:szCs w:val="20"/>
                <w:color w:val="auto"/>
              </w:rPr>
            </w:pPr>
            <w:r>
              <w:rPr>
                <w:rFonts w:ascii="Arial" w:cs="Arial" w:eastAsia="Arial" w:hAnsi="Arial"/>
                <w:sz w:val="18"/>
                <w:szCs w:val="18"/>
                <w:color w:val="auto"/>
              </w:rPr>
              <w:t>— (1)</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June 30, 2021</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3.0 years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 (1)</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21" w:lineRule="exact"/>
        <w:rPr>
          <w:sz w:val="20"/>
          <w:szCs w:val="20"/>
          <w:color w:val="auto"/>
        </w:rPr>
      </w:pPr>
    </w:p>
    <w:p>
      <w:pPr>
        <w:ind w:left="660" w:right="40" w:hanging="328"/>
        <w:spacing w:after="0" w:line="305" w:lineRule="auto"/>
        <w:tabs>
          <w:tab w:leader="none" w:pos="654"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aggregate intrinsic value is the sum of intrinsic values for each exercisable individual option grant. The intrinsic value is the amount by which the closing market price of our stock at June 30, 2021, was greater than the exercise price of any individual option grant.</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During the six months ended June 30, 2021, we granted 459 thousand shares of restricted stock to non-executive directors, officers and certain other key employees. The shares of restricted stock granted during the six months ended June 30, 2021, vest pro-rata generally over three years for employees and over one year for non-executive directors. We determined the fair value of the shares awarded by using the closing price of our common stock as of the date of grant. The weighted average grant date fair value of restricted stock granted in the six months ended June 30, 2021, was $6.84 per share. Total grant date fair value of restricted stock that vested in the six months ended June 30, 2021, was $2.8 million.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status of unvested restricted stock awards as of June 30, 2021, and changes during the six months then ended.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Nonvested</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center"/>
              <w:ind w:right="219"/>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78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jc w:val="center"/>
              <w:ind w:right="219"/>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7800" w:type="dxa"/>
            <w:vAlign w:val="bottom"/>
          </w:tcPr>
          <w:p>
            <w:pPr>
              <w:spacing w:after="0"/>
              <w:rPr>
                <w:sz w:val="11"/>
                <w:szCs w:val="11"/>
                <w:color w:val="auto"/>
              </w:rPr>
            </w:pPr>
          </w:p>
        </w:tc>
        <w:tc>
          <w:tcPr>
            <w:tcW w:w="1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jc w:val="center"/>
              <w:ind w:right="199"/>
              <w:spacing w:after="0" w:line="135"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35"/>
        </w:trPr>
        <w:tc>
          <w:tcPr>
            <w:tcW w:w="7800" w:type="dxa"/>
            <w:vAlign w:val="bottom"/>
          </w:tcPr>
          <w:p>
            <w:pPr>
              <w:spacing w:after="0"/>
              <w:rPr>
                <w:sz w:val="11"/>
                <w:szCs w:val="11"/>
                <w:color w:val="auto"/>
              </w:rPr>
            </w:pPr>
          </w:p>
        </w:tc>
        <w:tc>
          <w:tcPr>
            <w:tcW w:w="1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jc w:val="center"/>
              <w:ind w:right="199"/>
              <w:spacing w:after="0" w:line="135"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8"/>
        </w:trPr>
        <w:tc>
          <w:tcPr>
            <w:tcW w:w="78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3"/>
              </w:rPr>
              <w:t>(per share)</w:t>
            </w:r>
          </w:p>
        </w:tc>
        <w:tc>
          <w:tcPr>
            <w:tcW w:w="0" w:type="dxa"/>
            <w:vAlign w:val="bottom"/>
          </w:tcPr>
          <w:p>
            <w:pPr>
              <w:spacing w:after="0"/>
              <w:rPr>
                <w:sz w:val="1"/>
                <w:szCs w:val="1"/>
                <w:color w:val="auto"/>
              </w:rPr>
            </w:pP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January 1, 2021</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June 30, 2021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w:t>
      </w:r>
    </w:p>
    <w:p>
      <w:pPr>
        <w:spacing w:after="0" w:line="117"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Performance Share Units (“PSUs”) are a form of long-term incentive compensation awarded to executive officers and certain other key employees designed to directly align the interests of employees to the interests of our stockholders, and to create long-term stockholder value. PSUs granted in 2021 were made pursuant to the NN, Inc. 2019 Omnibus Incentive Plan and a Performance Share Unit Agreement (the “2019 Omnibus Agreement”). Some PSUs are based on total shareholder return (“TSR Awards”), and other PSUs are based on return on invested capital (“ROIC Awards”).</w:t>
      </w:r>
    </w:p>
    <w:p>
      <w:pPr>
        <w:spacing w:after="0" w:line="4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TSR Awards vest, if at all, upon our achieving a specified relative total shareholder return, which will be measured against the total shareholder return of the S&amp;P SmallCap 600 Index during specified performance periods as defined in the 2019 Omnibus Agreement. The ROIC Awards vest, if at all, upon our achieving a specified average return on invested capital during the performance periods. Each performance period generally begins on January 1 of the year of grant and ends 36 months later on December 31.</w:t>
      </w:r>
    </w:p>
    <w:p>
      <w:pPr>
        <w:spacing w:after="0" w:line="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recognize compensation expense over the performance period in which the performance and market conditions are measured. If the PSUs do not vest at the end of the performance periods, then the PSUs will expire automatically. Upon vesting, the PSUs will be settled by the issuance of shares of our common stock, subject to the award recipient’s continued employment. The actual number of shares of common stock to be issued to each award recipient at the end of the performance periods will be interpolated between a threshold and maximum payout amount based on actual performance results. No dividends will be paid on outstanding PSUs during the performance period; however, dividend equivalents will be paid based on dividends declared and the number of shares of common stock that are ultimately earned at the end of the performance periods.</w:t>
      </w:r>
    </w:p>
    <w:p>
      <w:pPr>
        <w:spacing w:after="0" w:line="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With respect to the TSR and ROIC Awards, a participant will earn 50% of the target number of PSUs for “Threshold Performance,” 100% of the target number of PSUs for “Target Performance,” and 150% of the target number of PSUs for “Maximum Performance.” For performance levels falling between the values shown below, the percentages will be determined by interpolation.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goals with respect to TSR Awards and ROIC Awards granted or modified in 2021.</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TSR Awards:</w:t>
            </w:r>
          </w:p>
        </w:tc>
        <w:tc>
          <w:tcPr>
            <w:tcW w:w="2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Threshold Performance</w:t>
            </w:r>
          </w:p>
        </w:tc>
        <w:tc>
          <w:tcPr>
            <w:tcW w:w="2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Target Performance</w:t>
            </w: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Performance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60" w:type="dxa"/>
            <w:vAlign w:val="bottom"/>
            <w:gridSpan w:val="3"/>
            <w:vMerge w:val="continue"/>
          </w:tcPr>
          <w:p>
            <w:pPr>
              <w:spacing w:after="0"/>
              <w:rPr>
                <w:sz w:val="12"/>
                <w:szCs w:val="12"/>
                <w:color w:val="auto"/>
              </w:rPr>
            </w:pPr>
          </w:p>
        </w:tc>
        <w:tc>
          <w:tcPr>
            <w:tcW w:w="2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(50% of Shares)</w:t>
            </w:r>
          </w:p>
        </w:tc>
        <w:tc>
          <w:tcPr>
            <w:tcW w:w="2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(100% of Shares)</w:t>
            </w:r>
          </w:p>
        </w:tc>
        <w:tc>
          <w:tcPr>
            <w:tcW w:w="2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(150% of Shares)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2021 grants</w:t>
            </w: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35th Percentile</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50th Percentile</w:t>
            </w:r>
          </w:p>
        </w:tc>
        <w:tc>
          <w:tcPr>
            <w:tcW w:w="100" w:type="dxa"/>
            <w:vAlign w:val="bottom"/>
            <w:shd w:val="clear" w:color="auto" w:fill="CCEEFF"/>
          </w:tcPr>
          <w:p>
            <w:pPr>
              <w:spacing w:after="0"/>
              <w:rPr>
                <w:sz w:val="19"/>
                <w:szCs w:val="19"/>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75th Percentile</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4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ROIC Awards:</w:t>
            </w:r>
          </w:p>
        </w:tc>
        <w:tc>
          <w:tcPr>
            <w:tcW w:w="2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Threshold Performance</w:t>
            </w:r>
          </w:p>
        </w:tc>
        <w:tc>
          <w:tcPr>
            <w:tcW w:w="2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Target Performance</w:t>
            </w: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Performance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60" w:type="dxa"/>
            <w:vAlign w:val="bottom"/>
            <w:gridSpan w:val="3"/>
            <w:vMerge w:val="continue"/>
          </w:tcPr>
          <w:p>
            <w:pPr>
              <w:spacing w:after="0"/>
              <w:rPr>
                <w:sz w:val="12"/>
                <w:szCs w:val="12"/>
                <w:color w:val="auto"/>
              </w:rPr>
            </w:pPr>
          </w:p>
        </w:tc>
        <w:tc>
          <w:tcPr>
            <w:tcW w:w="2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(50% of Shares)</w:t>
            </w:r>
          </w:p>
        </w:tc>
        <w:tc>
          <w:tcPr>
            <w:tcW w:w="2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(100% of Shares)</w:t>
            </w:r>
          </w:p>
        </w:tc>
        <w:tc>
          <w:tcPr>
            <w:tcW w:w="2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(150% of Shares)</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2021 grants</w:t>
            </w: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6.3%</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7.0%</w:t>
            </w:r>
          </w:p>
        </w:tc>
        <w:tc>
          <w:tcPr>
            <w:tcW w:w="100" w:type="dxa"/>
            <w:vAlign w:val="bottom"/>
            <w:shd w:val="clear" w:color="auto" w:fill="CCEEFF"/>
          </w:tcPr>
          <w:p>
            <w:pPr>
              <w:spacing w:after="0"/>
              <w:rPr>
                <w:sz w:val="19"/>
                <w:szCs w:val="19"/>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2020 grants (1)</w:t>
            </w:r>
          </w:p>
        </w:tc>
        <w:tc>
          <w:tcPr>
            <w:tcW w:w="2340" w:type="dxa"/>
            <w:vAlign w:val="bottom"/>
          </w:tcPr>
          <w:p>
            <w:pPr>
              <w:jc w:val="center"/>
              <w:spacing w:after="0"/>
              <w:rPr>
                <w:sz w:val="20"/>
                <w:szCs w:val="20"/>
                <w:color w:val="auto"/>
              </w:rPr>
            </w:pPr>
            <w:r>
              <w:rPr>
                <w:rFonts w:ascii="Arial" w:cs="Arial" w:eastAsia="Arial" w:hAnsi="Arial"/>
                <w:sz w:val="18"/>
                <w:szCs w:val="18"/>
                <w:color w:val="auto"/>
                <w:w w:val="92"/>
              </w:rPr>
              <w:t>6.7%</w:t>
            </w:r>
          </w:p>
        </w:tc>
        <w:tc>
          <w:tcPr>
            <w:tcW w:w="10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87"/>
              </w:rPr>
              <w:t>7.9%</w:t>
            </w:r>
          </w:p>
        </w:tc>
        <w:tc>
          <w:tcPr>
            <w:tcW w:w="10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8.7%</w:t>
            </w:r>
          </w:p>
        </w:tc>
        <w:tc>
          <w:tcPr>
            <w:tcW w:w="0" w:type="dxa"/>
            <w:vAlign w:val="bottom"/>
          </w:tcPr>
          <w:p>
            <w:pPr>
              <w:spacing w:after="0"/>
              <w:rPr>
                <w:sz w:val="1"/>
                <w:szCs w:val="1"/>
                <w:color w:val="auto"/>
              </w:rPr>
            </w:pPr>
          </w:p>
        </w:tc>
      </w:tr>
      <w:tr>
        <w:trPr>
          <w:trHeight w:val="257"/>
        </w:trPr>
        <w:tc>
          <w:tcPr>
            <w:tcW w:w="4080" w:type="dxa"/>
            <w:vAlign w:val="bottom"/>
            <w:gridSpan w:val="4"/>
          </w:tcPr>
          <w:p>
            <w:pPr>
              <w:spacing w:after="0"/>
              <w:rPr>
                <w:sz w:val="20"/>
                <w:szCs w:val="20"/>
                <w:color w:val="auto"/>
              </w:rPr>
            </w:pPr>
            <w:r>
              <w:rPr>
                <w:rFonts w:ascii="Arial" w:cs="Arial" w:eastAsia="Arial" w:hAnsi="Arial"/>
                <w:sz w:val="14"/>
                <w:szCs w:val="14"/>
                <w:color w:val="auto"/>
              </w:rPr>
              <w:t>_______________________________</w:t>
            </w:r>
          </w:p>
        </w:tc>
        <w:tc>
          <w:tcPr>
            <w:tcW w:w="2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980" w:right="60" w:hanging="324"/>
        <w:spacing w:after="0" w:line="277" w:lineRule="auto"/>
        <w:tabs>
          <w:tab w:leader="none" w:pos="97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performance levels for 2020 grants were modified by the compensation committee of the board of directors in the first quarter of 2021 to adjust for the sale of the Life Sciences business and the ongoing effects of the COVID-19 pandemic.</w:t>
      </w:r>
    </w:p>
    <w:p>
      <w:pPr>
        <w:spacing w:after="0" w:line="62"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 xml:space="preserve">We estimate the grant date fair value of TSR Awards using the Monte Carlo simulation model, as the total shareholder return metric is considered a market condition under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grant date fair value of ROIC Awards is based on the closing price of a share of our common stock on the date of grant.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number of PSUs granted and the grant date fair value in the period presented.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20" w:type="dxa"/>
            <w:vAlign w:val="bottom"/>
            <w:gridSpan w:val="4"/>
          </w:tcPr>
          <w:p>
            <w:pPr>
              <w:ind w:left="20"/>
              <w:spacing w:after="0"/>
              <w:rPr>
                <w:sz w:val="20"/>
                <w:szCs w:val="20"/>
                <w:color w:val="auto"/>
              </w:rPr>
            </w:pPr>
            <w:r>
              <w:rPr>
                <w:rFonts w:ascii="Arial" w:cs="Arial" w:eastAsia="Arial" w:hAnsi="Arial"/>
                <w:sz w:val="14"/>
                <w:szCs w:val="14"/>
                <w:b w:val="1"/>
                <w:bCs w:val="1"/>
                <w:color w:val="auto"/>
              </w:rPr>
              <w:t>TSR Awards</w:t>
            </w:r>
          </w:p>
        </w:tc>
        <w:tc>
          <w:tcPr>
            <w:tcW w:w="2160" w:type="dxa"/>
            <w:vAlign w:val="bottom"/>
            <w:gridSpan w:val="3"/>
          </w:tcPr>
          <w:p>
            <w:pPr>
              <w:ind w:left="1240"/>
              <w:spacing w:after="0"/>
              <w:rPr>
                <w:sz w:val="20"/>
                <w:szCs w:val="20"/>
                <w:color w:val="auto"/>
              </w:rPr>
            </w:pPr>
            <w:r>
              <w:rPr>
                <w:rFonts w:ascii="Arial" w:cs="Arial" w:eastAsia="Arial" w:hAnsi="Arial"/>
                <w:sz w:val="14"/>
                <w:szCs w:val="14"/>
                <w:b w:val="1"/>
                <w:bCs w:val="1"/>
                <w:color w:val="auto"/>
              </w:rPr>
              <w:t>ROIC Awards</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Borders>
              <w:top w:val="single" w:sz="8" w:color="auto"/>
            </w:tcBorders>
            <w:vMerge w:val="restart"/>
          </w:tcPr>
          <w:p>
            <w:pPr>
              <w:jc w:val="center"/>
              <w:ind w:left="302"/>
              <w:spacing w:after="0"/>
              <w:rPr>
                <w:sz w:val="20"/>
                <w:szCs w:val="20"/>
                <w:color w:val="auto"/>
              </w:rPr>
            </w:pPr>
            <w:r>
              <w:rPr>
                <w:rFonts w:ascii="Arial" w:cs="Arial" w:eastAsia="Arial" w:hAnsi="Arial"/>
                <w:sz w:val="14"/>
                <w:szCs w:val="14"/>
                <w:b w:val="1"/>
                <w:bCs w:val="1"/>
                <w:color w:val="auto"/>
                <w:w w:val="89"/>
              </w:rPr>
              <w:t>Shares</w:t>
            </w: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7"/>
              </w:rPr>
              <w:t>Grant Date</w:t>
            </w:r>
          </w:p>
        </w:tc>
        <w:tc>
          <w:tcPr>
            <w:tcW w:w="120" w:type="dxa"/>
            <w:vAlign w:val="bottom"/>
          </w:tcPr>
          <w:p>
            <w:pPr>
              <w:spacing w:after="0"/>
              <w:rPr>
                <w:sz w:val="11"/>
                <w:szCs w:val="11"/>
                <w:color w:val="auto"/>
              </w:rPr>
            </w:pPr>
          </w:p>
        </w:tc>
        <w:tc>
          <w:tcPr>
            <w:tcW w:w="2160" w:type="dxa"/>
            <w:vAlign w:val="bottom"/>
            <w:tcBorders>
              <w:top w:val="single" w:sz="8" w:color="auto"/>
            </w:tcBorders>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89"/>
              </w:rPr>
              <w:t>Shares</w:t>
            </w:r>
          </w:p>
        </w:tc>
        <w:tc>
          <w:tcPr>
            <w:tcW w:w="1220" w:type="dxa"/>
            <w:vAlign w:val="bottom"/>
            <w:tcBorders>
              <w:top w:val="single" w:sz="8" w:color="auto"/>
            </w:tcBorders>
          </w:tcPr>
          <w:p>
            <w:pPr>
              <w:jc w:val="center"/>
              <w:ind w:right="324"/>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35"/>
        </w:trPr>
        <w:tc>
          <w:tcPr>
            <w:tcW w:w="4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Award Year</w:t>
            </w:r>
          </w:p>
        </w:tc>
        <w:tc>
          <w:tcPr>
            <w:tcW w:w="128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Fair Value</w:t>
            </w:r>
          </w:p>
        </w:tc>
        <w:tc>
          <w:tcPr>
            <w:tcW w:w="2160" w:type="dxa"/>
            <w:vAlign w:val="bottom"/>
            <w:gridSpan w:val="3"/>
            <w:vMerge w:val="continue"/>
          </w:tcPr>
          <w:p>
            <w:pPr>
              <w:spacing w:after="0"/>
              <w:rPr>
                <w:sz w:val="11"/>
                <w:szCs w:val="11"/>
                <w:color w:val="auto"/>
              </w:rPr>
            </w:pPr>
          </w:p>
        </w:tc>
        <w:tc>
          <w:tcPr>
            <w:tcW w:w="1220" w:type="dxa"/>
            <w:vAlign w:val="bottom"/>
          </w:tcPr>
          <w:p>
            <w:pPr>
              <w:jc w:val="center"/>
              <w:ind w:right="344"/>
              <w:spacing w:after="0" w:line="135"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8"/>
        </w:trPr>
        <w:tc>
          <w:tcPr>
            <w:tcW w:w="4360" w:type="dxa"/>
            <w:vAlign w:val="bottom"/>
            <w:gridSpan w:val="2"/>
            <w:vMerge w:val="continue"/>
          </w:tcPr>
          <w:p>
            <w:pPr>
              <w:spacing w:after="0"/>
              <w:rPr>
                <w:sz w:val="16"/>
                <w:szCs w:val="16"/>
                <w:color w:val="auto"/>
              </w:rPr>
            </w:pPr>
          </w:p>
        </w:tc>
        <w:tc>
          <w:tcPr>
            <w:tcW w:w="1280" w:type="dxa"/>
            <w:vAlign w:val="bottom"/>
          </w:tcPr>
          <w:p>
            <w:pPr>
              <w:jc w:val="center"/>
              <w:ind w:left="282"/>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(per share)</w:t>
            </w:r>
          </w:p>
        </w:tc>
        <w:tc>
          <w:tcPr>
            <w:tcW w:w="21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1"/>
              </w:rPr>
              <w:t>(in thousands)</w:t>
            </w:r>
          </w:p>
        </w:tc>
        <w:tc>
          <w:tcPr>
            <w:tcW w:w="1220" w:type="dxa"/>
            <w:vAlign w:val="bottom"/>
          </w:tcPr>
          <w:p>
            <w:pPr>
              <w:jc w:val="center"/>
              <w:ind w:right="344"/>
              <w:spacing w:after="0"/>
              <w:rPr>
                <w:sz w:val="20"/>
                <w:szCs w:val="20"/>
                <w:color w:val="auto"/>
              </w:rPr>
            </w:pPr>
            <w:r>
              <w:rPr>
                <w:rFonts w:ascii="Arial" w:cs="Arial" w:eastAsia="Arial" w:hAnsi="Arial"/>
                <w:sz w:val="14"/>
                <w:szCs w:val="14"/>
                <w:b w:val="1"/>
                <w:bCs w:val="1"/>
                <w:color w:val="auto"/>
                <w:w w:val="93"/>
              </w:rPr>
              <w:t>(per share)</w:t>
            </w:r>
          </w:p>
        </w:tc>
        <w:tc>
          <w:tcPr>
            <w:tcW w:w="0" w:type="dxa"/>
            <w:vAlign w:val="bottom"/>
          </w:tcPr>
          <w:p>
            <w:pPr>
              <w:spacing w:after="0"/>
              <w:rPr>
                <w:sz w:val="1"/>
                <w:szCs w:val="1"/>
                <w:color w:val="auto"/>
              </w:rPr>
            </w:pPr>
          </w:p>
        </w:tc>
      </w:tr>
      <w:tr>
        <w:trPr>
          <w:trHeight w:val="224"/>
        </w:trPr>
        <w:tc>
          <w:tcPr>
            <w:tcW w:w="4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center"/>
              <w:ind w:left="302"/>
              <w:spacing w:after="0"/>
              <w:rPr>
                <w:sz w:val="20"/>
                <w:szCs w:val="20"/>
                <w:color w:val="auto"/>
              </w:rPr>
            </w:pPr>
            <w:r>
              <w:rPr>
                <w:rFonts w:ascii="Arial" w:cs="Arial" w:eastAsia="Arial" w:hAnsi="Arial"/>
                <w:sz w:val="18"/>
                <w:szCs w:val="18"/>
                <w:color w:val="auto"/>
                <w:w w:val="86"/>
              </w:rPr>
              <w:t>142</w:t>
            </w:r>
          </w:p>
        </w:tc>
        <w:tc>
          <w:tcPr>
            <w:tcW w:w="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$8.58</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172</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center"/>
              <w:ind w:right="344"/>
              <w:spacing w:after="0"/>
              <w:rPr>
                <w:sz w:val="20"/>
                <w:szCs w:val="20"/>
                <w:color w:val="auto"/>
              </w:rPr>
            </w:pPr>
            <w:r>
              <w:rPr>
                <w:rFonts w:ascii="Arial" w:cs="Arial" w:eastAsia="Arial" w:hAnsi="Arial"/>
                <w:sz w:val="18"/>
                <w:szCs w:val="18"/>
                <w:color w:val="auto"/>
                <w:w w:val="88"/>
              </w:rPr>
              <w:t>$7.20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recognize expense for ROIC Awards based on the probable outcome of the associated performance condition. We generally recognize an expense for ROIC Awards based on the Target Performance threshold of 100% because, at the date of grant, the Target Performance is the probable level of performance achievement.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status of unvested PSUs as of June 30, 2021, and changes during the six months then ended.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3500" w:type="dxa"/>
            <w:vAlign w:val="bottom"/>
            <w:gridSpan w:val="6"/>
          </w:tcPr>
          <w:p>
            <w:pPr>
              <w:ind w:left="960"/>
              <w:spacing w:after="0"/>
              <w:rPr>
                <w:sz w:val="20"/>
                <w:szCs w:val="20"/>
                <w:color w:val="auto"/>
              </w:rPr>
            </w:pPr>
            <w:r>
              <w:rPr>
                <w:rFonts w:ascii="Arial" w:cs="Arial" w:eastAsia="Arial" w:hAnsi="Arial"/>
                <w:sz w:val="14"/>
                <w:szCs w:val="14"/>
                <w:b w:val="1"/>
                <w:bCs w:val="1"/>
                <w:color w:val="auto"/>
              </w:rPr>
              <w:t>Nonvested TSR Awards</w:t>
            </w:r>
          </w:p>
        </w:tc>
        <w:tc>
          <w:tcPr>
            <w:tcW w:w="3380" w:type="dxa"/>
            <w:vAlign w:val="bottom"/>
            <w:gridSpan w:val="4"/>
          </w:tcPr>
          <w:p>
            <w:pPr>
              <w:ind w:left="900"/>
              <w:spacing w:after="0"/>
              <w:rPr>
                <w:sz w:val="20"/>
                <w:szCs w:val="20"/>
                <w:color w:val="auto"/>
              </w:rPr>
            </w:pPr>
            <w:r>
              <w:rPr>
                <w:rFonts w:ascii="Arial" w:cs="Arial" w:eastAsia="Arial" w:hAnsi="Arial"/>
                <w:sz w:val="14"/>
                <w:szCs w:val="14"/>
                <w:b w:val="1"/>
                <w:bCs w:val="1"/>
                <w:color w:val="auto"/>
              </w:rPr>
              <w:t>Nonvested ROIC Awards</w:t>
            </w:r>
          </w:p>
        </w:tc>
        <w:tc>
          <w:tcPr>
            <w:tcW w:w="0" w:type="dxa"/>
            <w:vAlign w:val="bottom"/>
          </w:tcPr>
          <w:p>
            <w:pPr>
              <w:spacing w:after="0"/>
              <w:rPr>
                <w:sz w:val="1"/>
                <w:szCs w:val="1"/>
                <w:color w:val="auto"/>
              </w:rPr>
            </w:pPr>
          </w:p>
        </w:tc>
      </w:tr>
      <w:tr>
        <w:trPr>
          <w:trHeight w:val="135"/>
        </w:trPr>
        <w:tc>
          <w:tcPr>
            <w:tcW w:w="436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200"/>
              <w:spacing w:after="0" w:line="135"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16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200"/>
              <w:spacing w:after="0" w:line="135"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43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0"/>
              </w:rPr>
              <w:t>Average</w:t>
            </w: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4360" w:type="dxa"/>
            <w:vAlign w:val="bottom"/>
          </w:tcPr>
          <w:p>
            <w:pPr>
              <w:spacing w:after="0"/>
              <w:rPr>
                <w:sz w:val="11"/>
                <w:szCs w:val="11"/>
                <w:color w:val="auto"/>
              </w:rPr>
            </w:pPr>
          </w:p>
        </w:tc>
        <w:tc>
          <w:tcPr>
            <w:tcW w:w="128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auto"/>
                <w:w w:val="89"/>
              </w:rPr>
              <w:t>Shares</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6"/>
              </w:rPr>
              <w:t>Grant-Date</w:t>
            </w:r>
          </w:p>
        </w:tc>
        <w:tc>
          <w:tcPr>
            <w:tcW w:w="164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jc w:val="center"/>
              <w:ind w:right="220"/>
              <w:spacing w:after="0" w:line="135"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35"/>
        </w:trPr>
        <w:tc>
          <w:tcPr>
            <w:tcW w:w="436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95"/>
              </w:rPr>
              <w:t>Fair Value</w:t>
            </w:r>
          </w:p>
        </w:tc>
        <w:tc>
          <w:tcPr>
            <w:tcW w:w="1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jc w:val="center"/>
              <w:ind w:right="220"/>
              <w:spacing w:after="0" w:line="135"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8"/>
        </w:trPr>
        <w:tc>
          <w:tcPr>
            <w:tcW w:w="4360" w:type="dxa"/>
            <w:vAlign w:val="bottom"/>
          </w:tcPr>
          <w:p>
            <w:pPr>
              <w:spacing w:after="0"/>
              <w:rPr>
                <w:sz w:val="16"/>
                <w:szCs w:val="16"/>
                <w:color w:val="auto"/>
              </w:rPr>
            </w:pPr>
          </w:p>
        </w:tc>
        <w:tc>
          <w:tcPr>
            <w:tcW w:w="1280" w:type="dxa"/>
            <w:vAlign w:val="bottom"/>
          </w:tcPr>
          <w:p>
            <w:pPr>
              <w:jc w:val="center"/>
              <w:ind w:left="288"/>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(per share)</w:t>
            </w:r>
          </w:p>
        </w:tc>
        <w:tc>
          <w:tcPr>
            <w:tcW w:w="1640" w:type="dxa"/>
            <w:vAlign w:val="bottom"/>
          </w:tcPr>
          <w:p>
            <w:pPr>
              <w:ind w:left="38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jc w:val="center"/>
              <w:ind w:right="220"/>
              <w:spacing w:after="0"/>
              <w:rPr>
                <w:sz w:val="20"/>
                <w:szCs w:val="20"/>
                <w:color w:val="auto"/>
              </w:rPr>
            </w:pPr>
            <w:r>
              <w:rPr>
                <w:rFonts w:ascii="Arial" w:cs="Arial" w:eastAsia="Arial" w:hAnsi="Arial"/>
                <w:sz w:val="14"/>
                <w:szCs w:val="14"/>
                <w:b w:val="1"/>
                <w:bCs w:val="1"/>
                <w:color w:val="auto"/>
                <w:w w:val="93"/>
              </w:rPr>
              <w:t>(per share)</w:t>
            </w:r>
          </w:p>
        </w:tc>
        <w:tc>
          <w:tcPr>
            <w:tcW w:w="0" w:type="dxa"/>
            <w:vAlign w:val="bottom"/>
          </w:tcPr>
          <w:p>
            <w:pPr>
              <w:spacing w:after="0"/>
              <w:rPr>
                <w:sz w:val="1"/>
                <w:szCs w:val="1"/>
                <w:color w:val="auto"/>
              </w:rPr>
            </w:pPr>
          </w:p>
        </w:tc>
      </w:tr>
      <w:tr>
        <w:trPr>
          <w:trHeight w:val="224"/>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January 1, 2021</w:t>
            </w:r>
          </w:p>
        </w:tc>
        <w:tc>
          <w:tcPr>
            <w:tcW w:w="12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138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rPr>
              <w:t>160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29"/>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360" w:type="dxa"/>
            <w:vAlign w:val="bottom"/>
          </w:tcPr>
          <w:p>
            <w:pPr>
              <w:ind w:left="2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19"/>
                <w:szCs w:val="19"/>
                <w:color w:val="auto"/>
              </w:rPr>
            </w:pPr>
          </w:p>
        </w:tc>
        <w:tc>
          <w:tcPr>
            <w:tcW w:w="1640" w:type="dxa"/>
            <w:vAlign w:val="bottom"/>
          </w:tcPr>
          <w:p>
            <w:pPr>
              <w:ind w:left="130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ind w:left="1320"/>
              <w:spacing w:after="0"/>
              <w:rPr>
                <w:sz w:val="20"/>
                <w:szCs w:val="20"/>
                <w:color w:val="auto"/>
              </w:rPr>
            </w:pPr>
            <w:r>
              <w:rPr>
                <w:rFonts w:ascii="Arial" w:cs="Arial" w:eastAsia="Arial" w:hAnsi="Arial"/>
                <w:sz w:val="18"/>
                <w:szCs w:val="18"/>
                <w:color w:val="auto"/>
                <w:w w:val="93"/>
              </w:rPr>
              <w:t>(71)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Nonvested at June 30, 2021</w:t>
            </w:r>
          </w:p>
        </w:tc>
        <w:tc>
          <w:tcPr>
            <w:tcW w:w="12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219</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9.55</w:t>
            </w:r>
          </w:p>
        </w:tc>
        <w:tc>
          <w:tcPr>
            <w:tcW w:w="120" w:type="dxa"/>
            <w:vAlign w:val="bottom"/>
          </w:tcPr>
          <w:p>
            <w:pPr>
              <w:spacing w:after="0"/>
              <w:rPr>
                <w:sz w:val="19"/>
                <w:szCs w:val="19"/>
                <w:color w:val="auto"/>
              </w:rPr>
            </w:pPr>
          </w:p>
        </w:tc>
        <w:tc>
          <w:tcPr>
            <w:tcW w:w="1640" w:type="dxa"/>
            <w:vAlign w:val="bottom"/>
            <w:tcBorders>
              <w:top w:val="single" w:sz="8" w:color="auto"/>
              <w:bottom w:val="single" w:sz="8" w:color="auto"/>
            </w:tcBorders>
          </w:tcPr>
          <w:p>
            <w:pPr>
              <w:ind w:left="1300"/>
              <w:spacing w:after="0"/>
              <w:rPr>
                <w:sz w:val="20"/>
                <w:szCs w:val="20"/>
                <w:color w:val="auto"/>
              </w:rPr>
            </w:pPr>
            <w:r>
              <w:rPr>
                <w:rFonts w:ascii="Arial" w:cs="Arial" w:eastAsia="Arial" w:hAnsi="Arial"/>
                <w:sz w:val="18"/>
                <w:szCs w:val="18"/>
                <w:color w:val="auto"/>
              </w:rPr>
              <w:t>261</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Vesting Estimates</w:t>
      </w:r>
    </w:p>
    <w:p>
      <w:pPr>
        <w:spacing w:after="0" w:line="11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During the six months ended June 30, 2021, we recognized a decrease in share-based compensation expense in continuing operations of $0.3 million in the “Selling, general, and administrative expense” line in the Condensed Consolidated Statements of Operations and Comprehensive Income (Loss) to reverse cumulative expense for restricted stock and PSU awards that were forfeited upon termination of employment and were in excess of our estimated forfeiture rate.</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Accumulated Other Comprehensive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components of accumulated other comprehensive income (“AOCI”).</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Foreign Currency</w:t>
            </w:r>
          </w:p>
        </w:tc>
        <w:tc>
          <w:tcPr>
            <w:tcW w:w="14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Interest rate swap</w:t>
            </w:r>
          </w:p>
        </w:tc>
        <w:tc>
          <w:tcPr>
            <w:tcW w:w="12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Income taxes (1)</w:t>
            </w:r>
          </w:p>
        </w:tc>
        <w:tc>
          <w:tcPr>
            <w:tcW w:w="300" w:type="dxa"/>
            <w:vAlign w:val="bottom"/>
          </w:tcPr>
          <w:p>
            <w:pPr>
              <w:spacing w:after="0"/>
              <w:rPr>
                <w:sz w:val="14"/>
                <w:szCs w:val="14"/>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Translation</w:t>
            </w:r>
          </w:p>
        </w:tc>
        <w:tc>
          <w:tcPr>
            <w:tcW w:w="14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(34,228)</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(34,228)</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Net other comprehensive income (loss)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4,409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4,409</w:t>
            </w:r>
          </w:p>
        </w:tc>
        <w:tc>
          <w:tcPr>
            <w:tcW w:w="0" w:type="dxa"/>
            <w:vAlign w:val="bottom"/>
          </w:tcPr>
          <w:p>
            <w:pPr>
              <w:spacing w:after="0"/>
              <w:rPr>
                <w:sz w:val="1"/>
                <w:szCs w:val="1"/>
                <w:color w:val="auto"/>
              </w:rPr>
            </w:pPr>
          </w:p>
        </w:tc>
      </w:tr>
      <w:tr>
        <w:trPr>
          <w:trHeight w:val="248"/>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2021</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(29,819)</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March 31, 2020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(49,501)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(25,463)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(69,053)</w:t>
            </w:r>
          </w:p>
        </w:tc>
        <w:tc>
          <w:tcPr>
            <w:tcW w:w="0" w:type="dxa"/>
            <w:vAlign w:val="bottom"/>
          </w:tcPr>
          <w:p>
            <w:pPr>
              <w:spacing w:after="0"/>
              <w:rPr>
                <w:sz w:val="1"/>
                <w:szCs w:val="1"/>
                <w:color w:val="auto"/>
              </w:rPr>
            </w:pPr>
          </w:p>
        </w:tc>
      </w:tr>
      <w:tr>
        <w:trPr>
          <w:trHeight w:val="223"/>
        </w:trPr>
        <w:tc>
          <w:tcPr>
            <w:tcW w:w="5660" w:type="dxa"/>
            <w:vAlign w:val="bottom"/>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 to interest expense (2)</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other comprehensive income (loss)</w:t>
            </w: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1,801</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2,377</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(66,676)</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Foreign Currency</w:t>
            </w:r>
          </w:p>
        </w:tc>
        <w:tc>
          <w:tcPr>
            <w:tcW w:w="14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Interest rate swap</w:t>
            </w:r>
          </w:p>
        </w:tc>
        <w:tc>
          <w:tcPr>
            <w:tcW w:w="12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Income taxes (1)</w:t>
            </w:r>
          </w:p>
        </w:tc>
        <w:tc>
          <w:tcPr>
            <w:tcW w:w="300" w:type="dxa"/>
            <w:vAlign w:val="bottom"/>
          </w:tcPr>
          <w:p>
            <w:pPr>
              <w:spacing w:after="0"/>
              <w:rPr>
                <w:sz w:val="14"/>
                <w:szCs w:val="14"/>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Translation</w:t>
            </w:r>
          </w:p>
        </w:tc>
        <w:tc>
          <w:tcPr>
            <w:tcW w:w="14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(30,881)</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(33,732)</w:t>
            </w:r>
          </w:p>
        </w:tc>
        <w:tc>
          <w:tcPr>
            <w:tcW w:w="0" w:type="dxa"/>
            <w:vAlign w:val="bottom"/>
          </w:tcPr>
          <w:p>
            <w:pPr>
              <w:spacing w:after="0"/>
              <w:rPr>
                <w:sz w:val="1"/>
                <w:szCs w:val="1"/>
                <w:color w:val="auto"/>
              </w:rPr>
            </w:pPr>
          </w:p>
        </w:tc>
      </w:tr>
      <w:tr>
        <w:trPr>
          <w:trHeight w:val="223"/>
        </w:trPr>
        <w:tc>
          <w:tcPr>
            <w:tcW w:w="5660" w:type="dxa"/>
            <w:vAlign w:val="bottom"/>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 to loss on interest rate swap (3)</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current-period other comprehensive income (loss)</w:t>
            </w: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3,712</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3,913</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(29,819)</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(35,159)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(44,554)</w:t>
            </w:r>
          </w:p>
        </w:tc>
        <w:tc>
          <w:tcPr>
            <w:tcW w:w="0" w:type="dxa"/>
            <w:vAlign w:val="bottom"/>
          </w:tcPr>
          <w:p>
            <w:pPr>
              <w:spacing w:after="0"/>
              <w:rPr>
                <w:sz w:val="1"/>
                <w:szCs w:val="1"/>
                <w:color w:val="auto"/>
              </w:rPr>
            </w:pPr>
          </w:p>
        </w:tc>
      </w:tr>
      <w:tr>
        <w:trPr>
          <w:trHeight w:val="223"/>
        </w:trPr>
        <w:tc>
          <w:tcPr>
            <w:tcW w:w="5660" w:type="dxa"/>
            <w:vAlign w:val="bottom"/>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3,770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(25,812)</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 to interest expense (2)</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current-period other comprehensive income (loss)</w:t>
            </w: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(13,348)</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(11,428)</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2,654</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(22,122)</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(66,676)</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63" w:lineRule="exact"/>
        <w:rPr>
          <w:sz w:val="20"/>
          <w:szCs w:val="20"/>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Income tax effect of changes in interest rate swap.</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settlements on the interest rate swap while the hedge was effective.</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reclassification of derivative loss and settlements after discontinuation of hedge accounting.</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Net Income (Loss) Per Common Share</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accordance with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 company that has participating securities is required to utilize the two-class method for calculating earnings per share (“EPS”) unless the treasury stock method results in lower EPS. The two-class method is an allocation of earnings between the holders of common stock and a company’s participating securities. Basic EPS is calculated by dividing income or loss attributable to common stockholders by the weighted average number of shares of common stock outstanding. To calculate diluted EPS, basic EPS is further adjusted to include the effect of potentially dilutive stock options, warrants, and convertible preferred stock.</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computation of basic and diluted net loss per common share.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44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5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220"/>
              <w:spacing w:after="0"/>
              <w:rPr>
                <w:sz w:val="20"/>
                <w:szCs w:val="20"/>
                <w:color w:val="auto"/>
              </w:rPr>
            </w:pPr>
            <w:r>
              <w:rPr>
                <w:rFonts w:ascii="Arial" w:cs="Arial" w:eastAsia="Arial" w:hAnsi="Arial"/>
                <w:sz w:val="18"/>
                <w:szCs w:val="18"/>
                <w:color w:val="auto"/>
              </w:rPr>
              <w:t>Loss from continuing operations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(5,391)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(17,566)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(10,304)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(125,643)</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8"/>
              </w:rPr>
              <w:t>Less: Preferred stock cumulative dividends and deemed dividends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(5,994)</w:t>
            </w:r>
          </w:p>
        </w:tc>
        <w:tc>
          <w:tcPr>
            <w:tcW w:w="0" w:type="dxa"/>
            <w:vAlign w:val="bottom"/>
          </w:tcPr>
          <w:p>
            <w:pPr>
              <w:spacing w:after="0"/>
              <w:rPr>
                <w:sz w:val="1"/>
                <w:szCs w:val="1"/>
                <w:color w:val="auto"/>
              </w:rPr>
            </w:pPr>
          </w:p>
        </w:tc>
      </w:tr>
      <w:tr>
        <w:trPr>
          <w:trHeight w:val="155"/>
        </w:trPr>
        <w:tc>
          <w:tcPr>
            <w:tcW w:w="5660" w:type="dxa"/>
            <w:vAlign w:val="bottom"/>
          </w:tcPr>
          <w:p>
            <w:pPr>
              <w:ind w:left="240"/>
              <w:spacing w:after="0" w:line="156" w:lineRule="exact"/>
              <w:rPr>
                <w:sz w:val="20"/>
                <w:szCs w:val="20"/>
                <w:color w:val="auto"/>
              </w:rPr>
            </w:pPr>
            <w:r>
              <w:rPr>
                <w:rFonts w:ascii="Arial" w:cs="Arial" w:eastAsia="Arial" w:hAnsi="Arial"/>
                <w:sz w:val="18"/>
                <w:szCs w:val="18"/>
                <w:color w:val="auto"/>
              </w:rPr>
              <w:t>Numerator for basic and diluted loss from continuing operations per</w:t>
            </w:r>
          </w:p>
        </w:tc>
        <w:tc>
          <w:tcPr>
            <w:tcW w:w="3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(7,602)</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(20,609)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(27,044)</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(131,637)</w:t>
            </w:r>
          </w:p>
        </w:tc>
        <w:tc>
          <w:tcPr>
            <w:tcW w:w="0" w:type="dxa"/>
            <w:vAlign w:val="bottom"/>
          </w:tcPr>
          <w:p>
            <w:pPr>
              <w:spacing w:after="0"/>
              <w:rPr>
                <w:sz w:val="1"/>
                <w:szCs w:val="1"/>
                <w:color w:val="auto"/>
              </w:rPr>
            </w:pPr>
          </w:p>
        </w:tc>
      </w:tr>
      <w:tr>
        <w:trPr>
          <w:trHeight w:val="230"/>
        </w:trPr>
        <w:tc>
          <w:tcPr>
            <w:tcW w:w="5660" w:type="dxa"/>
            <w:vAlign w:val="bottom"/>
          </w:tcPr>
          <w:p>
            <w:pPr>
              <w:ind w:left="240"/>
              <w:spacing w:after="0"/>
              <w:rPr>
                <w:sz w:val="20"/>
                <w:szCs w:val="20"/>
                <w:color w:val="auto"/>
              </w:rPr>
            </w:pPr>
            <w:r>
              <w:rPr>
                <w:rFonts w:ascii="Arial" w:cs="Arial" w:eastAsia="Arial" w:hAnsi="Arial"/>
                <w:sz w:val="18"/>
                <w:szCs w:val="18"/>
                <w:color w:val="auto"/>
              </w:rPr>
              <w:t>common share (1)</w:t>
            </w: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from discontinued operations, net of tax (Note 2)</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(144,296)</w:t>
            </w:r>
          </w:p>
        </w:tc>
        <w:tc>
          <w:tcPr>
            <w:tcW w:w="0" w:type="dxa"/>
            <w:vAlign w:val="bottom"/>
          </w:tcPr>
          <w:p>
            <w:pPr>
              <w:spacing w:after="0"/>
              <w:rPr>
                <w:sz w:val="1"/>
                <w:szCs w:val="1"/>
                <w:color w:val="auto"/>
              </w:rPr>
            </w:pPr>
          </w:p>
        </w:tc>
      </w:tr>
      <w:tr>
        <w:trPr>
          <w:trHeight w:val="156"/>
        </w:trPr>
        <w:tc>
          <w:tcPr>
            <w:tcW w:w="5660" w:type="dxa"/>
            <w:vAlign w:val="bottom"/>
          </w:tcPr>
          <w:p>
            <w:pPr>
              <w:ind w:left="220"/>
              <w:spacing w:after="0" w:line="156" w:lineRule="exact"/>
              <w:rPr>
                <w:sz w:val="20"/>
                <w:szCs w:val="20"/>
                <w:color w:val="auto"/>
              </w:rPr>
            </w:pPr>
            <w:r>
              <w:rPr>
                <w:rFonts w:ascii="Arial" w:cs="Arial" w:eastAsia="Arial" w:hAnsi="Arial"/>
                <w:sz w:val="18"/>
                <w:szCs w:val="18"/>
                <w:color w:val="auto"/>
                <w:w w:val="93"/>
              </w:rPr>
              <w:t>Numerator for basic and diluted undistributed net loss per common share</w:t>
            </w: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(7,602)</w:t>
            </w:r>
          </w:p>
        </w:tc>
        <w:tc>
          <w:tcPr>
            <w:tcW w:w="100" w:type="dxa"/>
            <w:vAlign w:val="bottom"/>
          </w:tcPr>
          <w:p>
            <w:pPr>
              <w:spacing w:after="0"/>
              <w:rPr>
                <w:sz w:val="13"/>
                <w:szCs w:val="13"/>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(24,791)</w:t>
            </w:r>
          </w:p>
        </w:tc>
        <w:tc>
          <w:tcPr>
            <w:tcW w:w="100" w:type="dxa"/>
            <w:vAlign w:val="bottom"/>
          </w:tcPr>
          <w:p>
            <w:pPr>
              <w:spacing w:after="0"/>
              <w:rPr>
                <w:sz w:val="13"/>
                <w:szCs w:val="13"/>
                <w:color w:val="auto"/>
              </w:rPr>
            </w:pPr>
          </w:p>
        </w:tc>
        <w:tc>
          <w:tcPr>
            <w:tcW w:w="30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(27,044)</w:t>
            </w:r>
          </w:p>
        </w:tc>
        <w:tc>
          <w:tcPr>
            <w:tcW w:w="120" w:type="dxa"/>
            <w:vAlign w:val="bottom"/>
          </w:tcPr>
          <w:p>
            <w:pPr>
              <w:spacing w:after="0"/>
              <w:rPr>
                <w:sz w:val="13"/>
                <w:szCs w:val="13"/>
                <w:color w:val="auto"/>
              </w:rPr>
            </w:pPr>
          </w:p>
        </w:tc>
        <w:tc>
          <w:tcPr>
            <w:tcW w:w="36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(275,933)</w:t>
            </w:r>
          </w:p>
        </w:tc>
        <w:tc>
          <w:tcPr>
            <w:tcW w:w="0" w:type="dxa"/>
            <w:vAlign w:val="bottom"/>
          </w:tcPr>
          <w:p>
            <w:pPr>
              <w:spacing w:after="0"/>
              <w:rPr>
                <w:sz w:val="1"/>
                <w:szCs w:val="1"/>
                <w:color w:val="auto"/>
              </w:rPr>
            </w:pPr>
          </w:p>
        </w:tc>
      </w:tr>
      <w:tr>
        <w:trPr>
          <w:trHeight w:val="208"/>
        </w:trPr>
        <w:tc>
          <w:tcPr>
            <w:tcW w:w="5660" w:type="dxa"/>
            <w:vAlign w:val="bottom"/>
          </w:tcPr>
          <w:p>
            <w:pPr>
              <w:ind w:left="220"/>
              <w:spacing w:after="0" w:line="202" w:lineRule="exact"/>
              <w:rPr>
                <w:sz w:val="20"/>
                <w:szCs w:val="20"/>
                <w:color w:val="auto"/>
              </w:rPr>
            </w:pPr>
            <w:r>
              <w:rPr>
                <w:rFonts w:ascii="Arial" w:cs="Arial" w:eastAsia="Arial" w:hAnsi="Arial"/>
                <w:sz w:val="18"/>
                <w:szCs w:val="18"/>
                <w:color w:val="auto"/>
              </w:rPr>
              <w:t>(1)</w:t>
            </w:r>
          </w:p>
        </w:tc>
        <w:tc>
          <w:tcPr>
            <w:tcW w:w="32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42,952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42,671</w:t>
            </w:r>
          </w:p>
        </w:tc>
        <w:tc>
          <w:tcPr>
            <w:tcW w:w="0" w:type="dxa"/>
            <w:vAlign w:val="bottom"/>
          </w:tcPr>
          <w:p>
            <w:pPr>
              <w:spacing w:after="0"/>
              <w:rPr>
                <w:sz w:val="1"/>
                <w:szCs w:val="1"/>
                <w:color w:val="auto"/>
              </w:rPr>
            </w:pPr>
          </w:p>
        </w:tc>
      </w:tr>
      <w:tr>
        <w:trPr>
          <w:trHeight w:val="229"/>
        </w:trPr>
        <w:tc>
          <w:tcPr>
            <w:tcW w:w="5660" w:type="dxa"/>
            <w:vAlign w:val="bottom"/>
          </w:tcPr>
          <w:p>
            <w:pPr>
              <w:ind w:left="440"/>
              <w:spacing w:after="0"/>
              <w:rPr>
                <w:sz w:val="20"/>
                <w:szCs w:val="20"/>
                <w:color w:val="auto"/>
              </w:rPr>
            </w:pPr>
            <w:r>
              <w:rPr>
                <w:rFonts w:ascii="Arial" w:cs="Arial" w:eastAsia="Arial" w:hAnsi="Arial"/>
                <w:sz w:val="18"/>
                <w:szCs w:val="18"/>
                <w:color w:val="auto"/>
              </w:rPr>
              <w:t>Adjustment for unvested restricted common stock</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 for 2021 Warrants outstanding (2)</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660" w:type="dxa"/>
            <w:vAlign w:val="bottom"/>
          </w:tcPr>
          <w:p>
            <w:pPr>
              <w:ind w:left="220"/>
              <w:spacing w:after="0" w:line="196" w:lineRule="exact"/>
              <w:rPr>
                <w:sz w:val="20"/>
                <w:szCs w:val="20"/>
                <w:color w:val="auto"/>
              </w:rPr>
            </w:pPr>
            <w:r>
              <w:rPr>
                <w:rFonts w:ascii="Arial" w:cs="Arial" w:eastAsia="Arial" w:hAnsi="Arial"/>
                <w:sz w:val="18"/>
                <w:szCs w:val="18"/>
                <w:color w:val="auto"/>
              </w:rPr>
              <w:t>Shares used to calculate income (loss) per share, basic and diluted</w:t>
            </w: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44,440</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42,197</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43,561</w:t>
            </w:r>
          </w:p>
        </w:tc>
        <w:tc>
          <w:tcPr>
            <w:tcW w:w="1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42,154</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Per common share net loss: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loss from continuing operations per common share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29"/>
        </w:trPr>
        <w:tc>
          <w:tcPr>
            <w:tcW w:w="5660" w:type="dxa"/>
            <w:vAlign w:val="bottom"/>
          </w:tcPr>
          <w:p>
            <w:pPr>
              <w:ind w:left="220"/>
              <w:spacing w:after="0"/>
              <w:rPr>
                <w:sz w:val="20"/>
                <w:szCs w:val="20"/>
                <w:color w:val="auto"/>
              </w:rPr>
            </w:pPr>
            <w:r>
              <w:rPr>
                <w:rFonts w:ascii="Arial" w:cs="Arial" w:eastAsia="Arial" w:hAnsi="Arial"/>
                <w:sz w:val="18"/>
                <w:szCs w:val="18"/>
                <w:color w:val="auto"/>
              </w:rPr>
              <w:t>Basic loss from discontinued operations per common share</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48"/>
        </w:trPr>
        <w:tc>
          <w:tcPr>
            <w:tcW w:w="56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 net loss per common share</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Diluted loss from continuing operations per common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60" w:type="dxa"/>
            <w:vAlign w:val="bottom"/>
            <w:vMerge w:val="continue"/>
          </w:tcPr>
          <w:p>
            <w:pPr>
              <w:spacing w:after="0"/>
              <w:rPr>
                <w:sz w:val="17"/>
                <w:szCs w:val="17"/>
                <w:color w:val="auto"/>
              </w:rPr>
            </w:pPr>
          </w:p>
        </w:tc>
        <w:tc>
          <w:tcPr>
            <w:tcW w:w="32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(0.17)</w:t>
            </w:r>
          </w:p>
        </w:tc>
        <w:tc>
          <w:tcPr>
            <w:tcW w:w="100" w:type="dxa"/>
            <w:vAlign w:val="bottom"/>
          </w:tcPr>
          <w:p>
            <w:pPr>
              <w:spacing w:after="0"/>
              <w:rPr>
                <w:sz w:val="17"/>
                <w:szCs w:val="17"/>
                <w:color w:val="auto"/>
              </w:rPr>
            </w:pPr>
          </w:p>
        </w:tc>
        <w:tc>
          <w:tcPr>
            <w:tcW w:w="360" w:type="dxa"/>
            <w:vAlign w:val="bottom"/>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(0.49)</w:t>
            </w:r>
          </w:p>
        </w:tc>
        <w:tc>
          <w:tcPr>
            <w:tcW w:w="100" w:type="dxa"/>
            <w:vAlign w:val="bottom"/>
          </w:tcPr>
          <w:p>
            <w:pPr>
              <w:spacing w:after="0"/>
              <w:rPr>
                <w:sz w:val="17"/>
                <w:szCs w:val="17"/>
                <w:color w:val="auto"/>
              </w:rPr>
            </w:pPr>
          </w:p>
        </w:tc>
        <w:tc>
          <w:tcPr>
            <w:tcW w:w="30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(0.62)</w:t>
            </w:r>
          </w:p>
        </w:tc>
        <w:tc>
          <w:tcPr>
            <w:tcW w:w="120" w:type="dxa"/>
            <w:vAlign w:val="bottom"/>
          </w:tcPr>
          <w:p>
            <w:pPr>
              <w:spacing w:after="0"/>
              <w:rPr>
                <w:sz w:val="17"/>
                <w:szCs w:val="17"/>
                <w:color w:val="auto"/>
              </w:rPr>
            </w:pPr>
          </w:p>
        </w:tc>
        <w:tc>
          <w:tcPr>
            <w:tcW w:w="360" w:type="dxa"/>
            <w:vAlign w:val="bottom"/>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 loss from discontinued operations per common share</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23"/>
        </w:trPr>
        <w:tc>
          <w:tcPr>
            <w:tcW w:w="5660" w:type="dxa"/>
            <w:vAlign w:val="bottom"/>
          </w:tcPr>
          <w:p>
            <w:pPr>
              <w:ind w:left="220"/>
              <w:spacing w:after="0"/>
              <w:rPr>
                <w:sz w:val="20"/>
                <w:szCs w:val="20"/>
                <w:color w:val="auto"/>
              </w:rPr>
            </w:pPr>
            <w:r>
              <w:rPr>
                <w:rFonts w:ascii="Arial" w:cs="Arial" w:eastAsia="Arial" w:hAnsi="Arial"/>
                <w:sz w:val="18"/>
                <w:szCs w:val="18"/>
                <w:color w:val="auto"/>
              </w:rPr>
              <w:t>Diluted net loss per common share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920" w:hanging="264"/>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Preferred Stock does not participate in losses.</w:t>
      </w:r>
    </w:p>
    <w:p>
      <w:pPr>
        <w:spacing w:after="0" w:line="63" w:lineRule="exact"/>
        <w:rPr>
          <w:rFonts w:ascii="Arial" w:cs="Arial" w:eastAsia="Arial" w:hAnsi="Arial"/>
          <w:sz w:val="18"/>
          <w:szCs w:val="18"/>
          <w:color w:val="auto"/>
        </w:rPr>
      </w:pPr>
    </w:p>
    <w:p>
      <w:pPr>
        <w:ind w:left="900" w:right="280" w:hanging="244"/>
        <w:spacing w:after="0" w:line="277" w:lineRule="auto"/>
        <w:tabs>
          <w:tab w:leader="none" w:pos="912"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Weighted average 2021 Warrants outstanding are included in shares outstanding for calculation of basic earnings per share because they are exercisable at an exercise price of $0.01 per share, subject to certain adjustments (see Note 17).</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following table presents securities that could be potentially dilutive in the future that were excluded from the calculation of diluted net loss per common share because they had an anti-dilutive effect.</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8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2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88"/>
        </w:trPr>
        <w:tc>
          <w:tcPr>
            <w:tcW w:w="5620" w:type="dxa"/>
            <w:vAlign w:val="bottom"/>
          </w:tcPr>
          <w:p>
            <w:pPr>
              <w:spacing w:after="0"/>
              <w:rPr>
                <w:sz w:val="16"/>
                <w:szCs w:val="16"/>
                <w:color w:val="auto"/>
              </w:rPr>
            </w:pPr>
          </w:p>
        </w:tc>
        <w:tc>
          <w:tcPr>
            <w:tcW w:w="1780" w:type="dxa"/>
            <w:vAlign w:val="bottom"/>
            <w:tcBorders>
              <w:bottom w:val="single" w:sz="8" w:color="auto"/>
            </w:tcBorders>
            <w:gridSpan w:val="3"/>
          </w:tcPr>
          <w:p>
            <w:pPr>
              <w:jc w:val="center"/>
              <w:ind w:left="898"/>
              <w:spacing w:after="0"/>
              <w:rPr>
                <w:sz w:val="20"/>
                <w:szCs w:val="20"/>
                <w:color w:val="auto"/>
              </w:rPr>
            </w:pPr>
            <w:r>
              <w:rPr>
                <w:rFonts w:ascii="Arial" w:cs="Arial" w:eastAsia="Arial" w:hAnsi="Arial"/>
                <w:sz w:val="14"/>
                <w:szCs w:val="14"/>
                <w:b w:val="1"/>
                <w:bCs w:val="1"/>
                <w:color w:val="auto"/>
                <w:w w:val="92"/>
              </w:rPr>
              <w:t>June 30,</w:t>
            </w:r>
          </w:p>
        </w:tc>
        <w:tc>
          <w:tcPr>
            <w:tcW w:w="9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Borders>
              <w:bottom w:val="single" w:sz="8" w:color="auto"/>
            </w:tcBorders>
            <w:gridSpan w:val="3"/>
          </w:tcPr>
          <w:p>
            <w:pPr>
              <w:jc w:val="center"/>
              <w:ind w:left="878"/>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tcBorders>
              <w:bottom w:val="single" w:sz="8" w:color="auto"/>
            </w:tcBorders>
          </w:tcPr>
          <w:p>
            <w:pPr>
              <w:spacing w:after="0"/>
              <w:rPr>
                <w:sz w:val="16"/>
                <w:szCs w:val="16"/>
                <w:color w:val="auto"/>
              </w:rPr>
            </w:pPr>
          </w:p>
        </w:tc>
      </w:tr>
      <w:tr>
        <w:trPr>
          <w:trHeight w:val="183"/>
        </w:trPr>
        <w:tc>
          <w:tcPr>
            <w:tcW w:w="562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r>
      <w:tr>
        <w:trPr>
          <w:trHeight w:val="224"/>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2019 Warrants</w:t>
            </w:r>
          </w:p>
        </w:tc>
        <w:tc>
          <w:tcPr>
            <w:tcW w:w="132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1,500</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B Preferred Stock, as-converted</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25,278</w:t>
            </w:r>
          </w:p>
        </w:tc>
        <w:tc>
          <w:tcPr>
            <w:tcW w:w="14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25,278</w:t>
            </w:r>
          </w:p>
        </w:tc>
      </w:tr>
      <w:tr>
        <w:trPr>
          <w:trHeight w:val="223"/>
        </w:trPr>
        <w:tc>
          <w:tcPr>
            <w:tcW w:w="56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2,325</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27,668</w:t>
            </w:r>
          </w:p>
        </w:tc>
        <w:tc>
          <w:tcPr>
            <w:tcW w:w="14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2,343</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27,668</w:t>
            </w:r>
          </w:p>
        </w:tc>
      </w:tr>
      <w:tr>
        <w:trPr>
          <w:trHeight w:val="20"/>
        </w:trPr>
        <w:tc>
          <w:tcPr>
            <w:tcW w:w="5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We have elected to allocate undistributed income to participating securities based on year-to-date results. As there was no undistributed income for the three and six months ended June 30, 2021, no such allocation was necessary. In addition, given the undistributed loss from continuing operations in the three and six months ended June 30, 2021 and 2020, options and the 2019 Warrants are considered anti-dilutive and were excluded from the calculation of diluted net loss per share. Stock options excluded from the calculations of diluted net loss per share had a per share exercise price ranging from $7.93 to $25.16 for the three months ended June 30, 2021, and $7.93 to $25.16 for three months ended June 30, 2020. Stock options excluded from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calculations of diluted net income (loss) per share had a per share exercise price ranging from $7.93 to $25.16 for the six months ended June 30, 2021, and $7.93 to $25.16 for six months ended June 30, 2020. The 2019 Warrants excluded from the calculation of diluted net loss per share for the three and six months ended June 30, 2021, had a per share exercise price of $11.49. Series B Preferred Stock excluded from the calculation of diluted net loss per share for the three and six months ended June 30, 2020, was calculated on an as-converted basis.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Fair Value Measurements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Fair value is an exit price representing the expected amount that an entity would receive to sell an asset or pay to transfer a liability in an orderly transaction with market participants at the measurement date. We followed consistent methods and assumptions to estimate fair values as more fully described in the 2020 Annual Report.</w:t>
      </w:r>
    </w:p>
    <w:p>
      <w:pPr>
        <w:spacing w:after="0" w:line="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Fair value principles prioritize valuation inputs across three broad levels.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assumptions used to measure assets and liabilities at fair value. An asset or liability’s classification within the various levels is determined based on the lowest level input that is significant to the fair value measurement.</w:t>
      </w:r>
    </w:p>
    <w:p>
      <w:pPr>
        <w:spacing w:after="0" w:line="8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financial instruments that are subject to fair value disclosure consist of cash and cash equivalents, accounts receivable, accounts payable, derivatives, and long-term debt. As of June 30, 2021, the carrying values of these financial instruments approximated fair value.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Certain features were bifurcated and accounted for separately from the Series B Preferred Stock. The following features were recorded as derivatives.</w:t>
      </w:r>
    </w:p>
    <w:p>
      <w:pPr>
        <w:spacing w:after="0" w:line="140" w:lineRule="exact"/>
        <w:rPr>
          <w:sz w:val="20"/>
          <w:szCs w:val="20"/>
          <w:color w:val="auto"/>
        </w:rPr>
      </w:pPr>
    </w:p>
    <w:p>
      <w:pPr>
        <w:ind w:left="660" w:right="160" w:hanging="328"/>
        <w:spacing w:after="0" w:line="301" w:lineRule="auto"/>
        <w:tabs>
          <w:tab w:leader="none" w:pos="655"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Leverage ratio put feature. </w:t>
      </w:r>
      <w:r>
        <w:rPr>
          <w:rFonts w:ascii="Arial" w:cs="Arial" w:eastAsia="Arial" w:hAnsi="Arial"/>
          <w:sz w:val="16"/>
          <w:szCs w:val="16"/>
          <w:color w:val="auto"/>
        </w:rPr>
        <w:t>The Series B Preferred Stock included a redemption option based on a leverage ratio threshold that provided the</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holder the option to convert the Series B Preferred Stock to a variable number of shares of common stock at a discount to the then fair value of our common stock. The conversion feature was considered a redemption right at a premium which was not clearly and closely related to the debt host. The conversion feature was terminated upon redemption of the Series B Preferred Stock in March 2021.</w:t>
      </w:r>
    </w:p>
    <w:p>
      <w:pPr>
        <w:spacing w:after="0" w:line="49" w:lineRule="exact"/>
        <w:rPr>
          <w:rFonts w:ascii="Arial" w:cs="Arial" w:eastAsia="Arial" w:hAnsi="Arial"/>
          <w:sz w:val="16"/>
          <w:szCs w:val="16"/>
          <w:i w:val="1"/>
          <w:iCs w:val="1"/>
          <w:color w:val="auto"/>
        </w:rPr>
      </w:pPr>
    </w:p>
    <w:p>
      <w:pPr>
        <w:ind w:left="660" w:right="60" w:hanging="328"/>
        <w:spacing w:after="0" w:line="275"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Dividends withholding. </w:t>
      </w:r>
      <w:r>
        <w:rPr>
          <w:rFonts w:ascii="Arial" w:cs="Arial" w:eastAsia="Arial" w:hAnsi="Arial"/>
          <w:sz w:val="17"/>
          <w:szCs w:val="17"/>
          <w:color w:val="auto"/>
        </w:rPr>
        <w:t>The Series B Preferred Stock bore a feature that could require us to make an effective distribution to purchasers which is</w:t>
      </w:r>
      <w:r>
        <w:rPr>
          <w:rFonts w:ascii="Arial" w:cs="Arial" w:eastAsia="Arial" w:hAnsi="Arial"/>
          <w:sz w:val="17"/>
          <w:szCs w:val="17"/>
          <w:i w:val="1"/>
          <w:iCs w:val="1"/>
          <w:color w:val="auto"/>
        </w:rPr>
        <w:t xml:space="preserve"> </w:t>
      </w:r>
      <w:r>
        <w:rPr>
          <w:rFonts w:ascii="Arial" w:cs="Arial" w:eastAsia="Arial" w:hAnsi="Arial"/>
          <w:sz w:val="17"/>
          <w:szCs w:val="17"/>
          <w:color w:val="auto"/>
        </w:rPr>
        <w:t>indexed to the tax rate of the purchasers. This distribution would be partially offset by an adjustment to the redemption price and/or conversion rate. The dividends withholding feature was not clearly and closely related to the debt host. Upon redemption of the Series B Preferred Stock in March 2021, we made a net cash distribution of $3.0 million to settle this withholding feature after effectively receiving a $1.0 million offset from the purchasers upon redemption of the Series B Preferred Stock.</w:t>
      </w:r>
    </w:p>
    <w:p>
      <w:pPr>
        <w:spacing w:after="0" w:line="68" w:lineRule="exact"/>
        <w:rPr>
          <w:rFonts w:ascii="Arial" w:cs="Arial" w:eastAsia="Arial" w:hAnsi="Arial"/>
          <w:sz w:val="17"/>
          <w:szCs w:val="17"/>
          <w:color w:val="auto"/>
        </w:rPr>
      </w:pPr>
    </w:p>
    <w:p>
      <w:pPr>
        <w:ind w:left="660" w:right="20" w:hanging="328"/>
        <w:spacing w:after="0" w:line="279"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Warrants. </w:t>
      </w:r>
      <w:r>
        <w:rPr>
          <w:rFonts w:ascii="Arial" w:cs="Arial" w:eastAsia="Arial" w:hAnsi="Arial"/>
          <w:sz w:val="17"/>
          <w:szCs w:val="17"/>
          <w:color w:val="auto"/>
        </w:rPr>
        <w:t>The warrants issued with the Series B Preferred Stock (the “2019 Warrants”) are exercisable, in full or in part, at any time prior to</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11, 2026. The original exercise price was $12.00 per share, subject to anti-dilution adjustments in the event of future below market issuances, stock splits, stock dividends, combinations or similar events. The issuance of the 2021 Warrants resulted in an adjusted exercise price of $11.49 per share for the 2019 Warrants because the new warrants have an exercise price below market value.</w:t>
      </w:r>
    </w:p>
    <w:p>
      <w:pPr>
        <w:spacing w:after="0" w:line="6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Certain features were bifurcated and accounted for separately from the Series D Preferred Stock that was issued on March 22, 2021. The following features were recorded as derivatives.</w:t>
      </w:r>
    </w:p>
    <w:p>
      <w:pPr>
        <w:spacing w:after="0" w:line="62" w:lineRule="exact"/>
        <w:rPr>
          <w:sz w:val="20"/>
          <w:szCs w:val="20"/>
          <w:color w:val="auto"/>
        </w:rPr>
      </w:pPr>
    </w:p>
    <w:p>
      <w:pPr>
        <w:ind w:left="660" w:right="200" w:hanging="328"/>
        <w:spacing w:after="0" w:line="311"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Change-in-control put feature. </w:t>
      </w:r>
      <w:r>
        <w:rPr>
          <w:rFonts w:ascii="Arial" w:cs="Arial" w:eastAsia="Arial" w:hAnsi="Arial"/>
          <w:sz w:val="16"/>
          <w:szCs w:val="16"/>
          <w:color w:val="auto"/>
        </w:rPr>
        <w:t>The Series D Preferred Stock includes a put feature that allows the holder to redeem the Series D Preferred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upon a change in control at the greater of 1) the liquidation preference plus accrued dividends or 2) 140% of the liquidation preference. The put feature is considered a redemption right at a premium and is not clearly and closely related to the debt host.</w:t>
      </w:r>
    </w:p>
    <w:p>
      <w:pPr>
        <w:spacing w:after="0" w:line="40" w:lineRule="exact"/>
        <w:rPr>
          <w:rFonts w:ascii="Arial" w:cs="Arial" w:eastAsia="Arial" w:hAnsi="Arial"/>
          <w:sz w:val="16"/>
          <w:szCs w:val="16"/>
          <w:color w:val="auto"/>
        </w:rPr>
      </w:pPr>
    </w:p>
    <w:p>
      <w:pPr>
        <w:ind w:left="660" w:right="40" w:hanging="328"/>
        <w:spacing w:after="0" w:line="342"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Warrants. </w:t>
      </w:r>
      <w:r>
        <w:rPr>
          <w:rFonts w:ascii="Arial" w:cs="Arial" w:eastAsia="Arial" w:hAnsi="Arial"/>
          <w:sz w:val="16"/>
          <w:szCs w:val="16"/>
          <w:color w:val="auto"/>
        </w:rPr>
        <w:t>The 2021 Warrants are exercisable, in full or in part, at any time prior to March 22, 2027, at an exercise price of $0.01 per share, subject</w:t>
      </w:r>
      <w:r>
        <w:rPr>
          <w:rFonts w:ascii="Arial" w:cs="Arial" w:eastAsia="Arial" w:hAnsi="Arial"/>
          <w:sz w:val="16"/>
          <w:szCs w:val="16"/>
          <w:i w:val="1"/>
          <w:iCs w:val="1"/>
          <w:color w:val="auto"/>
        </w:rPr>
        <w:t xml:space="preserve"> </w:t>
      </w:r>
      <w:r>
        <w:rPr>
          <w:rFonts w:ascii="Arial" w:cs="Arial" w:eastAsia="Arial" w:hAnsi="Arial"/>
          <w:sz w:val="16"/>
          <w:szCs w:val="16"/>
          <w:color w:val="auto"/>
        </w:rPr>
        <w:t>to anti-dilution adjustments in the event of certain future equity issuances, stock splits, stock dividends, combinations or similar events.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the liabilities measured at fair value for the above derivatives as of June 30, 2021, and December 31, 2020.</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4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Fair Value Measurements as of June 30, 2021</w:t>
            </w:r>
          </w:p>
        </w:tc>
        <w:tc>
          <w:tcPr>
            <w:tcW w:w="0" w:type="dxa"/>
            <w:vAlign w:val="bottom"/>
          </w:tcPr>
          <w:p>
            <w:pPr>
              <w:spacing w:after="0"/>
              <w:rPr>
                <w:sz w:val="1"/>
                <w:szCs w:val="1"/>
                <w:color w:val="auto"/>
              </w:rPr>
            </w:pPr>
          </w:p>
        </w:tc>
      </w:tr>
      <w:tr>
        <w:trPr>
          <w:trHeight w:val="134"/>
        </w:trPr>
        <w:tc>
          <w:tcPr>
            <w:tcW w:w="6420" w:type="dxa"/>
            <w:vAlign w:val="bottom"/>
          </w:tcPr>
          <w:p>
            <w:pPr>
              <w:spacing w:after="0"/>
              <w:rPr>
                <w:sz w:val="11"/>
                <w:szCs w:val="11"/>
                <w:color w:val="auto"/>
              </w:rPr>
            </w:pPr>
          </w:p>
        </w:tc>
        <w:tc>
          <w:tcPr>
            <w:tcW w:w="166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1"/>
              </w:rPr>
              <w:t>Quoted Prices in Active</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Significant Other</w:t>
            </w:r>
          </w:p>
        </w:tc>
        <w:tc>
          <w:tcPr>
            <w:tcW w:w="1620" w:type="dxa"/>
            <w:vAlign w:val="bottom"/>
          </w:tcPr>
          <w:p>
            <w:pPr>
              <w:jc w:val="center"/>
              <w:ind w:left="8"/>
              <w:spacing w:after="0" w:line="135"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64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6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6"/>
              </w:rPr>
              <w:t>Markets for Identical</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1620" w:type="dxa"/>
            <w:vAlign w:val="bottom"/>
          </w:tcPr>
          <w:p>
            <w:pPr>
              <w:jc w:val="center"/>
              <w:ind w:left="8"/>
              <w:spacing w:after="0" w:line="135" w:lineRule="exact"/>
              <w:rPr>
                <w:sz w:val="20"/>
                <w:szCs w:val="20"/>
                <w:color w:val="auto"/>
              </w:rPr>
            </w:pPr>
            <w:r>
              <w:rPr>
                <w:rFonts w:ascii="Arial" w:cs="Arial" w:eastAsia="Arial" w:hAnsi="Arial"/>
                <w:sz w:val="14"/>
                <w:szCs w:val="14"/>
                <w:b w:val="1"/>
                <w:bCs w:val="1"/>
                <w:color w:val="auto"/>
                <w:w w:val="93"/>
              </w:rPr>
              <w:t>Unobservable Inputs</w:t>
            </w:r>
          </w:p>
        </w:tc>
        <w:tc>
          <w:tcPr>
            <w:tcW w:w="0" w:type="dxa"/>
            <w:vAlign w:val="bottom"/>
          </w:tcPr>
          <w:p>
            <w:pPr>
              <w:spacing w:after="0"/>
              <w:rPr>
                <w:sz w:val="1"/>
                <w:szCs w:val="1"/>
                <w:color w:val="auto"/>
              </w:rPr>
            </w:pPr>
          </w:p>
        </w:tc>
      </w:tr>
      <w:tr>
        <w:trPr>
          <w:trHeight w:val="186"/>
        </w:trPr>
        <w:tc>
          <w:tcPr>
            <w:tcW w:w="6420" w:type="dxa"/>
            <w:vAlign w:val="bottom"/>
            <w:vMerge w:val="continue"/>
          </w:tcPr>
          <w:p>
            <w:pPr>
              <w:spacing w:after="0"/>
              <w:rPr>
                <w:sz w:val="16"/>
                <w:szCs w:val="16"/>
                <w:color w:val="auto"/>
              </w:rPr>
            </w:pPr>
          </w:p>
        </w:tc>
        <w:tc>
          <w:tcPr>
            <w:tcW w:w="1660" w:type="dxa"/>
            <w:vAlign w:val="bottom"/>
          </w:tcPr>
          <w:p>
            <w:pPr>
              <w:jc w:val="center"/>
              <w:ind w:right="68"/>
              <w:spacing w:after="0"/>
              <w:rPr>
                <w:sz w:val="20"/>
                <w:szCs w:val="20"/>
                <w:color w:val="auto"/>
              </w:rPr>
            </w:pPr>
            <w:r>
              <w:rPr>
                <w:rFonts w:ascii="Arial" w:cs="Arial" w:eastAsia="Arial" w:hAnsi="Arial"/>
                <w:sz w:val="14"/>
                <w:szCs w:val="14"/>
                <w:b w:val="1"/>
                <w:bCs w:val="1"/>
                <w:color w:val="auto"/>
                <w:w w:val="90"/>
              </w:rPr>
              <w:t>Assets (Level 1)</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20" w:type="dxa"/>
            <w:vAlign w:val="bottom"/>
          </w:tcPr>
          <w:p>
            <w:pPr>
              <w:jc w:val="center"/>
              <w:ind w:left="8"/>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liability - other current liabilities</w:t>
            </w: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Derivative liability - other non-current liabilities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48"/>
        </w:trPr>
        <w:tc>
          <w:tcPr>
            <w:tcW w:w="6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8"/>
        </w:trPr>
        <w:tc>
          <w:tcPr>
            <w:tcW w:w="6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gridSpan w:val="8"/>
          </w:tcPr>
          <w:p>
            <w:pPr>
              <w:jc w:val="center"/>
              <w:ind w:right="95"/>
              <w:spacing w:after="0"/>
              <w:rPr>
                <w:sz w:val="20"/>
                <w:szCs w:val="20"/>
                <w:color w:val="auto"/>
              </w:rPr>
            </w:pPr>
            <w:r>
              <w:rPr>
                <w:rFonts w:ascii="Arial" w:cs="Arial" w:eastAsia="Arial" w:hAnsi="Arial"/>
                <w:sz w:val="14"/>
                <w:szCs w:val="14"/>
                <w:b w:val="1"/>
                <w:bCs w:val="1"/>
                <w:color w:val="auto"/>
                <w:w w:val="92"/>
              </w:rPr>
              <w:t>Fair Value Measurements as of December 31, 2020</w:t>
            </w:r>
          </w:p>
        </w:tc>
        <w:tc>
          <w:tcPr>
            <w:tcW w:w="0" w:type="dxa"/>
            <w:vAlign w:val="bottom"/>
          </w:tcPr>
          <w:p>
            <w:pPr>
              <w:spacing w:after="0"/>
              <w:rPr>
                <w:sz w:val="1"/>
                <w:szCs w:val="1"/>
                <w:color w:val="auto"/>
              </w:rPr>
            </w:pPr>
          </w:p>
        </w:tc>
      </w:tr>
      <w:tr>
        <w:trPr>
          <w:trHeight w:val="135"/>
        </w:trPr>
        <w:tc>
          <w:tcPr>
            <w:tcW w:w="6440" w:type="dxa"/>
            <w:vAlign w:val="bottom"/>
          </w:tcPr>
          <w:p>
            <w:pPr>
              <w:spacing w:after="0"/>
              <w:rPr>
                <w:sz w:val="11"/>
                <w:szCs w:val="11"/>
                <w:color w:val="auto"/>
              </w:rPr>
            </w:pPr>
          </w:p>
        </w:tc>
        <w:tc>
          <w:tcPr>
            <w:tcW w:w="162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w w:val="99"/>
              </w:rPr>
              <w:t>Quoted Prices in Active</w:t>
            </w:r>
          </w:p>
        </w:tc>
        <w:tc>
          <w:tcPr>
            <w:tcW w:w="160" w:type="dxa"/>
            <w:vAlign w:val="bottom"/>
          </w:tcPr>
          <w:p>
            <w:pPr>
              <w:spacing w:after="0"/>
              <w:rPr>
                <w:sz w:val="11"/>
                <w:szCs w:val="11"/>
                <w:color w:val="auto"/>
              </w:rPr>
            </w:pPr>
          </w:p>
        </w:tc>
        <w:tc>
          <w:tcPr>
            <w:tcW w:w="148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Significant Other</w:t>
            </w:r>
          </w:p>
        </w:tc>
        <w:tc>
          <w:tcPr>
            <w:tcW w:w="120" w:type="dxa"/>
            <w:vAlign w:val="bottom"/>
          </w:tcPr>
          <w:p>
            <w:pPr>
              <w:spacing w:after="0"/>
              <w:rPr>
                <w:sz w:val="11"/>
                <w:szCs w:val="11"/>
                <w:color w:val="auto"/>
              </w:rPr>
            </w:pPr>
          </w:p>
        </w:tc>
        <w:tc>
          <w:tcPr>
            <w:tcW w:w="1420" w:type="dxa"/>
            <w:vAlign w:val="bottom"/>
          </w:tcPr>
          <w:p>
            <w:pPr>
              <w:jc w:val="center"/>
              <w:ind w:right="35"/>
              <w:spacing w:after="0" w:line="135"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6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6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6"/>
              </w:rPr>
              <w:t>Markets for Identical</w:t>
            </w:r>
          </w:p>
        </w:tc>
        <w:tc>
          <w:tcPr>
            <w:tcW w:w="160" w:type="dxa"/>
            <w:vAlign w:val="bottom"/>
          </w:tcPr>
          <w:p>
            <w:pPr>
              <w:spacing w:after="0"/>
              <w:rPr>
                <w:sz w:val="11"/>
                <w:szCs w:val="11"/>
                <w:color w:val="auto"/>
              </w:rPr>
            </w:pPr>
          </w:p>
        </w:tc>
        <w:tc>
          <w:tcPr>
            <w:tcW w:w="148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120" w:type="dxa"/>
            <w:vAlign w:val="bottom"/>
          </w:tcPr>
          <w:p>
            <w:pPr>
              <w:spacing w:after="0"/>
              <w:rPr>
                <w:sz w:val="11"/>
                <w:szCs w:val="11"/>
                <w:color w:val="auto"/>
              </w:rPr>
            </w:pPr>
          </w:p>
        </w:tc>
        <w:tc>
          <w:tcPr>
            <w:tcW w:w="1420" w:type="dxa"/>
            <w:vAlign w:val="bottom"/>
          </w:tcPr>
          <w:p>
            <w:pPr>
              <w:jc w:val="center"/>
              <w:ind w:right="35"/>
              <w:spacing w:after="0" w:line="135" w:lineRule="exact"/>
              <w:rPr>
                <w:sz w:val="20"/>
                <w:szCs w:val="20"/>
                <w:color w:val="auto"/>
              </w:rPr>
            </w:pPr>
            <w:r>
              <w:rPr>
                <w:rFonts w:ascii="Arial" w:cs="Arial" w:eastAsia="Arial" w:hAnsi="Arial"/>
                <w:sz w:val="14"/>
                <w:szCs w:val="14"/>
                <w:b w:val="1"/>
                <w:bCs w:val="1"/>
                <w:color w:val="auto"/>
                <w:w w:val="93"/>
              </w:rPr>
              <w:t>Unobservable Inputs</w:t>
            </w:r>
          </w:p>
        </w:tc>
        <w:tc>
          <w:tcPr>
            <w:tcW w:w="0" w:type="dxa"/>
            <w:vAlign w:val="bottom"/>
          </w:tcPr>
          <w:p>
            <w:pPr>
              <w:spacing w:after="0"/>
              <w:rPr>
                <w:sz w:val="1"/>
                <w:szCs w:val="1"/>
                <w:color w:val="auto"/>
              </w:rPr>
            </w:pPr>
          </w:p>
        </w:tc>
      </w:tr>
      <w:tr>
        <w:trPr>
          <w:trHeight w:val="188"/>
        </w:trPr>
        <w:tc>
          <w:tcPr>
            <w:tcW w:w="64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Assets (Level 1)</w:t>
            </w:r>
          </w:p>
        </w:tc>
        <w:tc>
          <w:tcPr>
            <w:tcW w:w="160" w:type="dxa"/>
            <w:vAlign w:val="bottom"/>
          </w:tcPr>
          <w:p>
            <w:pPr>
              <w:spacing w:after="0"/>
              <w:rPr>
                <w:sz w:val="16"/>
                <w:szCs w:val="16"/>
                <w:color w:val="auto"/>
              </w:rPr>
            </w:pPr>
          </w:p>
        </w:tc>
        <w:tc>
          <w:tcPr>
            <w:tcW w:w="14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6"/>
                <w:szCs w:val="16"/>
                <w:color w:val="auto"/>
              </w:rPr>
            </w:pPr>
          </w:p>
        </w:tc>
        <w:tc>
          <w:tcPr>
            <w:tcW w:w="1420" w:type="dxa"/>
            <w:vAlign w:val="bottom"/>
          </w:tcPr>
          <w:p>
            <w:pPr>
              <w:jc w:val="center"/>
              <w:ind w:right="35"/>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4"/>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liability - other current liabilities</w:t>
            </w: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Derivative liability - other non-current liabilities</w:t>
            </w: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48"/>
        </w:trPr>
        <w:tc>
          <w:tcPr>
            <w:tcW w:w="6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8060" w:type="dxa"/>
            <w:vAlign w:val="bottom"/>
            <w:gridSpan w:val="4"/>
          </w:tcPr>
          <w:p>
            <w:pPr>
              <w:spacing w:after="0"/>
              <w:rPr>
                <w:sz w:val="20"/>
                <w:szCs w:val="20"/>
                <w:color w:val="auto"/>
              </w:rPr>
            </w:pPr>
            <w:r>
              <w:rPr>
                <w:rFonts w:ascii="Arial" w:cs="Arial" w:eastAsia="Arial" w:hAnsi="Arial"/>
                <w:sz w:val="18"/>
                <w:szCs w:val="18"/>
                <w:color w:val="auto"/>
                <w:w w:val="92"/>
              </w:rPr>
              <w:t>The following table presents the change in the above derivatives during the six months ended June 30, 2021.</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2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88"/>
        </w:trPr>
        <w:tc>
          <w:tcPr>
            <w:tcW w:w="64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Issuances</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15,121</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(1)</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Settlements</w:t>
            </w:r>
          </w:p>
        </w:tc>
        <w:tc>
          <w:tcPr>
            <w:tcW w:w="2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(3,005)</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15,456</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580" w:right="300" w:hanging="248"/>
        <w:spacing w:after="0" w:line="277" w:lineRule="auto"/>
        <w:tabs>
          <w:tab w:leader="none" w:pos="592"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fair value are recognized in the “Other expense (income), net” line in the Condensed Consolidated Statements of Operations and Comprehensive Income (Loss).</w:t>
      </w:r>
    </w:p>
    <w:p>
      <w:pPr>
        <w:spacing w:after="0" w:line="224"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The fair value of the change-in-control put feature utilizes unobservable inputs based on the Company’s assessment of the probability of a change-in-control event occurring in a future period. The probability of a change-in-control event ranged from 1% to 10% as of June 30, 2021.</w:t>
      </w:r>
    </w:p>
    <w:p>
      <w:pPr>
        <w:spacing w:after="0" w:line="3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leverage ratio put feature, the dividends withholding feature, and the contingent dividends feature utilized unobservable inputs based on the best information available to determine the probability of the Series B Preferred Stock remaining outstanding for future periods. These inputs included probability assessments of how long the Series B Preferred Stock would remain outstanding and whether the leverage ratio threshold would be exceeded. Inputs also included the percentage of Series B Preferred Stock held by non-U.S. resident holders and the applicable tax withholding rates for those holders. The probability of the Series B Preferred Stock remaining in future periods ranged from 3% to 2% as of December 31, 2020. The leverage ratio put feature also utilized unobservable inputs to determine the probability of the leverage ratio put being exercisable as of March 31, 2023, which ranged from 10% to 1% as of December 31, 2020. These probabilities were determined based on management’s assessment of facts and circumstances at each reporting date. An increase in these probabilities would have resulted in an increase in the derivative liability fair value. Given the Series B Preferred Stock value changed by period as a result of dividends and redemption premiums, weighted average values for these assumptions are not meaningful.</w:t>
      </w:r>
    </w:p>
    <w:p>
      <w:pPr>
        <w:spacing w:after="0" w:line="5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fair value of the 2019 Warrants is determined using a valuation model that utilizes unobservable inputs to determine the probability that the 2019 Warrants will remain outstanding for future periods. The probabilities resulted in a weighted average term of 4.2 years as of June 30, 2021, and 2.4 years as of December 31, 2020.</w:t>
      </w:r>
    </w:p>
    <w:p>
      <w:pPr>
        <w:spacing w:after="0" w:line="7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fair value of the 2021 Warrants is determined using the observable market price of a share of our common stock, less the $0.01 per share exercise price.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manage our exposure to fluctuations in interest rates using a mix of fixed and variable rate debt. We had a fixed-rate interest rate swap agreement that changed the LIBOR-based portion of the interest rate on a portion of our variable rate debt to a fixed rate of 2.4575% (the “interest rate swap”). On March 22, 2021, we terminated the interest rate swap agreement with a $13.7 million cash payment in connection with the extinguishment of our previously outstanding long-term variable-rate debt.</w:t>
      </w:r>
    </w:p>
    <w:p>
      <w:pPr>
        <w:spacing w:after="0" w:line="7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interest rate swap was designated as a cash flow hedge at inception. However, in the fourth quarter of 2020, the interest rate swap no longer qualified as an effective hedge, and subsequent changes in fair value of the interest rate swap were recognized in earnings. Amounts recognized in earnings related to the interest rate swap are recorded in the “Loss on interest rate swap” line on the Condensed Consolidated Statements of Operations and Comprehensive Income (Loss) except that cash settlements prior to termination are recognized in “Derivative payments on interest rate swap.” Cash settlements during 2021 are presented in investing activities on the Condensed Consolidated Statements of Cash Flows. The following table presents the effect of the interest rate swap on the Condensed Consolidated Statements of Operations and Comprehensive Income (Loss).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240" w:type="dxa"/>
            <w:vAlign w:val="bottom"/>
            <w:gridSpan w:val="4"/>
          </w:tcPr>
          <w:p>
            <w:pPr>
              <w:jc w:val="center"/>
              <w:ind w:left="422"/>
              <w:spacing w:after="0"/>
              <w:rPr>
                <w:sz w:val="20"/>
                <w:szCs w:val="20"/>
                <w:color w:val="auto"/>
              </w:rPr>
            </w:pPr>
            <w:r>
              <w:rPr>
                <w:rFonts w:ascii="Arial" w:cs="Arial" w:eastAsia="Arial" w:hAnsi="Arial"/>
                <w:sz w:val="14"/>
                <w:szCs w:val="14"/>
                <w:b w:val="1"/>
                <w:bCs w:val="1"/>
                <w:color w:val="auto"/>
                <w:w w:val="93"/>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4"/>
            <w:vMerge w:val="restart"/>
          </w:tcPr>
          <w:p>
            <w:pPr>
              <w:jc w:val="right"/>
              <w:ind w:right="435"/>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8"/>
        </w:trPr>
        <w:tc>
          <w:tcPr>
            <w:tcW w:w="56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right="350"/>
              <w:spacing w:after="0"/>
              <w:rPr>
                <w:sz w:val="20"/>
                <w:szCs w:val="20"/>
                <w:color w:val="auto"/>
              </w:rPr>
            </w:pPr>
            <w:r>
              <w:rPr>
                <w:rFonts w:ascii="Arial" w:cs="Arial" w:eastAsia="Arial" w:hAnsi="Arial"/>
                <w:sz w:val="14"/>
                <w:szCs w:val="14"/>
                <w:b w:val="1"/>
                <w:bCs w:val="1"/>
                <w:color w:val="auto"/>
                <w:w w:val="89"/>
              </w:rPr>
              <w:t>June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60" w:type="dxa"/>
            <w:vAlign w:val="bottom"/>
          </w:tcPr>
          <w:p>
            <w:pPr>
              <w:spacing w:after="0"/>
              <w:rPr>
                <w:sz w:val="15"/>
                <w:szCs w:val="15"/>
                <w:color w:val="auto"/>
              </w:rPr>
            </w:pPr>
          </w:p>
        </w:tc>
        <w:tc>
          <w:tcPr>
            <w:tcW w:w="940" w:type="dxa"/>
            <w:vAlign w:val="bottom"/>
          </w:tcPr>
          <w:p>
            <w:pPr>
              <w:jc w:val="right"/>
              <w:ind w:right="62"/>
              <w:spacing w:after="0"/>
              <w:rPr>
                <w:sz w:val="20"/>
                <w:szCs w:val="20"/>
                <w:color w:val="auto"/>
              </w:rPr>
            </w:pPr>
            <w:r>
              <w:rPr>
                <w:rFonts w:ascii="Arial" w:cs="Arial" w:eastAsia="Arial" w:hAnsi="Arial"/>
                <w:sz w:val="14"/>
                <w:szCs w:val="14"/>
                <w:b w:val="1"/>
                <w:bCs w:val="1"/>
                <w:color w:val="auto"/>
              </w:rPr>
              <w:t>2021</w:t>
            </w: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940" w:type="dxa"/>
            <w:vAlign w:val="bottom"/>
            <w:tcBorders>
              <w:top w:val="single" w:sz="8" w:color="auto"/>
            </w:tcBorders>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3,436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4,806</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Derivative payments on interest rate swap</w:t>
            </w:r>
          </w:p>
        </w:tc>
        <w:tc>
          <w:tcPr>
            <w:tcW w:w="940" w:type="dxa"/>
            <w:vAlign w:val="bottom"/>
          </w:tcPr>
          <w:p>
            <w:pPr>
              <w:spacing w:after="0"/>
              <w:rPr>
                <w:sz w:val="19"/>
                <w:szCs w:val="19"/>
                <w:color w:val="auto"/>
              </w:rPr>
            </w:pPr>
          </w:p>
        </w:tc>
        <w:tc>
          <w:tcPr>
            <w:tcW w:w="130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interest rate swap</w:t>
            </w:r>
          </w:p>
        </w:tc>
        <w:tc>
          <w:tcPr>
            <w:tcW w:w="9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liabilities measured at fair value on a recurring basis for the interest rate swap as of December 31,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20" w:type="dxa"/>
            <w:vAlign w:val="bottom"/>
            <w:tcBorders>
              <w:bottom w:val="single" w:sz="8" w:color="auto"/>
            </w:tcBorders>
            <w:gridSpan w:val="7"/>
          </w:tcPr>
          <w:p>
            <w:pPr>
              <w:jc w:val="center"/>
              <w:ind w:right="39"/>
              <w:spacing w:after="0"/>
              <w:rPr>
                <w:sz w:val="20"/>
                <w:szCs w:val="20"/>
                <w:color w:val="auto"/>
              </w:rPr>
            </w:pPr>
            <w:r>
              <w:rPr>
                <w:rFonts w:ascii="Arial" w:cs="Arial" w:eastAsia="Arial" w:hAnsi="Arial"/>
                <w:sz w:val="14"/>
                <w:szCs w:val="14"/>
                <w:b w:val="1"/>
                <w:bCs w:val="1"/>
                <w:color w:val="auto"/>
                <w:w w:val="92"/>
              </w:rPr>
              <w:t>Fair Value Measurements as of December 31, 2020</w:t>
            </w:r>
          </w:p>
        </w:tc>
        <w:tc>
          <w:tcPr>
            <w:tcW w:w="0" w:type="dxa"/>
            <w:vAlign w:val="bottom"/>
          </w:tcPr>
          <w:p>
            <w:pPr>
              <w:spacing w:after="0"/>
              <w:rPr>
                <w:sz w:val="1"/>
                <w:szCs w:val="1"/>
                <w:color w:val="auto"/>
              </w:rPr>
            </w:pPr>
          </w:p>
        </w:tc>
      </w:tr>
      <w:tr>
        <w:trPr>
          <w:trHeight w:val="134"/>
        </w:trPr>
        <w:tc>
          <w:tcPr>
            <w:tcW w:w="6300" w:type="dxa"/>
            <w:vAlign w:val="bottom"/>
          </w:tcPr>
          <w:p>
            <w:pPr>
              <w:spacing w:after="0"/>
              <w:rPr>
                <w:sz w:val="11"/>
                <w:szCs w:val="11"/>
                <w:color w:val="auto"/>
              </w:rPr>
            </w:pPr>
          </w:p>
        </w:tc>
        <w:tc>
          <w:tcPr>
            <w:tcW w:w="168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Quoted Prices in Active</w:t>
            </w:r>
          </w:p>
        </w:tc>
        <w:tc>
          <w:tcPr>
            <w:tcW w:w="160" w:type="dxa"/>
            <w:vAlign w:val="bottom"/>
          </w:tcPr>
          <w:p>
            <w:pPr>
              <w:spacing w:after="0"/>
              <w:rPr>
                <w:sz w:val="11"/>
                <w:szCs w:val="11"/>
                <w:color w:val="auto"/>
              </w:rPr>
            </w:pPr>
          </w:p>
        </w:tc>
        <w:tc>
          <w:tcPr>
            <w:tcW w:w="15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5"/>
              </w:rPr>
              <w:t>Significant Other</w:t>
            </w:r>
          </w:p>
        </w:tc>
        <w:tc>
          <w:tcPr>
            <w:tcW w:w="120" w:type="dxa"/>
            <w:vAlign w:val="bottom"/>
          </w:tcPr>
          <w:p>
            <w:pPr>
              <w:spacing w:after="0"/>
              <w:rPr>
                <w:sz w:val="11"/>
                <w:szCs w:val="11"/>
                <w:color w:val="auto"/>
              </w:rPr>
            </w:pPr>
          </w:p>
        </w:tc>
        <w:tc>
          <w:tcPr>
            <w:tcW w:w="146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6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1"/>
                <w:szCs w:val="11"/>
                <w:color w:val="auto"/>
              </w:rPr>
            </w:pPr>
          </w:p>
        </w:tc>
        <w:tc>
          <w:tcPr>
            <w:tcW w:w="15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Markets for Identical</w:t>
            </w: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120" w:type="dxa"/>
            <w:vAlign w:val="bottom"/>
          </w:tcPr>
          <w:p>
            <w:pPr>
              <w:spacing w:after="0"/>
              <w:rPr>
                <w:sz w:val="11"/>
                <w:szCs w:val="11"/>
                <w:color w:val="auto"/>
              </w:rPr>
            </w:pPr>
          </w:p>
        </w:tc>
        <w:tc>
          <w:tcPr>
            <w:tcW w:w="146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3"/>
              </w:rPr>
              <w:t>Unobservable Inputs</w:t>
            </w:r>
          </w:p>
        </w:tc>
        <w:tc>
          <w:tcPr>
            <w:tcW w:w="0" w:type="dxa"/>
            <w:vAlign w:val="bottom"/>
          </w:tcPr>
          <w:p>
            <w:pPr>
              <w:spacing w:after="0"/>
              <w:rPr>
                <w:sz w:val="1"/>
                <w:szCs w:val="1"/>
                <w:color w:val="auto"/>
              </w:rPr>
            </w:pPr>
          </w:p>
        </w:tc>
      </w:tr>
      <w:tr>
        <w:trPr>
          <w:trHeight w:val="188"/>
        </w:trPr>
        <w:tc>
          <w:tcPr>
            <w:tcW w:w="6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Assets (Level 1)</w:t>
            </w: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6"/>
                <w:szCs w:val="16"/>
                <w:color w:val="auto"/>
              </w:rPr>
            </w:pPr>
          </w:p>
        </w:tc>
        <w:tc>
          <w:tcPr>
            <w:tcW w:w="146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4"/>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liability - other current liabilities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Derivative liability - other non-current liabilities</w:t>
            </w:r>
          </w:p>
        </w:tc>
        <w:tc>
          <w:tcPr>
            <w:tcW w:w="120" w:type="dxa"/>
            <w:vAlign w:val="bottom"/>
          </w:tcPr>
          <w:p>
            <w:pPr>
              <w:spacing w:after="0"/>
              <w:rPr>
                <w:sz w:val="19"/>
                <w:szCs w:val="19"/>
                <w:color w:val="auto"/>
              </w:rPr>
            </w:pPr>
          </w:p>
        </w:tc>
        <w:tc>
          <w:tcPr>
            <w:tcW w:w="156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inputs for determining fair value of the interest rate swap are classified as Level 2 inputs. Level 2 fair value is based on estimates using standard pricing models. These standard pricing models use inputs which are derived from or corroborated by observable market data such as interest rate yield curves, index forward curves, discount curves, and volatility surfaces. Counterparty to this derivative contract is a highly rated financial institution which we believe carries only a minimal risk of nonperformance.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On July 22, 2021, we entered into a new interest rate swap as discussed in Note 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Rate Debt</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fair value of our outstanding fixed-rate debt included in the “International lines of credit and other loans” line item within Note 9 to these Notes to Condensed Consolidated Financial Statements approximated carrying value as of June 30, 2021, and December 31, 2020, respectively. These fair values represent Level 2 under the three-tier hierarchy described above. The carrying value of this fixed-rate debt was $12.2 million and $14.4 million as of June 30, 2021 and December 31, 2020, respectively.</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w:t>
      </w:r>
    </w:p>
    <w:p>
      <w:pPr>
        <w:spacing w:after="0" w:line="11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On July 22, 2021, we entered into a new fixed-rate interest rate swap agreement to change the LIBOR-based component of the interest rate on a portion of our variable rate debt to a fixed rate of 1.291%. The interest rate swap has a notional amount of $60.0 million and a maturity date of July 31, 2024.</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objective of the interest rate swap is to eliminate the variability of cash flows in interest payments on the first $60.0 million of variable rate debt attributable to changes in benchmark one-month LIBOR interest rates. The hedged risk is the interest rate risk exposure to changes in interest payments, attributable to changes in benchmark one-month LIBOR interest rates over the interest rate swap term. The changes in cash flows of the interest rate swap are expected to exactly offset changes in cash flows of the variable rate debt. We designated the interest rate swap as a cash flow hedge at inception.</w:t>
      </w:r>
    </w:p>
    <w:p>
      <w:pPr>
        <w:spacing w:after="0" w:line="200" w:lineRule="exact"/>
        <w:rPr>
          <w:sz w:val="20"/>
          <w:szCs w:val="20"/>
          <w:color w:val="auto"/>
        </w:rPr>
      </w:pPr>
    </w:p>
    <w:p>
      <w:pPr>
        <w:spacing w:after="0" w:line="29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33" w:right="47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NN, Inc. is a global diversified industrial company that combines advanced engineering and production capabilities with in-depth materials science expertise to design and manufacture high-precision components and assemblies primarily for the electrical, automotive, general industrial, aerospace, defense, and medical markets. As used in this Quarterly Report, the terms “NN,” the “Company,” “we,” “our,” or “us” refer to NN, Inc. and its subsidiaries.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0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This Quarterly Report contains forward-looking statements that are made pursuant to the safe harbor provisions of the Private Securities Litigation Reform Act of 1995. These statements may discuss goals, intentions and expectations as to future trends, plans, events, results of operations or financial condition, or state other information relating to NN, Inc.,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the impacts of the COVID-19 pandemic on the Company’s financial condition, business operations and liquidity; competitive influences; risks that current customers will commence or increase captive production; risks of capacity underutilization; quality issues; availability of raw materials; currency and other risks associated with international trade; our dependence on certain major customers, some of whom are not parties to long-term agreements (and/or are terminable on short notice); the impact of acquisitions and divestitures; the level of our indebtedness; the restrictions contained in our debt agreements; our ability to obtain financing at favorable rates, if at all, and to refinance existing debt as it matures; unanticipated difficulties integrating acquisitions; new laws and governmental regulations; and other risk factors and cautionary statements listed from time-to-time in our periodic reports filed with the Securities and Exchange Commission. We disclaim any obligation to update any such factors or to publicly announce the result of any revisions to any of the forward-looking statements included herein or therein to reflect future events or developments.</w:t>
      </w:r>
    </w:p>
    <w:p>
      <w:pPr>
        <w:spacing w:after="0" w:line="8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For additional information concerning such risk factors and cautionary statements, please see the sections titled “Item 1A. Risk Factors” in the 2020 Annual Report and this Quarterly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That May Influence Results of Operations</w:t>
      </w:r>
    </w:p>
    <w:p>
      <w:pPr>
        <w:spacing w:after="0" w:line="11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following paragraphs describe factors that have influenced results of operations for the six months ended June 30, 2021, that management believes are important to provide an understanding of the business and results of operations or that may influence operations in the future.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Global COVID-19 Pandemic</w:t>
      </w:r>
    </w:p>
    <w:p>
      <w:pPr>
        <w:spacing w:after="0" w:line="104"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The COVID-19 pandemic continues to disrupt the United States and global economy, and we cannot predict when a full economic recovery will occur. Although product volumes are beginning to return to more normalized levels and our operating results in 2021 reflect momentum in the recovery of our business from the effects of the COVID-19 pandemic, a new Delta variant of COVID-19, which appears to be the most transmissible variant to date, has begun to spread in the United States and across the globe. The impact of the Delta variant cannot be predicted at this time and could depend on numerous factors, including vaccination rates among the population, the effectiveness of COVID-19 vaccines against the Delta variant, and the response by governmental bodies and regulators. Further surges in COVID-19 infection rates could result in the reinstatement of directives and mandates requiring businesses to again curtail or cease normal operations. The spread of COVID-19 and the responses thereto have created a disruption in the manufacturing, delivery, and overall supply chain of automobile manufacturers and suppliers, as well as disruption within the power industry. Global vehicle production decreased significantly in 2020, but production has since ramped back up. Disruptions of normal supply chains have caused challenges in obtaining raw materials we use in the manufacture of some of our products. We have been increasing our inventories in the current year to mitigate the risk of supply chain disruption for our customers. A worldwide semiconductor chip shortage is beginning to affect automotive original equipment manufacturers, causing unpredictable volumes. The rapid development and fluidity of the situation precludes any prediction as to the ultimate impact COVID-19 will have on our business, financial condition, results of operations, and cash flows, which will depend largely on future developments directly or indirectly relating to the duration and scope of the COVID-19 pandemic.</w:t>
      </w:r>
    </w:p>
    <w:p>
      <w:pPr>
        <w:spacing w:after="0" w:line="8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While managing decreased demand in many regions across the globe, we are now operating at all of our business locations. We have implemented training and recruiting programs to address labor shortages. We are focused on the safety of our employees, customers, and suppliers. We have developed and implemented processes to ensure a safe environment for our employees and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any visitors to our facilities, including providing personal protective equipment and establishing social distancing protocols and temperature checks. We are actively promoting vaccination among our employees. These processes include recommendations based on guidelines from the Centers for Disease Control and Prevention and the World Health Organization. The health and safety of our employees remains our top priority.</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undertaken a number of permanent and temporary actions to manage the evolving situation, as described in our 2020 Annual Report. We continue to streamline facilities and implement cost savings initiatives. Capital expenditures and travel costs remain at relatively low levels. We refinanced our credit facility and preferred stock in the first quarter as discussed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Facilities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March 22, 2021, we entered into a new $150.0 million term loan facility (the “Term Loan Facility”) and a new $50.0 million asset backed credit facility (the “ABL Facility”). The proceeds from the Term Loan Facility were used to prepay the amounts outstanding on our previous term loans. The previous credit facility was terminated and consisted of a Senior Secured Term Loan, Incremental Term Loan, and Senior Secured Revolver. No amounts were outstanding on the Senior Secured Revolver at the time of termination.</w:t>
      </w:r>
    </w:p>
    <w:p>
      <w:pPr>
        <w:spacing w:after="0" w:line="7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Outstanding borrowings under the Term Loan Facility bear interest at either 1) one-month LIBOR (subject to a 1.000% floor) plus an applicable margin of 6.875% or 2) the greater of various benchmark rates plus an applicable margin of 5.875%. At June 30, 2021, the Term Loan Facility bore interest, based on one-month LIBOR, at 7.875%. The Term Loan Facility requires quarterly principal payments of $0.4 million with the remaining unpaid principal amount due on the final maturity date of September 22, 2026. The Term Loan Facility is collateralized by all of our assets. The Term Loan Facility has a first lien on all assets other than accounts receivable and inventory and has a second lien on accounts receivable and inventory. We were in compliance with all requirements under the Term Loan Facility as of June 30, 2021.</w:t>
      </w:r>
    </w:p>
    <w:p>
      <w:pPr>
        <w:spacing w:after="0" w:line="7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ABL Facility provides for a senior secured revolving credit facility in the amount of $50.0 million, of which $30.0 million is available in the form of letters of credit and $5.0 million is available for the issuance of short-term swingline loans. The availability of credit under the ABL Facility is limited by a borrowing base calculation derived from accounts receivable and inventory held in the United States. Outstanding borrowings under the ABL Facility bear interest on a variable rate structure plus an interest rate spread that is based on the average amount of aggregate revolving commitment available. The variable borrowing rate is either 1) LIBOR plus an applicable margin of 1.75% or 2.00%, depending on availability, or 2) the greater of the federal funds rate or prime, plus an applicable margin of 0.75% or 1.00%, depending on availability. We may elect whether to use one-month, three-month, or six-month LIBOR, subject to a 0.50% floor. Interest payments are due monthly on borrowings that utilize one-month LIBOR and quarterly on borrowings that utilize three-month or six-month LIBOR. At June 30, 2021, using one-month LIBOR plus a 1.75% spread, the weighted average interest rate on outstanding borrowings under the ABL Facility would have been 2.25% if there had been any balance outstanding. We pay a commitment fee of 0.375% for unused capacity under the ABL Facility and a 0.125% fee on the amount of letters of credit outstanding. The final maturity date of the ABL Facility is March 22, 2026.</w:t>
      </w:r>
    </w:p>
    <w:p>
      <w:pPr>
        <w:spacing w:after="0" w:line="84"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We had no outstanding borrowings under the ABL Facility at June 30, 2021. Total capacity under the ABL Facility was $44.2 million as of June 30, 2021, of which $30.2 million was available for future borrowings after reductions for outstanding letters of credit as of June 30, 2021. The ABL Facility has a first lien on accounts receivable and inventory. We were in compliance with all requirements under the ABL Facility as of June 30, 2021.</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Preferred Stock</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March 22, 2021, we completed a private placement of 65 thousand shares of newly designated Series D Perpetual Preferred Stock, with a par value of $0.01 per share (the “Series D Preferred Stock”), at a price of $1,000 per share, together with detachable warrants (the “2021 Warrants”) to purchase up to 1.9 million shares of our common stock at an exercise price of $0.01 per share. The Series D Preferred Stock has an initial liquidation preference of $1,000 per share and is redeemable at our option in cash at a redemption price equal to the liquidation preference then in effect. Series D Preferred Stock shares earn cash dividends at a rate of 10.0% per year, payable quarterly in arrears, accruing whether or not earned or declared. If no cash dividend is paid, then the liquidation preference per share effective on the dividend date increases by 12.0% per year. On March 22, 2026, the cash dividend rate and in-kind dividend rate increase by 2.5% per year. Cash dividends are required beginning on September 30, 2027.</w:t>
      </w:r>
    </w:p>
    <w:p>
      <w:pPr>
        <w:spacing w:after="0" w:line="5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Net cash proceeds of $61.8 million from the issuance of the Series D Preferred Stock, along with part of the proceeds from the Term Loan Facility, were used to redeem all of the outstanding shares of the Company’s Series B Convertible Preferred Stock (the “Series B Preferred Stock”). The total redemption cash payment was $118.4 million.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Sales Concentration</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recognized sales from a single customer of $13.2 million, or 11% and $26.2 million, or 11%, of consolidated net sales, during the three and six months ended June 30, 2021, respectively. We recognized sales from this customer of $9.2 million, or 12% of consolidated net sales, during the three months ended June 30, 2020. Revenues from this customer are primarily in our Mobile Solutions segment.</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2021, compared to the Three Months Ended June 30,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jc w:val="right"/>
              <w:ind w:right="840"/>
              <w:spacing w:after="0"/>
              <w:rPr>
                <w:sz w:val="20"/>
                <w:szCs w:val="20"/>
                <w:color w:val="auto"/>
              </w:rPr>
            </w:pPr>
            <w:r>
              <w:rPr>
                <w:rFonts w:ascii="Arial" w:cs="Arial" w:eastAsia="Arial" w:hAnsi="Arial"/>
                <w:sz w:val="14"/>
                <w:szCs w:val="14"/>
                <w:b w:val="1"/>
                <w:bCs w:val="1"/>
                <w:color w:val="auto"/>
                <w:w w:val="96"/>
              </w:rPr>
              <w:t>Three Months Ended June 30,</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 Change</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44,625</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560"/>
              <w:spacing w:after="0"/>
              <w:rPr>
                <w:sz w:val="20"/>
                <w:szCs w:val="20"/>
                <w:color w:val="auto"/>
              </w:rPr>
            </w:pPr>
            <w:r>
              <w:rPr>
                <w:rFonts w:ascii="Arial" w:cs="Arial" w:eastAsia="Arial" w:hAnsi="Arial"/>
                <w:sz w:val="18"/>
                <w:szCs w:val="18"/>
                <w:i w:val="1"/>
                <w:iCs w:val="1"/>
                <w:color w:val="auto"/>
              </w:rPr>
              <w:t>Organic growth</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i w:val="1"/>
                <w:i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42,123</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Foreign exchange effects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2,502</w:t>
            </w:r>
          </w:p>
        </w:tc>
        <w:tc>
          <w:tcPr>
            <w:tcW w:w="0" w:type="dxa"/>
            <w:vAlign w:val="bottom"/>
          </w:tcPr>
          <w:p>
            <w:pPr>
              <w:spacing w:after="0"/>
              <w:rPr>
                <w:sz w:val="1"/>
                <w:szCs w:val="1"/>
                <w:color w:val="auto"/>
              </w:rPr>
            </w:pPr>
          </w:p>
        </w:tc>
      </w:tr>
      <w:tr>
        <w:trPr>
          <w:trHeight w:val="175"/>
        </w:trPr>
        <w:tc>
          <w:tcPr>
            <w:tcW w:w="6220" w:type="dxa"/>
            <w:vAlign w:val="bottom"/>
          </w:tcPr>
          <w:p>
            <w:pPr>
              <w:ind w:left="220"/>
              <w:spacing w:after="0" w:line="176" w:lineRule="exact"/>
              <w:rPr>
                <w:sz w:val="20"/>
                <w:szCs w:val="20"/>
                <w:color w:val="auto"/>
              </w:rPr>
            </w:pPr>
            <w:r>
              <w:rPr>
                <w:rFonts w:ascii="Arial" w:cs="Arial" w:eastAsia="Arial" w:hAnsi="Arial"/>
                <w:sz w:val="18"/>
                <w:szCs w:val="18"/>
                <w:color w:val="auto"/>
              </w:rPr>
              <w:t>Cost of sales (exclusive of depreciation and amortization shown separately</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99,797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65,058</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34,739</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220"/>
              <w:spacing w:after="0"/>
              <w:rPr>
                <w:sz w:val="20"/>
                <w:szCs w:val="20"/>
                <w:color w:val="auto"/>
              </w:rPr>
            </w:pPr>
            <w:r>
              <w:rPr>
                <w:rFonts w:ascii="Arial" w:cs="Arial" w:eastAsia="Arial" w:hAnsi="Arial"/>
                <w:sz w:val="18"/>
                <w:szCs w:val="18"/>
                <w:color w:val="auto"/>
              </w:rPr>
              <w:t>below)</w:t>
            </w: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11,327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360</w:t>
            </w: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operating income,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(11,177)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9,589</w:t>
            </w: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expense (income), net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2,895</w:t>
            </w:r>
          </w:p>
        </w:tc>
        <w:tc>
          <w:tcPr>
            <w:tcW w:w="46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62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7"/>
              </w:rPr>
              <w:t>Loss from continuing operations before benefit (provision) for income taxes and</w:t>
            </w:r>
          </w:p>
        </w:tc>
        <w:tc>
          <w:tcPr>
            <w:tcW w:w="2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(6,841)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(16,318)</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9,477</w:t>
            </w:r>
          </w:p>
        </w:tc>
        <w:tc>
          <w:tcPr>
            <w:tcW w:w="4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of net income from joint venture</w:t>
            </w: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220"/>
              <w:spacing w:after="0"/>
              <w:rPr>
                <w:sz w:val="20"/>
                <w:szCs w:val="20"/>
                <w:color w:val="auto"/>
              </w:rPr>
            </w:pPr>
            <w:r>
              <w:rPr>
                <w:rFonts w:ascii="Arial" w:cs="Arial" w:eastAsia="Arial" w:hAnsi="Arial"/>
                <w:sz w:val="18"/>
                <w:szCs w:val="18"/>
                <w:color w:val="auto"/>
              </w:rPr>
              <w:t>Benefit (provision) for income taxes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2,406</w:t>
            </w: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 of net income from joint venture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Loss from continuing operations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(17,566)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12,175</w:t>
            </w: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(21,748)</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16,357</w:t>
            </w: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Net Sales</w:t>
      </w:r>
      <w:r>
        <w:rPr>
          <w:rFonts w:ascii="Arial" w:cs="Arial" w:eastAsia="Arial" w:hAnsi="Arial"/>
          <w:sz w:val="17"/>
          <w:szCs w:val="17"/>
          <w:color w:val="auto"/>
        </w:rPr>
        <w:t>. Net sales increased by $44.6 million, or 57%, during the three months ended June 30, 2021, compared to the three months ended June 30, 2020,</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higher demand within all markets that were negatively impacted by the COVID-19 pandemic in the prior year and new business in the general industrial market. In addition, sales were positively impacted by increased selling prices for precious metals allowed under customer contracts due to the sharp rise in underlying commodities costs compared with the same period of 2020. These increases were partially offset by decreased demand for smart meter components due to inventory adjustments at a key customer. Sales of components to the medical industry experienced recovery in the current period compared to the same period of 2020 when many elective surgeries were delayed as a result of the COVID-19 pandemic. We also realized favorable foreign exchange effects of $2.5 million.</w:t>
      </w:r>
    </w:p>
    <w:p>
      <w:pPr>
        <w:spacing w:after="0" w:line="6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Cost of sales increased by $34.7 million, or 53%, during the three months ended June 30, 2021, compared to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primarily due to variable costs associated with the above-noted sales increase. In addition, cost of sales increased due to the reintroduction of employee-related costs suspended in the prior year due to the pandemic, such as benefits and overtime hours. These increases were partially offset by favorable overhead absorption due to the increase in inventory.</w:t>
      </w:r>
    </w:p>
    <w:p>
      <w:pPr>
        <w:spacing w:after="0" w:line="79"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decreased by $0.7 million during the three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2021, compared to the three months ended June 30, 2020, primarily due to cost reduction initiatives that drove decreases in personnel and professional fees.</w:t>
      </w:r>
    </w:p>
    <w:p>
      <w:pPr>
        <w:spacing w:after="0" w:line="7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i w:val="1"/>
          <w:iCs w:val="1"/>
          <w:color w:val="auto"/>
        </w:rPr>
        <w:t xml:space="preserve">Other Operating Income, Net. </w:t>
      </w:r>
      <w:r>
        <w:rPr>
          <w:rFonts w:ascii="Arial" w:cs="Arial" w:eastAsia="Arial" w:hAnsi="Arial"/>
          <w:sz w:val="18"/>
          <w:szCs w:val="18"/>
          <w:color w:val="auto"/>
        </w:rPr>
        <w:t>Other operating income, net, changed unfavorably by $0.6 million primarily due to a gain on the sale of a building in</w:t>
      </w:r>
      <w:r>
        <w:rPr>
          <w:rFonts w:ascii="Arial" w:cs="Arial" w:eastAsia="Arial" w:hAnsi="Arial"/>
          <w:sz w:val="18"/>
          <w:szCs w:val="18"/>
          <w:i w:val="1"/>
          <w:iCs w:val="1"/>
          <w:color w:val="auto"/>
        </w:rPr>
        <w:t xml:space="preserve"> </w:t>
      </w:r>
      <w:r>
        <w:rPr>
          <w:rFonts w:ascii="Arial" w:cs="Arial" w:eastAsia="Arial" w:hAnsi="Arial"/>
          <w:sz w:val="18"/>
          <w:szCs w:val="18"/>
          <w:color w:val="auto"/>
        </w:rPr>
        <w:t>Fairfield, Ohio, during the three months ended June 30, 2020.</w:t>
      </w:r>
    </w:p>
    <w:p>
      <w:pPr>
        <w:spacing w:after="0" w:line="62"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decreased by $2.8 million during the three months ended June 30, 2021, compared to the three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2020, primarily due to settlements on the interest rate swap in the prior year that were recognized in interest expense while the hedge was effective.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r>
      <w:tr>
        <w:trPr>
          <w:trHeight w:val="187"/>
        </w:trPr>
        <w:tc>
          <w:tcPr>
            <w:tcW w:w="78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debt</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Interest rate swap settlements</w:t>
            </w:r>
          </w:p>
        </w:tc>
        <w:tc>
          <w:tcPr>
            <w:tcW w:w="10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3,436</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issuance costs and discount</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Capitalized interest</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23"/>
        </w:trPr>
        <w:tc>
          <w:tcPr>
            <w:tcW w:w="7840" w:type="dxa"/>
            <w:vAlign w:val="bottom"/>
          </w:tcPr>
          <w:p>
            <w:pPr>
              <w:ind w:left="220"/>
              <w:spacing w:after="0"/>
              <w:rPr>
                <w:sz w:val="20"/>
                <w:szCs w:val="20"/>
                <w:color w:val="auto"/>
              </w:rPr>
            </w:pPr>
            <w:r>
              <w:rPr>
                <w:rFonts w:ascii="Arial" w:cs="Arial" w:eastAsia="Arial" w:hAnsi="Arial"/>
                <w:sz w:val="18"/>
                <w:szCs w:val="18"/>
                <w:color w:val="auto"/>
              </w:rPr>
              <w:t>Total interest expense</w:t>
            </w: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3,573</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6,356</w:t>
            </w:r>
          </w:p>
        </w:tc>
      </w:tr>
      <w:tr>
        <w:trPr>
          <w:trHeight w:val="20"/>
        </w:trPr>
        <w:tc>
          <w:tcPr>
            <w:tcW w:w="7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i w:val="1"/>
          <w:iCs w:val="1"/>
          <w:color w:val="auto"/>
        </w:rPr>
        <w:t xml:space="preserve">Other Expense (Income), Net. </w:t>
      </w:r>
      <w:r>
        <w:rPr>
          <w:rFonts w:ascii="Arial" w:cs="Arial" w:eastAsia="Arial" w:hAnsi="Arial"/>
          <w:sz w:val="18"/>
          <w:szCs w:val="18"/>
          <w:color w:val="auto"/>
        </w:rPr>
        <w:t>Other expense (income), net, changed unfavorably by $2.9 million during the three months ended June 30, 2021,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three months ended June 30, 2020, due to noncash derivative mark-to-market losses, less favorable foreign exchange effects associated with intercompany borrowings, and a litigation settlement reached during the current quarter.</w:t>
      </w:r>
    </w:p>
    <w:p>
      <w:pPr>
        <w:spacing w:after="0" w:line="7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color w:val="auto"/>
        </w:rPr>
        <w:t xml:space="preserve">Benefit (Provision) For Income Taxes. </w:t>
      </w:r>
      <w:r>
        <w:rPr>
          <w:rFonts w:ascii="Arial" w:cs="Arial" w:eastAsia="Arial" w:hAnsi="Arial"/>
          <w:sz w:val="18"/>
          <w:szCs w:val="18"/>
          <w:color w:val="auto"/>
        </w:rPr>
        <w:t>Our effective tax rate was 3.4% for the three months ended June 30, 2021, compared to (13.3)%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2020. The difference in rates is primarily due to the estimated impacts of GILTI and the CARES Act. Note 8 in the Notes to Condensed Consolidated Financial Statements describes the effective income tax rate for each period presented.</w:t>
      </w:r>
    </w:p>
    <w:p>
      <w:pPr>
        <w:spacing w:after="0" w:line="76"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i w:val="1"/>
          <w:iCs w:val="1"/>
          <w:color w:val="auto"/>
        </w:rPr>
        <w:t xml:space="preserve">Share of Net Income from Joint Venture. </w:t>
      </w:r>
      <w:r>
        <w:rPr>
          <w:rFonts w:ascii="Arial" w:cs="Arial" w:eastAsia="Arial" w:hAnsi="Arial"/>
          <w:sz w:val="17"/>
          <w:szCs w:val="17"/>
          <w:color w:val="auto"/>
        </w:rPr>
        <w:t>Our share of net income from the joint venture increased during the three months ended June 30, 2021,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the three months ended June 30, 2020, primarily due to improved profits resulting from higher sales volumes, expanding variable margins as a result of successful process improvement initiatives and improved product mix, and fixed cost reduction actions.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MOBILE SOLUTIONS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1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87"/>
        </w:trPr>
        <w:tc>
          <w:tcPr>
            <w:tcW w:w="53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 Change</w:t>
            </w:r>
          </w:p>
        </w:tc>
        <w:tc>
          <w:tcPr>
            <w:tcW w:w="860" w:type="dxa"/>
            <w:vAlign w:val="bottom"/>
            <w:tcBorders>
              <w:bottom w:val="single" w:sz="8" w:color="auto"/>
            </w:tcBorders>
          </w:tcPr>
          <w:p>
            <w:pPr>
              <w:spacing w:after="0"/>
              <w:rPr>
                <w:sz w:val="16"/>
                <w:szCs w:val="16"/>
                <w:color w:val="auto"/>
              </w:rPr>
            </w:pPr>
          </w:p>
        </w:tc>
      </w:tr>
      <w:tr>
        <w:trPr>
          <w:trHeight w:val="224"/>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41,037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w w:val="87"/>
              </w:rPr>
              <w:t>32,849</w:t>
            </w:r>
          </w:p>
        </w:tc>
        <w:tc>
          <w:tcPr>
            <w:tcW w:w="860" w:type="dxa"/>
            <w:vAlign w:val="bottom"/>
            <w:shd w:val="clear" w:color="auto" w:fill="CCEEFF"/>
          </w:tcPr>
          <w:p>
            <w:pPr>
              <w:spacing w:after="0"/>
              <w:rPr>
                <w:sz w:val="19"/>
                <w:szCs w:val="19"/>
                <w:color w:val="auto"/>
              </w:rPr>
            </w:pPr>
          </w:p>
        </w:tc>
      </w:tr>
      <w:tr>
        <w:trPr>
          <w:trHeight w:val="229"/>
        </w:trPr>
        <w:tc>
          <w:tcPr>
            <w:tcW w:w="5300" w:type="dxa"/>
            <w:vAlign w:val="bottom"/>
          </w:tcPr>
          <w:p>
            <w:pPr>
              <w:ind w:left="360"/>
              <w:spacing w:after="0"/>
              <w:rPr>
                <w:sz w:val="20"/>
                <w:szCs w:val="20"/>
                <w:color w:val="auto"/>
              </w:rPr>
            </w:pPr>
            <w:r>
              <w:rPr>
                <w:rFonts w:ascii="Arial" w:cs="Arial" w:eastAsia="Arial" w:hAnsi="Arial"/>
                <w:sz w:val="18"/>
                <w:szCs w:val="18"/>
                <w:i w:val="1"/>
                <w:iCs w:val="1"/>
                <w:color w:val="auto"/>
              </w:rPr>
              <w:t>Organic growth</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60" w:type="dxa"/>
            <w:vAlign w:val="bottom"/>
          </w:tcPr>
          <w:p>
            <w:pPr>
              <w:jc w:val="right"/>
              <w:ind w:right="395"/>
              <w:spacing w:after="0"/>
              <w:rPr>
                <w:sz w:val="20"/>
                <w:szCs w:val="20"/>
                <w:color w:val="auto"/>
              </w:rPr>
            </w:pPr>
            <w:r>
              <w:rPr>
                <w:rFonts w:ascii="Arial" w:cs="Arial" w:eastAsia="Arial" w:hAnsi="Arial"/>
                <w:sz w:val="18"/>
                <w:szCs w:val="18"/>
                <w:i w:val="1"/>
                <w:i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31,013</w:t>
            </w:r>
          </w:p>
        </w:tc>
      </w:tr>
      <w:tr>
        <w:trPr>
          <w:trHeight w:val="23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1,836</w:t>
            </w: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2,509</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ind w:left="560"/>
              <w:spacing w:after="0"/>
              <w:rPr>
                <w:sz w:val="20"/>
                <w:szCs w:val="20"/>
                <w:color w:val="auto"/>
              </w:rPr>
            </w:pPr>
            <w:r>
              <w:rPr>
                <w:rFonts w:ascii="Arial" w:cs="Arial" w:eastAsia="Arial" w:hAnsi="Arial"/>
                <w:sz w:val="18"/>
                <w:szCs w:val="18"/>
                <w:color w:val="auto"/>
                <w:w w:val="94"/>
              </w:rPr>
              <w:t>(4,592)</w:t>
            </w:r>
          </w:p>
        </w:tc>
        <w:tc>
          <w:tcPr>
            <w:tcW w:w="100" w:type="dxa"/>
            <w:vAlign w:val="bottom"/>
          </w:tcPr>
          <w:p>
            <w:pPr>
              <w:spacing w:after="0"/>
              <w:rPr>
                <w:sz w:val="20"/>
                <w:szCs w:val="20"/>
                <w:color w:val="auto"/>
              </w:rPr>
            </w:pP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75"/>
              <w:spacing w:after="0"/>
              <w:rPr>
                <w:sz w:val="20"/>
                <w:szCs w:val="20"/>
                <w:color w:val="auto"/>
              </w:rPr>
            </w:pPr>
            <w:r>
              <w:rPr>
                <w:rFonts w:ascii="Arial" w:cs="Arial" w:eastAsia="Arial" w:hAnsi="Arial"/>
                <w:sz w:val="18"/>
                <w:szCs w:val="18"/>
                <w:color w:val="auto"/>
              </w:rPr>
              <w:t>7,101</w:t>
            </w:r>
          </w:p>
        </w:tc>
        <w:tc>
          <w:tcPr>
            <w:tcW w:w="860" w:type="dxa"/>
            <w:vAlign w:val="bottom"/>
          </w:tcPr>
          <w:p>
            <w:pPr>
              <w:spacing w:after="0"/>
              <w:rPr>
                <w:sz w:val="20"/>
                <w:szCs w:val="20"/>
                <w:color w:val="auto"/>
              </w:rPr>
            </w:pPr>
          </w:p>
        </w:tc>
      </w:tr>
    </w:tbl>
    <w:p>
      <w:pPr>
        <w:spacing w:after="0" w:line="255"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Net sales increased by $32.8 million during the three months ended June 30, 2021, compared to the three months ended June 30, 2020, primarily due to higher demand within all markets which were negatively impacted by the COVID-19 pandemic in the prior year, new business in the general industrial market, and favorable foreign exchange effects of $1.8 million.</w:t>
      </w:r>
    </w:p>
    <w:p>
      <w:pPr>
        <w:spacing w:after="0" w:line="76"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Income from operations increased by $7.1 million during the three months ended June 30, 2021, compared to the same period in the prior year primarily due to the contribution generated from the above-noted sales increase. Moreover, we built up inventory in the three months ended June 30, 2021, which resulted in favorable overhead absorption during the quarter. These positive impacts were partially offset by the reintroduction of employee-related costs suspended in the prior year due to the pandemic, such as travel, benefits and overtime hours.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POWER SOLUTIONS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1095"/>
              <w:spacing w:after="0"/>
              <w:rPr>
                <w:sz w:val="20"/>
                <w:szCs w:val="20"/>
                <w:color w:val="auto"/>
              </w:rPr>
            </w:pPr>
            <w:r>
              <w:rPr>
                <w:rFonts w:ascii="Arial" w:cs="Arial" w:eastAsia="Arial" w:hAnsi="Arial"/>
                <w:sz w:val="14"/>
                <w:szCs w:val="14"/>
                <w:b w:val="1"/>
                <w:bCs w:val="1"/>
                <w:color w:val="auto"/>
              </w:rPr>
              <w:t>Three Months Ended June 30,</w:t>
            </w:r>
          </w:p>
        </w:tc>
        <w:tc>
          <w:tcPr>
            <w:tcW w:w="800" w:type="dxa"/>
            <w:vAlign w:val="bottom"/>
            <w:tcBorders>
              <w:bottom w:val="single" w:sz="8" w:color="auto"/>
            </w:tcBorders>
          </w:tcPr>
          <w:p>
            <w:pPr>
              <w:spacing w:after="0"/>
              <w:rPr>
                <w:sz w:val="16"/>
                <w:szCs w:val="16"/>
                <w:color w:val="auto"/>
              </w:rPr>
            </w:pPr>
          </w:p>
        </w:tc>
      </w:tr>
      <w:tr>
        <w:trPr>
          <w:trHeight w:val="187"/>
        </w:trPr>
        <w:tc>
          <w:tcPr>
            <w:tcW w:w="54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 Change</w:t>
            </w:r>
          </w:p>
        </w:tc>
        <w:tc>
          <w:tcPr>
            <w:tcW w:w="800" w:type="dxa"/>
            <w:vAlign w:val="bottom"/>
            <w:tcBorders>
              <w:bottom w:val="single" w:sz="8" w:color="auto"/>
            </w:tcBorders>
          </w:tcPr>
          <w:p>
            <w:pPr>
              <w:spacing w:after="0"/>
              <w:rPr>
                <w:sz w:val="16"/>
                <w:szCs w:val="16"/>
                <w:color w:val="auto"/>
              </w:rPr>
            </w:pPr>
          </w:p>
        </w:tc>
      </w:tr>
      <w:tr>
        <w:trPr>
          <w:trHeight w:val="224"/>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635"/>
              <w:spacing w:after="0"/>
              <w:rPr>
                <w:sz w:val="20"/>
                <w:szCs w:val="20"/>
                <w:color w:val="auto"/>
              </w:rPr>
            </w:pPr>
            <w:r>
              <w:rPr>
                <w:rFonts w:ascii="Arial" w:cs="Arial" w:eastAsia="Arial" w:hAnsi="Arial"/>
                <w:sz w:val="18"/>
                <w:szCs w:val="18"/>
                <w:color w:val="auto"/>
              </w:rPr>
              <w:t>11,780</w:t>
            </w:r>
          </w:p>
        </w:tc>
        <w:tc>
          <w:tcPr>
            <w:tcW w:w="800" w:type="dxa"/>
            <w:vAlign w:val="bottom"/>
            <w:shd w:val="clear" w:color="auto" w:fill="CCEEFF"/>
          </w:tcPr>
          <w:p>
            <w:pPr>
              <w:spacing w:after="0"/>
              <w:rPr>
                <w:sz w:val="19"/>
                <w:szCs w:val="19"/>
                <w:color w:val="auto"/>
              </w:rPr>
            </w:pPr>
          </w:p>
        </w:tc>
      </w:tr>
      <w:tr>
        <w:trPr>
          <w:trHeight w:val="229"/>
        </w:trPr>
        <w:tc>
          <w:tcPr>
            <w:tcW w:w="5420" w:type="dxa"/>
            <w:vAlign w:val="bottom"/>
          </w:tcPr>
          <w:p>
            <w:pPr>
              <w:ind w:left="360"/>
              <w:spacing w:after="0"/>
              <w:rPr>
                <w:sz w:val="20"/>
                <w:szCs w:val="20"/>
                <w:color w:val="auto"/>
              </w:rPr>
            </w:pPr>
            <w:r>
              <w:rPr>
                <w:rFonts w:ascii="Arial" w:cs="Arial" w:eastAsia="Arial" w:hAnsi="Arial"/>
                <w:sz w:val="18"/>
                <w:szCs w:val="18"/>
                <w:i w:val="1"/>
                <w:iCs w:val="1"/>
                <w:color w:val="auto"/>
              </w:rPr>
              <w:t>Organic growth</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tcPr>
          <w:p>
            <w:pPr>
              <w:jc w:val="right"/>
              <w:ind w:right="455"/>
              <w:spacing w:after="0"/>
              <w:rPr>
                <w:sz w:val="20"/>
                <w:szCs w:val="20"/>
                <w:color w:val="auto"/>
              </w:rPr>
            </w:pPr>
            <w:r>
              <w:rPr>
                <w:rFonts w:ascii="Arial" w:cs="Arial" w:eastAsia="Arial" w:hAnsi="Arial"/>
                <w:sz w:val="18"/>
                <w:szCs w:val="18"/>
                <w:i w:val="1"/>
                <w:i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i w:val="1"/>
                <w:iCs w:val="1"/>
                <w:color w:val="auto"/>
              </w:rPr>
              <w:t>11,114</w:t>
            </w:r>
          </w:p>
        </w:tc>
      </w:tr>
      <w:tr>
        <w:trPr>
          <w:trHeight w:val="230"/>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666</w:t>
            </w: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2,875</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635"/>
              <w:spacing w:after="0"/>
              <w:rPr>
                <w:sz w:val="20"/>
                <w:szCs w:val="20"/>
                <w:color w:val="auto"/>
              </w:rPr>
            </w:pPr>
            <w:r>
              <w:rPr>
                <w:rFonts w:ascii="Arial" w:cs="Arial" w:eastAsia="Arial" w:hAnsi="Arial"/>
                <w:sz w:val="18"/>
                <w:szCs w:val="18"/>
                <w:color w:val="auto"/>
              </w:rPr>
              <w:t>1,421</w:t>
            </w:r>
          </w:p>
        </w:tc>
        <w:tc>
          <w:tcPr>
            <w:tcW w:w="800" w:type="dxa"/>
            <w:vAlign w:val="bottom"/>
          </w:tcPr>
          <w:p>
            <w:pPr>
              <w:spacing w:after="0"/>
              <w:rPr>
                <w:sz w:val="20"/>
                <w:szCs w:val="20"/>
                <w:color w:val="auto"/>
              </w:rPr>
            </w:pPr>
          </w:p>
        </w:tc>
      </w:tr>
    </w:tbl>
    <w:p>
      <w:pPr>
        <w:spacing w:after="0" w:line="25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Net sales increased by $11.8 million during the three months ended June 30, 2021, compared to the three months ended June 30, 2020 primarily due to higher demand within the end markets which were negatively impacted by the COVID-19 pandemic in the prior year. Sales were also positively impacted by increased selling prices for precious metals allowed under customer contracts due to the sharp rise in underlying commodities costs compared with the same period in 2020. Sales of components to</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medical industry experienced recovery in the current period compared to the same period of 2020 when many elective surgeries were delayed as a result of the COVID-19 pandemic.</w:t>
      </w:r>
    </w:p>
    <w:p>
      <w:pPr>
        <w:spacing w:after="0" w:line="6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Income from operations increased by $1.4 million compared to the same period in the prior year primarily due to the contribution generated from the above-noted sales increase, partially offset by the reintroduction of employee-related costs suspended in the prior year due to the pandemic, such as travel, benefits and overtime hours.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2021, compared to the Six Months Ended June 30,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6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194,745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55,216</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560"/>
              <w:spacing w:after="0"/>
              <w:rPr>
                <w:sz w:val="20"/>
                <w:szCs w:val="20"/>
                <w:color w:val="auto"/>
              </w:rPr>
            </w:pPr>
            <w:r>
              <w:rPr>
                <w:rFonts w:ascii="Arial" w:cs="Arial" w:eastAsia="Arial" w:hAnsi="Arial"/>
                <w:sz w:val="18"/>
                <w:szCs w:val="18"/>
                <w:i w:val="1"/>
                <w:iCs w:val="1"/>
                <w:color w:val="auto"/>
              </w:rPr>
              <w:t>Organic growth</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i w:val="1"/>
                <w:i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53,371</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Foreign exchange effects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1,845</w:t>
            </w:r>
          </w:p>
        </w:tc>
        <w:tc>
          <w:tcPr>
            <w:tcW w:w="0" w:type="dxa"/>
            <w:vAlign w:val="bottom"/>
          </w:tcPr>
          <w:p>
            <w:pPr>
              <w:spacing w:after="0"/>
              <w:rPr>
                <w:sz w:val="1"/>
                <w:szCs w:val="1"/>
                <w:color w:val="auto"/>
              </w:rPr>
            </w:pPr>
          </w:p>
        </w:tc>
      </w:tr>
      <w:tr>
        <w:trPr>
          <w:trHeight w:val="176"/>
        </w:trPr>
        <w:tc>
          <w:tcPr>
            <w:tcW w:w="5300" w:type="dxa"/>
            <w:vAlign w:val="bottom"/>
          </w:tcPr>
          <w:p>
            <w:pPr>
              <w:ind w:left="220"/>
              <w:spacing w:after="0" w:line="176" w:lineRule="exact"/>
              <w:rPr>
                <w:sz w:val="20"/>
                <w:szCs w:val="20"/>
                <w:color w:val="auto"/>
              </w:rPr>
            </w:pPr>
            <w:r>
              <w:rPr>
                <w:rFonts w:ascii="Arial" w:cs="Arial" w:eastAsia="Arial" w:hAnsi="Arial"/>
                <w:sz w:val="18"/>
                <w:szCs w:val="18"/>
                <w:color w:val="auto"/>
                <w:w w:val="99"/>
              </w:rPr>
              <w:t>Cost of sales (exclusive of depreciation and amortization shown</w:t>
            </w: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199,485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159,536</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39,949</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20"/>
              <w:spacing w:after="0"/>
              <w:rPr>
                <w:sz w:val="20"/>
                <w:szCs w:val="20"/>
                <w:color w:val="auto"/>
              </w:rPr>
            </w:pPr>
            <w:r>
              <w:rPr>
                <w:rFonts w:ascii="Arial" w:cs="Arial" w:eastAsia="Arial" w:hAnsi="Arial"/>
                <w:sz w:val="18"/>
                <w:szCs w:val="18"/>
                <w:color w:val="auto"/>
              </w:rPr>
              <w:t>separately below)</w:t>
            </w:r>
          </w:p>
        </w:tc>
        <w:tc>
          <w:tcPr>
            <w:tcW w:w="3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23,255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22,684</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571</w:t>
            </w: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 impairment</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92,942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(92,942)</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operating expense (income),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4,177</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(4,506)</w:t>
            </w:r>
          </w:p>
        </w:tc>
        <w:tc>
          <w:tcPr>
            <w:tcW w:w="5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(115,027)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114,417</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10,163</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(4,566)</w:t>
            </w: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Loss on extinguishment of debt and write-off of debt issuance costs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20"/>
              <w:spacing w:after="0"/>
              <w:rPr>
                <w:sz w:val="20"/>
                <w:szCs w:val="20"/>
                <w:color w:val="auto"/>
              </w:rPr>
            </w:pPr>
            <w:r>
              <w:rPr>
                <w:rFonts w:ascii="Arial" w:cs="Arial" w:eastAsia="Arial" w:hAnsi="Arial"/>
                <w:sz w:val="18"/>
                <w:szCs w:val="18"/>
                <w:color w:val="auto"/>
              </w:rPr>
              <w:t>Derivative payments on interest rate swap</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1,717</w:t>
            </w: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interest rate swap</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expense,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w:t>
            </w:r>
          </w:p>
        </w:tc>
        <w:tc>
          <w:tcPr>
            <w:tcW w:w="5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3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5"/>
              </w:rPr>
              <w:t>Loss from continuing operations before benefit (provision) for income</w:t>
            </w:r>
          </w:p>
        </w:tc>
        <w:tc>
          <w:tcPr>
            <w:tcW w:w="34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(13,905)</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(125,519)</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111,614</w:t>
            </w:r>
          </w:p>
        </w:tc>
        <w:tc>
          <w:tcPr>
            <w:tcW w:w="5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and share of net income from joint venture</w:t>
            </w:r>
          </w:p>
        </w:tc>
        <w:tc>
          <w:tcPr>
            <w:tcW w:w="34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20"/>
              <w:spacing w:after="0"/>
              <w:rPr>
                <w:sz w:val="20"/>
                <w:szCs w:val="20"/>
                <w:color w:val="auto"/>
              </w:rPr>
            </w:pPr>
            <w:r>
              <w:rPr>
                <w:rFonts w:ascii="Arial" w:cs="Arial" w:eastAsia="Arial" w:hAnsi="Arial"/>
                <w:sz w:val="18"/>
                <w:szCs w:val="18"/>
                <w:color w:val="auto"/>
              </w:rPr>
              <w:t>Benefit (provision) for income taxes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1,767</w:t>
            </w: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 of net income from joint venture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Loss from continuing operations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(125,643)</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115,339</w:t>
            </w: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(144,296)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144,296</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(269,939)</w:t>
            </w:r>
          </w:p>
        </w:tc>
        <w:tc>
          <w:tcPr>
            <w:tcW w:w="1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259,635</w:t>
            </w: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i w:val="1"/>
          <w:iCs w:val="1"/>
          <w:color w:val="auto"/>
        </w:rPr>
        <w:t>Net Sales</w:t>
      </w:r>
      <w:r>
        <w:rPr>
          <w:rFonts w:ascii="Arial" w:cs="Arial" w:eastAsia="Arial" w:hAnsi="Arial"/>
          <w:sz w:val="17"/>
          <w:szCs w:val="17"/>
          <w:color w:val="auto"/>
        </w:rPr>
        <w:t>. Net sales increased by $55.2 million, or 28%, during the six months ended June 30, 2021, compared to the six months ended June 30, 2020,</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higher demand within all markets that were negatively impacted by the COVID-19 pandemic in the prior year and favorable foreign exchange effects of $1.8 million. In addition, sales were positively impacted by increased selling prices for precious metals allowed under customer contracts due to the sharp rise in underlying commodities costs compared with the same period of 2020.</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Cost of sales increased by $39.9 million, or 25%, during the six months ended June 30, 2021, compared to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primarily due to variable costs associated with the above-noted sales increase. In addition, cost of sales increased due to the reintroduction of employee-related costs suspended in the prior year due to the pandemic, such as travel, benefits and overtime hours, which was partially offset by favorable overhead absorption due to the increase in inventory.</w:t>
      </w:r>
    </w:p>
    <w:p>
      <w:pPr>
        <w:spacing w:after="0" w:line="7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decreased by $2.3 million during the six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2021, compared to the six months ended June 30, 2020, primarily due to cost reduction initiatives that drove decreases in personnel costs and professional fees.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Goodwill Impairment. </w:t>
      </w:r>
      <w:r>
        <w:rPr>
          <w:rFonts w:ascii="Arial" w:cs="Arial" w:eastAsia="Arial" w:hAnsi="Arial"/>
          <w:sz w:val="17"/>
          <w:szCs w:val="17"/>
          <w:color w:val="auto"/>
        </w:rPr>
        <w:t>We recognized goodwill impairment of $92.9 million at Power Solutions in 2020, resulting in no remaining goodwill balance.</w:t>
      </w:r>
    </w:p>
    <w:p>
      <w:pPr>
        <w:spacing w:after="0" w:line="1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 xml:space="preserve">Other Operating Expense (Income), Net. </w:t>
      </w:r>
      <w:r>
        <w:rPr>
          <w:rFonts w:ascii="Arial" w:cs="Arial" w:eastAsia="Arial" w:hAnsi="Arial"/>
          <w:sz w:val="18"/>
          <w:szCs w:val="18"/>
          <w:color w:val="auto"/>
        </w:rPr>
        <w:t>Other operating expense (income), net, changed favorably by $4.5 million primarily due to charges and costs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asset disposals and elimination of a portion of our lease obligation as a result of our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decision to vacate a portion of our corporate headquarters building in 2020. These charges were partially offset by a gain on the sale of a building in Fairfield, Ohio, in the second quarter of 2020.</w:t>
      </w:r>
    </w:p>
    <w:p>
      <w:pPr>
        <w:spacing w:after="0" w:line="6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decreased by $4.6 million during the six months ended June 30, 2021, compared to the six months ended June 30, 2020,</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settlements on the interest rate swap the prior year that were recognized in interest expense while the hedge was effective.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6"/>
                <w:szCs w:val="16"/>
                <w:color w:val="auto"/>
              </w:rPr>
            </w:pPr>
          </w:p>
        </w:tc>
      </w:tr>
      <w:tr>
        <w:trPr>
          <w:trHeight w:val="187"/>
        </w:trPr>
        <w:tc>
          <w:tcPr>
            <w:tcW w:w="78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debt</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4,549</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4,155</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Interest rate swap settlements</w:t>
            </w:r>
          </w:p>
        </w:tc>
        <w:tc>
          <w:tcPr>
            <w:tcW w:w="10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4,806</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issuance costs and discount</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Capitalized interest</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23"/>
        </w:trPr>
        <w:tc>
          <w:tcPr>
            <w:tcW w:w="7840" w:type="dxa"/>
            <w:vAlign w:val="bottom"/>
          </w:tcPr>
          <w:p>
            <w:pPr>
              <w:ind w:left="220"/>
              <w:spacing w:after="0"/>
              <w:rPr>
                <w:sz w:val="20"/>
                <w:szCs w:val="20"/>
                <w:color w:val="auto"/>
              </w:rPr>
            </w:pPr>
            <w:r>
              <w:rPr>
                <w:rFonts w:ascii="Arial" w:cs="Arial" w:eastAsia="Arial" w:hAnsi="Arial"/>
                <w:sz w:val="18"/>
                <w:szCs w:val="18"/>
                <w:color w:val="auto"/>
              </w:rPr>
              <w:t>Total interest expense</w:t>
            </w: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5,597</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10,163</w:t>
            </w:r>
          </w:p>
        </w:tc>
      </w:tr>
      <w:tr>
        <w:trPr>
          <w:trHeight w:val="20"/>
        </w:trPr>
        <w:tc>
          <w:tcPr>
            <w:tcW w:w="7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Loss on Extinguishment of Debt and Write-off of Debt Issuance Costs. </w:t>
      </w:r>
      <w:r>
        <w:rPr>
          <w:rFonts w:ascii="Arial" w:cs="Arial" w:eastAsia="Arial" w:hAnsi="Arial"/>
          <w:sz w:val="18"/>
          <w:szCs w:val="18"/>
          <w:color w:val="auto"/>
        </w:rPr>
        <w:t>We recognized $2.4 million for the write-off of unamortized debt issuance costs that</w:t>
      </w:r>
      <w:r>
        <w:rPr>
          <w:rFonts w:ascii="Arial" w:cs="Arial" w:eastAsia="Arial" w:hAnsi="Arial"/>
          <w:sz w:val="18"/>
          <w:szCs w:val="18"/>
          <w:i w:val="1"/>
          <w:iCs w:val="1"/>
          <w:color w:val="auto"/>
        </w:rPr>
        <w:t xml:space="preserve"> </w:t>
      </w:r>
      <w:r>
        <w:rPr>
          <w:rFonts w:ascii="Arial" w:cs="Arial" w:eastAsia="Arial" w:hAnsi="Arial"/>
          <w:sz w:val="18"/>
          <w:szCs w:val="18"/>
          <w:color w:val="auto"/>
        </w:rPr>
        <w:t>were associated with the credit facility that was terminated in March 2021.</w:t>
      </w:r>
    </w:p>
    <w:p>
      <w:pPr>
        <w:spacing w:after="0" w:line="6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i w:val="1"/>
          <w:iCs w:val="1"/>
          <w:color w:val="auto"/>
        </w:rPr>
        <w:t xml:space="preserve">Derivative Payments on Interest Rate Swap. </w:t>
      </w:r>
      <w:r>
        <w:rPr>
          <w:rFonts w:ascii="Arial" w:cs="Arial" w:eastAsia="Arial" w:hAnsi="Arial"/>
          <w:sz w:val="18"/>
          <w:szCs w:val="18"/>
          <w:color w:val="auto"/>
        </w:rPr>
        <w:t>Derivative payments on interest rate swap represent cash settlements of the interest rate swap after hedge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was discontinued in October 2020. Prior to October 2020, interest rate swap settlements were recognized in interest expense. The interest rate swap was terminated in the first quarter of 2021.</w:t>
      </w:r>
    </w:p>
    <w:p>
      <w:pPr>
        <w:spacing w:after="0" w:line="76"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Loss on Interest Rate Swap</w:t>
      </w:r>
      <w:r>
        <w:rPr>
          <w:rFonts w:ascii="Arial" w:cs="Arial" w:eastAsia="Arial" w:hAnsi="Arial"/>
          <w:sz w:val="18"/>
          <w:szCs w:val="18"/>
          <w:color w:val="auto"/>
        </w:rPr>
        <w:t>. Loss on interest rate swap represents mark-to-market adjustments on the interest rate swap after hedge accounting was</w:t>
      </w:r>
      <w:r>
        <w:rPr>
          <w:rFonts w:ascii="Arial" w:cs="Arial" w:eastAsia="Arial" w:hAnsi="Arial"/>
          <w:sz w:val="18"/>
          <w:szCs w:val="18"/>
          <w:i w:val="1"/>
          <w:iCs w:val="1"/>
          <w:color w:val="auto"/>
        </w:rPr>
        <w:t xml:space="preserve"> </w:t>
      </w:r>
      <w:r>
        <w:rPr>
          <w:rFonts w:ascii="Arial" w:cs="Arial" w:eastAsia="Arial" w:hAnsi="Arial"/>
          <w:sz w:val="18"/>
          <w:szCs w:val="18"/>
          <w:color w:val="auto"/>
        </w:rPr>
        <w:t>discontinued in October 2020 as well as amortization of the residual loss in accumulated other comprehensive income as monthly settlements occur. Prior to October 2020, mark-to-market adjustments on the interest rate swap were recognized in accumulated other comprehensive income. Upon termination of the interest rate swap in March 2021, we recognized in earnings the remaining $3.3 million loss that had been deferred in accumulated other comprehensive income.</w:t>
      </w:r>
    </w:p>
    <w:p>
      <w:pPr>
        <w:spacing w:after="0" w:line="14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changed unfavorably by $1.2 million during the six months ended June 30, 2021, compared to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2020, due to a litigation settlement reached during the current quarter, partially offset by more favorable foreign exchange effects associated with intercompany borrowings.</w:t>
      </w:r>
    </w:p>
    <w:p>
      <w:pPr>
        <w:spacing w:after="0" w:line="76"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 xml:space="preserve">Benefit (Provision) for Income Taxes. </w:t>
      </w:r>
      <w:r>
        <w:rPr>
          <w:rFonts w:ascii="Arial" w:cs="Arial" w:eastAsia="Arial" w:hAnsi="Arial"/>
          <w:sz w:val="18"/>
          <w:szCs w:val="18"/>
          <w:color w:val="auto"/>
        </w:rPr>
        <w:t>Our effective tax rate was 7.1% for the six months ended June 30, 2021, compared to (0.6)%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2020. The difference in rates is primarily due to the estimated impacts of GILTI and the CARES Act. Note 8 in the Notes to Condensed Consolidated Financial Statements describes the effective income tax rate for each period presented.</w:t>
      </w:r>
    </w:p>
    <w:p>
      <w:pPr>
        <w:spacing w:after="0" w:line="7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color w:val="auto"/>
        </w:rPr>
        <w:t xml:space="preserve">Share of Net Income from Joint Venture. </w:t>
      </w:r>
      <w:r>
        <w:rPr>
          <w:rFonts w:ascii="Arial" w:cs="Arial" w:eastAsia="Arial" w:hAnsi="Arial"/>
          <w:sz w:val="18"/>
          <w:szCs w:val="18"/>
          <w:color w:val="auto"/>
        </w:rPr>
        <w:t>Share of net income from the JV increased during the six months ended June 30, 2021, compared to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2020, primarily due to improved profits from expanding variable margins as a result of successful process improvement initiatives and improved product mix, and fixed cost reduction actions.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MOBILE SOLUTIONS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87"/>
        </w:trPr>
        <w:tc>
          <w:tcPr>
            <w:tcW w:w="5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 Change</w:t>
            </w:r>
          </w:p>
        </w:tc>
        <w:tc>
          <w:tcPr>
            <w:tcW w:w="860" w:type="dxa"/>
            <w:vAlign w:val="bottom"/>
            <w:tcBorders>
              <w:bottom w:val="single" w:sz="8" w:color="auto"/>
            </w:tcBorders>
          </w:tcPr>
          <w:p>
            <w:pPr>
              <w:spacing w:after="0"/>
              <w:rPr>
                <w:sz w:val="16"/>
                <w:szCs w:val="16"/>
                <w:color w:val="auto"/>
              </w:rPr>
            </w:pPr>
          </w:p>
        </w:tc>
      </w:tr>
      <w:tr>
        <w:trPr>
          <w:trHeight w:val="224"/>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110,921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w w:val="98"/>
              </w:rPr>
              <w:t>40,741</w:t>
            </w:r>
          </w:p>
        </w:tc>
        <w:tc>
          <w:tcPr>
            <w:tcW w:w="860" w:type="dxa"/>
            <w:vAlign w:val="bottom"/>
            <w:shd w:val="clear" w:color="auto" w:fill="CCEEFF"/>
          </w:tcPr>
          <w:p>
            <w:pPr>
              <w:spacing w:after="0"/>
              <w:rPr>
                <w:sz w:val="19"/>
                <w:szCs w:val="19"/>
                <w:color w:val="auto"/>
              </w:rPr>
            </w:pPr>
          </w:p>
        </w:tc>
      </w:tr>
      <w:tr>
        <w:trPr>
          <w:trHeight w:val="230"/>
        </w:trPr>
        <w:tc>
          <w:tcPr>
            <w:tcW w:w="5280" w:type="dxa"/>
            <w:vAlign w:val="bottom"/>
          </w:tcPr>
          <w:p>
            <w:pPr>
              <w:ind w:left="360"/>
              <w:spacing w:after="0"/>
              <w:rPr>
                <w:sz w:val="20"/>
                <w:szCs w:val="20"/>
                <w:color w:val="auto"/>
              </w:rPr>
            </w:pPr>
            <w:r>
              <w:rPr>
                <w:rFonts w:ascii="Arial" w:cs="Arial" w:eastAsia="Arial" w:hAnsi="Arial"/>
                <w:sz w:val="18"/>
                <w:szCs w:val="18"/>
                <w:i w:val="1"/>
                <w:iCs w:val="1"/>
                <w:color w:val="auto"/>
              </w:rPr>
              <w:t>Organic growth</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tcPr>
          <w:p>
            <w:pPr>
              <w:jc w:val="right"/>
              <w:ind w:right="395"/>
              <w:spacing w:after="0"/>
              <w:rPr>
                <w:sz w:val="20"/>
                <w:szCs w:val="20"/>
                <w:color w:val="auto"/>
              </w:rPr>
            </w:pPr>
            <w:r>
              <w:rPr>
                <w:rFonts w:ascii="Arial" w:cs="Arial" w:eastAsia="Arial" w:hAnsi="Arial"/>
                <w:sz w:val="18"/>
                <w:szCs w:val="18"/>
                <w:i w:val="1"/>
                <w:i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39,589</w:t>
            </w:r>
          </w:p>
        </w:tc>
      </w:tr>
      <w:tr>
        <w:trPr>
          <w:trHeight w:val="229"/>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1,152</w:t>
            </w: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8,599</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(4,328)</w:t>
            </w:r>
          </w:p>
        </w:tc>
        <w:tc>
          <w:tcPr>
            <w:tcW w:w="100" w:type="dxa"/>
            <w:vAlign w:val="bottom"/>
          </w:tcPr>
          <w:p>
            <w:pPr>
              <w:spacing w:after="0"/>
              <w:rPr>
                <w:sz w:val="20"/>
                <w:szCs w:val="20"/>
                <w:color w:val="auto"/>
              </w:rPr>
            </w:pP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75"/>
              <w:spacing w:after="0"/>
              <w:rPr>
                <w:sz w:val="20"/>
                <w:szCs w:val="20"/>
                <w:color w:val="auto"/>
              </w:rPr>
            </w:pPr>
            <w:r>
              <w:rPr>
                <w:rFonts w:ascii="Arial" w:cs="Arial" w:eastAsia="Arial" w:hAnsi="Arial"/>
                <w:sz w:val="18"/>
                <w:szCs w:val="18"/>
                <w:color w:val="auto"/>
                <w:w w:val="98"/>
              </w:rPr>
              <w:t>12,927</w:t>
            </w:r>
          </w:p>
        </w:tc>
        <w:tc>
          <w:tcPr>
            <w:tcW w:w="860" w:type="dxa"/>
            <w:vAlign w:val="bottom"/>
          </w:tcPr>
          <w:p>
            <w:pPr>
              <w:spacing w:after="0"/>
              <w:rPr>
                <w:sz w:val="20"/>
                <w:szCs w:val="20"/>
                <w:color w:val="auto"/>
              </w:rPr>
            </w:pPr>
          </w:p>
        </w:tc>
      </w:tr>
    </w:tbl>
    <w:p>
      <w:pPr>
        <w:spacing w:after="0" w:line="25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Net sales increased by $40.7 million during the six months ended June 30, 2021, compared to the six months ended June 30, 2020, primarily due to higher demand within all markets which were negatively impacted by the COVID-19 pandemic in the prior year, new business in the general industrial market, and favorable foreign exchange effects.</w:t>
      </w:r>
    </w:p>
    <w:p>
      <w:pPr>
        <w:spacing w:after="0" w:line="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Income (loss) from operations increased by $12.9 million compared to the same period in the prior year primarily due to contribution generated from the above-noted sales increase. Moreover, we built up inventory in the six months ended June 30, 2021, which resulted in favorable overhead absorption during the period. These positive impacts were partially offset by the reintroduction of employee-related costs suspended in the prior year due to the pandemic, such as travel, benefits and overtime hours.</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POWER SOLUTIONS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87"/>
        </w:trPr>
        <w:tc>
          <w:tcPr>
            <w:tcW w:w="54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 Change</w:t>
            </w:r>
          </w:p>
        </w:tc>
        <w:tc>
          <w:tcPr>
            <w:tcW w:w="820" w:type="dxa"/>
            <w:vAlign w:val="bottom"/>
            <w:tcBorders>
              <w:bottom w:val="single" w:sz="8" w:color="auto"/>
            </w:tcBorders>
          </w:tcPr>
          <w:p>
            <w:pPr>
              <w:spacing w:after="0"/>
              <w:rPr>
                <w:sz w:val="16"/>
                <w:szCs w:val="16"/>
                <w:color w:val="auto"/>
              </w:rPr>
            </w:pPr>
          </w:p>
        </w:tc>
      </w:tr>
      <w:tr>
        <w:trPr>
          <w:trHeight w:val="224"/>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88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98,346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center"/>
              <w:ind w:left="417"/>
              <w:spacing w:after="0"/>
              <w:rPr>
                <w:sz w:val="20"/>
                <w:szCs w:val="20"/>
                <w:color w:val="auto"/>
              </w:rPr>
            </w:pPr>
            <w:r>
              <w:rPr>
                <w:rFonts w:ascii="Arial" w:cs="Arial" w:eastAsia="Arial" w:hAnsi="Arial"/>
                <w:sz w:val="18"/>
                <w:szCs w:val="18"/>
                <w:color w:val="auto"/>
                <w:w w:val="87"/>
              </w:rPr>
              <w:t>83,892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w w:val="90"/>
              </w:rPr>
              <w:t>14,454</w:t>
            </w:r>
          </w:p>
        </w:tc>
        <w:tc>
          <w:tcPr>
            <w:tcW w:w="820" w:type="dxa"/>
            <w:vAlign w:val="bottom"/>
            <w:shd w:val="clear" w:color="auto" w:fill="CCEEFF"/>
          </w:tcPr>
          <w:p>
            <w:pPr>
              <w:spacing w:after="0"/>
              <w:rPr>
                <w:sz w:val="19"/>
                <w:szCs w:val="19"/>
                <w:color w:val="auto"/>
              </w:rPr>
            </w:pPr>
          </w:p>
        </w:tc>
      </w:tr>
      <w:tr>
        <w:trPr>
          <w:trHeight w:val="229"/>
        </w:trPr>
        <w:tc>
          <w:tcPr>
            <w:tcW w:w="5420" w:type="dxa"/>
            <w:vAlign w:val="bottom"/>
          </w:tcPr>
          <w:p>
            <w:pPr>
              <w:ind w:left="360"/>
              <w:spacing w:after="0"/>
              <w:rPr>
                <w:sz w:val="20"/>
                <w:szCs w:val="20"/>
                <w:color w:val="auto"/>
              </w:rPr>
            </w:pPr>
            <w:r>
              <w:rPr>
                <w:rFonts w:ascii="Arial" w:cs="Arial" w:eastAsia="Arial" w:hAnsi="Arial"/>
                <w:sz w:val="18"/>
                <w:szCs w:val="18"/>
                <w:i w:val="1"/>
                <w:iCs w:val="1"/>
                <w:color w:val="auto"/>
              </w:rPr>
              <w:t>Organic growth</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20" w:type="dxa"/>
            <w:vAlign w:val="bottom"/>
          </w:tcPr>
          <w:p>
            <w:pPr>
              <w:jc w:val="right"/>
              <w:ind w:right="434"/>
              <w:spacing w:after="0"/>
              <w:rPr>
                <w:sz w:val="20"/>
                <w:szCs w:val="20"/>
                <w:color w:val="auto"/>
              </w:rPr>
            </w:pPr>
            <w:r>
              <w:rPr>
                <w:rFonts w:ascii="Arial" w:cs="Arial" w:eastAsia="Arial" w:hAnsi="Arial"/>
                <w:sz w:val="18"/>
                <w:szCs w:val="18"/>
                <w:i w:val="1"/>
                <w:i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13,761</w:t>
            </w:r>
          </w:p>
        </w:tc>
      </w:tr>
      <w:tr>
        <w:trPr>
          <w:trHeight w:val="230"/>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693</w:t>
            </w: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Goodwill impairment</w:t>
            </w:r>
          </w:p>
        </w:tc>
        <w:tc>
          <w:tcPr>
            <w:tcW w:w="880" w:type="dxa"/>
            <w:vAlign w:val="bottom"/>
          </w:tcPr>
          <w:p>
            <w:pPr>
              <w:jc w:val="right"/>
              <w:ind w:right="695"/>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center"/>
              <w:ind w:left="397"/>
              <w:spacing w:after="0"/>
              <w:rPr>
                <w:sz w:val="20"/>
                <w:szCs w:val="20"/>
                <w:color w:val="auto"/>
              </w:rPr>
            </w:pPr>
            <w:r>
              <w:rPr>
                <w:rFonts w:ascii="Arial" w:cs="Arial" w:eastAsia="Arial" w:hAnsi="Arial"/>
                <w:sz w:val="18"/>
                <w:szCs w:val="18"/>
                <w:color w:val="auto"/>
                <w:w w:val="92"/>
              </w:rPr>
              <w:t>(92,942)</w:t>
            </w:r>
          </w:p>
        </w:tc>
        <w:tc>
          <w:tcPr>
            <w:tcW w:w="100" w:type="dxa"/>
            <w:vAlign w:val="bottom"/>
          </w:tcPr>
          <w:p>
            <w:pPr>
              <w:spacing w:after="0"/>
              <w:rPr>
                <w:sz w:val="19"/>
                <w:szCs w:val="19"/>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614"/>
              <w:spacing w:after="0"/>
              <w:rPr>
                <w:sz w:val="20"/>
                <w:szCs w:val="20"/>
                <w:color w:val="auto"/>
              </w:rPr>
            </w:pPr>
            <w:r>
              <w:rPr>
                <w:rFonts w:ascii="Arial" w:cs="Arial" w:eastAsia="Arial" w:hAnsi="Arial"/>
                <w:sz w:val="18"/>
                <w:szCs w:val="18"/>
                <w:color w:val="auto"/>
                <w:w w:val="90"/>
              </w:rPr>
              <w:t>92,942</w:t>
            </w:r>
          </w:p>
        </w:tc>
        <w:tc>
          <w:tcPr>
            <w:tcW w:w="820" w:type="dxa"/>
            <w:vAlign w:val="bottom"/>
          </w:tcPr>
          <w:p>
            <w:pPr>
              <w:spacing w:after="0"/>
              <w:rPr>
                <w:sz w:val="19"/>
                <w:szCs w:val="19"/>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88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center"/>
              <w:ind w:left="397"/>
              <w:spacing w:after="0"/>
              <w:rPr>
                <w:sz w:val="20"/>
                <w:szCs w:val="20"/>
                <w:color w:val="auto"/>
              </w:rPr>
            </w:pPr>
            <w:r>
              <w:rPr>
                <w:rFonts w:ascii="Arial" w:cs="Arial" w:eastAsia="Arial" w:hAnsi="Arial"/>
                <w:sz w:val="18"/>
                <w:szCs w:val="18"/>
                <w:color w:val="auto"/>
                <w:w w:val="92"/>
              </w:rPr>
              <w:t>(88,880)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w w:val="90"/>
              </w:rPr>
              <w:t>94,187</w:t>
            </w:r>
          </w:p>
        </w:tc>
        <w:tc>
          <w:tcPr>
            <w:tcW w:w="82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Net sales increased by $14.5 million during the six months ended June 30, 2021, compared to the six months ended June 30, 2020, primarily due to higher demand within the end markets which were negatively impacted by the COVID-19 pandemic in the prior year. Sales were also positively impacted by increased selling prices for precious metals allowed under customer contracts due to the sharp rise in underlying commodities costs compared to the same period of 2020.</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Income (loss) from operations increased by $94.2 million compared to the same period in the prior year primarily due to a goodwill impairment loss of</w:t>
      </w:r>
    </w:p>
    <w:p>
      <w:pPr>
        <w:spacing w:after="0" w:line="35"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$92.9 million recognized in the first quarter of 2020. In addition, income from operations increased due to the contribution generated from the above-noted sales increase and higher precious metals commodities prices. These favorable impacts were partially offset by the reintroduction of employee-related costs suspended in the prior year due to the pandemic, such as travel, benefits and overtime hours.</w:t>
      </w:r>
    </w:p>
    <w:p>
      <w:pPr>
        <w:spacing w:after="0" w:line="186" w:lineRule="exact"/>
        <w:rPr>
          <w:sz w:val="20"/>
          <w:szCs w:val="20"/>
          <w:color w:val="auto"/>
        </w:rPr>
      </w:pPr>
    </w:p>
    <w:p>
      <w:pPr>
        <w:ind w:right="5540"/>
        <w:spacing w:after="0" w:line="409" w:lineRule="auto"/>
        <w:rPr>
          <w:sz w:val="20"/>
          <w:szCs w:val="20"/>
          <w:color w:val="auto"/>
        </w:rPr>
      </w:pPr>
      <w:r>
        <w:rPr>
          <w:rFonts w:ascii="Arial" w:cs="Arial" w:eastAsia="Arial" w:hAnsi="Arial"/>
          <w:sz w:val="18"/>
          <w:szCs w:val="18"/>
          <w:b w:val="1"/>
          <w:bCs w:val="1"/>
          <w:color w:val="auto"/>
        </w:rPr>
        <w:t xml:space="preserve">Changes in Financial Condition from December 31, 2020, to June 30, 2021 </w:t>
      </w:r>
      <w:r>
        <w:rPr>
          <w:rFonts w:ascii="Arial" w:cs="Arial" w:eastAsia="Arial" w:hAnsi="Arial"/>
          <w:sz w:val="18"/>
          <w:szCs w:val="18"/>
          <w:i w:val="1"/>
          <w:iCs w:val="1"/>
          <w:color w:val="auto"/>
        </w:rPr>
        <w:t>Overview</w:t>
      </w:r>
    </w:p>
    <w:p>
      <w:pPr>
        <w:spacing w:after="0" w:line="1"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From December 31, 2020, to June 30, 2021, total assets decreased by $11.4 million primarily due to normal depreciation and amortization of fixed assets, lease right-of-use assets, and intangible assets. These decreases were partially offset by capital expenditures and increases in inventories during the six months ended June 30, 2021. Inventories increased as a result of a strategic decision to mitigate potential supply chain issues for our customers.</w:t>
      </w:r>
    </w:p>
    <w:p>
      <w:pPr>
        <w:spacing w:after="0" w:line="4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From December 31, 2020, to June 30, 2021, total liabilities increased by $66.4 million, primarily due to the refinancing of our credit facilities and redeeming the Series B Preferred Stock with debt.</w:t>
      </w:r>
    </w:p>
    <w:p>
      <w:pPr>
        <w:spacing w:after="0" w:line="62"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color w:val="auto"/>
        </w:rPr>
        <w:t>Working capital, which consists of current assets less current liabilities, was $122.5 million as of June 30, 2021, compared to $112.0 million as of December 31, 2020. The increase in working capital was primarily due to the increase in inventories discussed above.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Cash provided by operations was $5.9 million for the six months ended June 30, 2021, compared with cash provided by operations of $15.9 million for the six months ended June 30, 2020. The difference was primarily due to $8.0 million in current year income tax payments and building inventory levels during the current year to mitigate potential supply chain issues for our customers.</w:t>
      </w:r>
    </w:p>
    <w:p>
      <w:pPr>
        <w:spacing w:after="0" w:line="7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Cash used in investing activities was $30.2 million for the six months ended June 30, 2021, compared with cash used in investing activities of $12.5 million for the six months ended June 30, 2020. The difference was primarily due to cash paid to settle the interest rate swap and post-closing adjustment on the sale of the Life Sciences business, partially offset by lower capital expenditures in the current year.</w:t>
      </w:r>
    </w:p>
    <w:p>
      <w:pPr>
        <w:spacing w:after="0" w:line="76"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Cash provided by financing activities was $6.9 million for the six months ended June 30, 2021, compared with cash provided by financing activities of $53.4 million for the six months ended June 30, 2020. The difference was primarily due to $11.9 million net inflow from the debt and preferred stock refinancing in the current year compared to the $62.5 million draw on the Senior Secured Revolver in the prior year.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principal amount outstanding under our Term Loan Facility as of June 30, 2021, was $149.6 million, without regard to unamortized debt issuance costs and discount. As of June 30, 2021, we had unused borrowing capacity of $30.2 million under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ABL Facility, subject to certain limitations. This amount of borrowing capacity is net of $14.0 million of outstanding letters of credit at June 30, 2021, which are considered as usage of the ABL Facility. This amount includes approximately $0.8 million of duplicate letters of credit that remained outstanding at June 30 but were terminated during the third quarter after transition to a new guarantor bank was completed.</w:t>
      </w:r>
    </w:p>
    <w:p>
      <w:pPr>
        <w:spacing w:after="0" w:line="7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Term Loan Facility requires quarterly principal payments of $0.4 million with the remaining unpaid principal amount due on the final maturity date of September 22, 2026. If one-month LIBOR is less than 1.00%, then we pay 7.875% per annum in interest. If one-month LIBOR exceeds 1.000%, then we pay the variable one-month LIBOR plus an applicable margin of 6.875%. Based on the interest rate in effect at June 30, 2021, annual interest payments would be approximately $11.8 million. On July 22, 2021, we entered into a new interest rate swap as discussed in Note 18 to the Notes to Condensed Consolidated Financial Statements included in this Quarterly Report. Based on the interest rate in effect at June 30, 2021, and the fixed rate on the new interest rate swap, annual interest payments would be approximately $12.0 million.</w:t>
      </w:r>
    </w:p>
    <w:p>
      <w:pPr>
        <w:spacing w:after="0" w:line="7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ABL Facility bears interest on a variable rate structure with borrowings bearing interest at one-month LIBOR plus an applicable margin of 1.75%. The interest rate in effect at June 30, 2021, was 2.25%. We pay a commitment fee of 0.375% for unused capacity under the ABL Facility.</w:t>
      </w:r>
    </w:p>
    <w:p>
      <w:pPr>
        <w:spacing w:after="0" w:line="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were in compliance as of June 30, 2021, with all requirements under our Term Loan Facility and ABL Facility. Both credit facilities allow for optional expansion of available borrowings, subject to certain terms and conditions.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General economic conditions impact our business and financial results, and certain businesses experience seasonal and other trends related to the industries and end markets that they serve. For example, European sales are often weaker in the summer months as customers slow production and sales to original equipment manufacturers are often stronger immediately preceding and following the launch of new products. However, as a whole, we are not materially impacted by seasonality.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are not a party to any off-balance sheet arrangements that have, or are reasonably likely to have, a material current or future effect on our financial condition, revenues or expenses,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critical accounting policies, including the assumptions and judgments underlying them, are disclosed in the 2020 Annual Report, including those policies as discussed in Note 1 to the Notes to Consolidated Financial Statements included in the 2020 Annual Report. There have been no changes to these policies during the six months ended June 30, 2021, except as discussed in Note 1 to the Notes to Condensed Consolidated Financial Statements included in this Quarterly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1 in the Notes to Condensed Consolidated Financial Statements included in this Quarterly Report.</w:t>
      </w:r>
    </w:p>
    <w:p>
      <w:pPr>
        <w:spacing w:after="0" w:line="200" w:lineRule="exact"/>
        <w:rPr>
          <w:sz w:val="20"/>
          <w:szCs w:val="20"/>
          <w:color w:val="auto"/>
        </w:rPr>
      </w:pPr>
    </w:p>
    <w:p>
      <w:pPr>
        <w:spacing w:after="0" w:line="37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We are exposed to changes in financial market conditions in the normal course of business due to use of certain financial instruments as well as transacting business in various foreign currencies. To mitigate the exposure to these market risks, we have established policies, procedures, and internal processes governing the management of financial market risks. We are exposed to changes in interest rates primarily as a result of borrowing activities.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policy is to manage interest expense using a mixture of fixed and variable rate debt. To manage this mixture of fixed and variable rate debt effectively and mitigate interest rate risk, we may use interest rate swap agreements. The nature and amount of borrowings may vary as a result of future business requirements, market conditions, and other factors.</w:t>
      </w:r>
    </w:p>
    <w:p>
      <w:pPr>
        <w:spacing w:after="0" w:line="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February 2019, we entered into a fixed-rate interest rate swap agreement that changed the LIBOR-based portion of the interest rate on a portion of our variable rate debt to a fixed rate of 2.4575%. On March 22, 2021, we terminated the interest rate swap agreement in connection with the prepayment of our previously outstanding long-term variable-rate debt. Refer to Note 17 in the Notes to Condensed Consolidated Financial Statements included in this Quarterly Report for further discussion about the interest rate swap.</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On July 22, 2021, we entered into a new fixed-rate interest rate swap agreement to change the LIBOR-based component of the interest rate on a portion of our variable rate debt to a fixed rate of 1.291%. The interest rate swap has a notional amount of $60.0 million and a maturity date of July 31, 2024.</w:t>
      </w:r>
    </w:p>
    <w:p>
      <w:pPr>
        <w:spacing w:after="0" w:line="16"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objective of the interest rate swap is to eliminate the variability of cash flows in interest payments on the first $60.0 million of variable rate debt attributable to changes in benchmark one-month LIBOR interest rates. The hedged risk is the interest rate risk exposure to changes in interest payments, attributable to changes in benchmark one-month LIBOR interest rates over the interest rate swap term. The changes in cash flows of the interest rate swap are expected to exactly offset changes in cash flows of the variable rate debt. We designated the interest rate swap as a cash flow hedge at inception.</w:t>
      </w:r>
    </w:p>
    <w:p>
      <w:pPr>
        <w:spacing w:after="0" w:line="49" w:lineRule="exact"/>
        <w:rPr>
          <w:sz w:val="20"/>
          <w:szCs w:val="20"/>
          <w:color w:val="auto"/>
        </w:rPr>
      </w:pPr>
    </w:p>
    <w:p>
      <w:pPr>
        <w:jc w:val="both"/>
        <w:ind w:right="220"/>
        <w:spacing w:after="0" w:line="279" w:lineRule="auto"/>
        <w:rPr>
          <w:sz w:val="20"/>
          <w:szCs w:val="20"/>
          <w:color w:val="auto"/>
        </w:rPr>
      </w:pPr>
      <w:r>
        <w:rPr>
          <w:rFonts w:ascii="Arial" w:cs="Arial" w:eastAsia="Arial" w:hAnsi="Arial"/>
          <w:sz w:val="17"/>
          <w:szCs w:val="17"/>
          <w:color w:val="auto"/>
        </w:rPr>
        <w:t>At June 30, 2021, we had $149.6 million of principal outstanding under the Term Loan Facility without regard to capitalized debt issuance costs. A one-percent increase in one-month LIBOR would have resulted in a net increase in interest expense of $0.2 million on an annualized basis due to the fact that the Term Loan Facility is subject to a LIBOR floor of 1.00% and one-month LIBOR was below the floor as of June 30, 2021. The new interest rate swap discussed above would have reduced the impact by approximately $0.1 million if it had been in place on June 30, 2021.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had no outstanding borrowings under the ABL Facility at June 30,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Translation of our operating cash flows denominated in foreign currencies is impacted by changes in foreign exchange rates. We participate in various third party and intercompany loans, payables, and receivables denominated in currencies other than the U.S. dollar. To help reduce exposure to foreign currency fluctuation, we have incurred debt in euros in the past. From time to time, we may use foreign currency derivatives to hedge currency exposures when these exposures meet certain discretionary levels. We did not hold a position in any foreign currency derivatives as of June 30, 2021.</w:t>
      </w:r>
    </w:p>
    <w:p>
      <w:pPr>
        <w:spacing w:after="0" w:line="200" w:lineRule="exact"/>
        <w:rPr>
          <w:sz w:val="20"/>
          <w:szCs w:val="20"/>
          <w:color w:val="auto"/>
        </w:rPr>
      </w:pPr>
    </w:p>
    <w:p>
      <w:pPr>
        <w:spacing w:after="0" w:line="30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Under the supervision and with the participation of management, including our Chief Executive Officer and Chief Financial Officer, we evaluated the effectiveness of disclosure controls and procedures (as defined in Rule 13a-15(e) and 15d-15(e) of the Securities Exchange Act of 1934, as amended (the “Exchange Act”)). Based upon that evaluation, our Chief Executive Officer and Chief Financial Officer concluded that our disclosure controls and procedures were effective as of June 30, 2021,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for timely decisions regarding required disclosure.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the Exchange Act Rules 13a-15(f) and 15d-15(f)) that occurred during the fiscal quarter ended June 30, 2021, that have materially affected, or are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disclosed in Note 11 in the Notes to Condensed Consolidated Financial Statements included in this Quarterly Report, we are engaged in certain legal proceedings, and the disclosure set forth in Note 11 relating to legal proceedings is incorporated herein by reference.</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4760" w:type="dxa"/>
            <w:vAlign w:val="bottom"/>
            <w:gridSpan w:val="4"/>
          </w:tcPr>
          <w:p>
            <w:pPr>
              <w:ind w:left="240"/>
              <w:spacing w:after="0"/>
              <w:rPr>
                <w:sz w:val="20"/>
                <w:szCs w:val="20"/>
                <w:color w:val="auto"/>
              </w:rPr>
            </w:pPr>
            <w:r>
              <w:rPr>
                <w:rFonts w:ascii="Arial" w:cs="Arial" w:eastAsia="Arial" w:hAnsi="Arial"/>
                <w:sz w:val="18"/>
                <w:szCs w:val="18"/>
                <w:b w:val="1"/>
                <w:bCs w:val="1"/>
                <w:color w:val="auto"/>
              </w:rPr>
              <w:t>Risk Factors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120" w:type="dxa"/>
            <w:vAlign w:val="bottom"/>
            <w:gridSpan w:val="10"/>
          </w:tcPr>
          <w:p>
            <w:pPr>
              <w:spacing w:after="0"/>
              <w:rPr>
                <w:sz w:val="20"/>
                <w:szCs w:val="20"/>
                <w:color w:val="auto"/>
              </w:rPr>
            </w:pPr>
            <w:r>
              <w:rPr>
                <w:rFonts w:ascii="Arial" w:cs="Arial" w:eastAsia="Arial" w:hAnsi="Arial"/>
                <w:sz w:val="18"/>
                <w:szCs w:val="18"/>
                <w:color w:val="auto"/>
                <w:w w:val="92"/>
              </w:rPr>
              <w:t>There have been no material changes to the risk factors disclosed in the 2020 Annual Report under Item 1A, “Risk Factors.”</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3"/>
        </w:trPr>
        <w:tc>
          <w:tcPr>
            <w:tcW w:w="106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4940" w:type="dxa"/>
            <w:vAlign w:val="bottom"/>
            <w:gridSpan w:val="5"/>
          </w:tcPr>
          <w:p>
            <w:pPr>
              <w:ind w:left="240"/>
              <w:spacing w:after="0"/>
              <w:rPr>
                <w:sz w:val="20"/>
                <w:szCs w:val="20"/>
                <w:color w:val="auto"/>
              </w:rPr>
            </w:pPr>
            <w:r>
              <w:rPr>
                <w:rFonts w:ascii="Arial" w:cs="Arial" w:eastAsia="Arial" w:hAnsi="Arial"/>
                <w:sz w:val="18"/>
                <w:szCs w:val="18"/>
                <w:b w:val="1"/>
                <w:bCs w:val="1"/>
                <w:color w:val="auto"/>
                <w:w w:val="90"/>
              </w:rPr>
              <w:t>Unregistered Sales of Equity Securities and Use of Proceeds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Total Number of</w:t>
            </w:r>
          </w:p>
        </w:tc>
        <w:tc>
          <w:tcPr>
            <w:tcW w:w="2120" w:type="dxa"/>
            <w:vAlign w:val="bottom"/>
          </w:tcPr>
          <w:p>
            <w:pPr>
              <w:jc w:val="center"/>
              <w:spacing w:after="0"/>
              <w:rPr>
                <w:sz w:val="20"/>
                <w:szCs w:val="20"/>
                <w:color w:val="auto"/>
              </w:rPr>
            </w:pPr>
            <w:r>
              <w:rPr>
                <w:rFonts w:ascii="Arial" w:cs="Arial" w:eastAsia="Arial" w:hAnsi="Arial"/>
                <w:sz w:val="14"/>
                <w:szCs w:val="14"/>
                <w:color w:val="auto"/>
                <w:w w:val="97"/>
              </w:rPr>
              <w:t>Maximum Number (or</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86"/>
              </w:rPr>
              <w:t>Shares Purchased</w:t>
            </w:r>
          </w:p>
        </w:tc>
        <w:tc>
          <w:tcPr>
            <w:tcW w:w="2120" w:type="dxa"/>
            <w:vAlign w:val="bottom"/>
          </w:tcPr>
          <w:p>
            <w:pPr>
              <w:jc w:val="center"/>
              <w:spacing w:after="0" w:line="135" w:lineRule="exact"/>
              <w:rPr>
                <w:sz w:val="20"/>
                <w:szCs w:val="20"/>
                <w:color w:val="auto"/>
              </w:rPr>
            </w:pPr>
            <w:r>
              <w:rPr>
                <w:rFonts w:ascii="Arial" w:cs="Arial" w:eastAsia="Arial" w:hAnsi="Arial"/>
                <w:sz w:val="14"/>
                <w:szCs w:val="14"/>
                <w:color w:val="auto"/>
                <w:w w:val="95"/>
              </w:rPr>
              <w:t>Approximate Dollar Value)</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5"/>
              </w:rPr>
              <w:t>Total Number of</w:t>
            </w:r>
          </w:p>
        </w:tc>
        <w:tc>
          <w:tcPr>
            <w:tcW w:w="180" w:type="dxa"/>
            <w:vAlign w:val="bottom"/>
          </w:tcPr>
          <w:p>
            <w:pPr>
              <w:spacing w:after="0"/>
              <w:rPr>
                <w:sz w:val="11"/>
                <w:szCs w:val="11"/>
                <w:color w:val="auto"/>
              </w:rPr>
            </w:pPr>
          </w:p>
        </w:tc>
        <w:tc>
          <w:tcPr>
            <w:tcW w:w="1500" w:type="dxa"/>
            <w:vAlign w:val="bottom"/>
            <w:gridSpan w:val="2"/>
            <w:vMerge w:val="restart"/>
          </w:tcPr>
          <w:p>
            <w:pPr>
              <w:jc w:val="center"/>
              <w:ind w:right="280"/>
              <w:spacing w:after="0"/>
              <w:rPr>
                <w:sz w:val="20"/>
                <w:szCs w:val="20"/>
                <w:color w:val="auto"/>
              </w:rPr>
            </w:pPr>
            <w:r>
              <w:rPr>
                <w:rFonts w:ascii="Arial" w:cs="Arial" w:eastAsia="Arial" w:hAnsi="Arial"/>
                <w:sz w:val="14"/>
                <w:szCs w:val="14"/>
                <w:color w:val="auto"/>
                <w:w w:val="91"/>
              </w:rPr>
              <w:t>Average Price Paid</w:t>
            </w:r>
          </w:p>
        </w:tc>
        <w:tc>
          <w:tcPr>
            <w:tcW w:w="162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4"/>
              </w:rPr>
              <w:t>as Part of Publicly</w:t>
            </w:r>
          </w:p>
        </w:tc>
        <w:tc>
          <w:tcPr>
            <w:tcW w:w="2120" w:type="dxa"/>
            <w:vAlign w:val="bottom"/>
          </w:tcPr>
          <w:p>
            <w:pPr>
              <w:jc w:val="center"/>
              <w:spacing w:after="0" w:line="135" w:lineRule="exact"/>
              <w:rPr>
                <w:sz w:val="20"/>
                <w:szCs w:val="20"/>
                <w:color w:val="auto"/>
              </w:rPr>
            </w:pPr>
            <w:r>
              <w:rPr>
                <w:rFonts w:ascii="Arial" w:cs="Arial" w:eastAsia="Arial" w:hAnsi="Arial"/>
                <w:sz w:val="14"/>
                <w:szCs w:val="14"/>
                <w:color w:val="auto"/>
                <w:w w:val="92"/>
              </w:rPr>
              <w:t>of Shares That May Yet</w:t>
            </w:r>
          </w:p>
        </w:tc>
        <w:tc>
          <w:tcPr>
            <w:tcW w:w="0" w:type="dxa"/>
            <w:vAlign w:val="bottom"/>
          </w:tcPr>
          <w:p>
            <w:pPr>
              <w:spacing w:after="0"/>
              <w:rPr>
                <w:sz w:val="1"/>
                <w:szCs w:val="1"/>
                <w:color w:val="auto"/>
              </w:rPr>
            </w:pPr>
          </w:p>
        </w:tc>
      </w:tr>
      <w:tr>
        <w:trPr>
          <w:trHeight w:val="135"/>
        </w:trPr>
        <w:tc>
          <w:tcPr>
            <w:tcW w:w="1060" w:type="dxa"/>
            <w:vAlign w:val="bottom"/>
            <w:vMerge w:val="restart"/>
          </w:tcPr>
          <w:p>
            <w:pPr>
              <w:ind w:left="20"/>
              <w:spacing w:after="0"/>
              <w:rPr>
                <w:sz w:val="20"/>
                <w:szCs w:val="20"/>
                <w:color w:val="auto"/>
              </w:rPr>
            </w:pPr>
            <w:r>
              <w:rPr>
                <w:rFonts w:ascii="Arial" w:cs="Arial" w:eastAsia="Arial" w:hAnsi="Arial"/>
                <w:sz w:val="14"/>
                <w:szCs w:val="14"/>
                <w:color w:val="auto"/>
              </w:rPr>
              <w:t>Period</w:t>
            </w:r>
          </w:p>
        </w:tc>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62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1"/>
              </w:rPr>
              <w:t>Announced Plans</w:t>
            </w:r>
          </w:p>
        </w:tc>
        <w:tc>
          <w:tcPr>
            <w:tcW w:w="2120" w:type="dxa"/>
            <w:vAlign w:val="bottom"/>
          </w:tcPr>
          <w:p>
            <w:pPr>
              <w:jc w:val="center"/>
              <w:spacing w:after="0" w:line="135" w:lineRule="exact"/>
              <w:rPr>
                <w:sz w:val="20"/>
                <w:szCs w:val="20"/>
                <w:color w:val="auto"/>
              </w:rPr>
            </w:pPr>
            <w:r>
              <w:rPr>
                <w:rFonts w:ascii="Arial" w:cs="Arial" w:eastAsia="Arial" w:hAnsi="Arial"/>
                <w:sz w:val="14"/>
                <w:szCs w:val="14"/>
                <w:color w:val="auto"/>
                <w:w w:val="91"/>
              </w:rPr>
              <w:t>Be Purchased Under the</w:t>
            </w:r>
          </w:p>
        </w:tc>
        <w:tc>
          <w:tcPr>
            <w:tcW w:w="0" w:type="dxa"/>
            <w:vAlign w:val="bottom"/>
          </w:tcPr>
          <w:p>
            <w:pPr>
              <w:spacing w:after="0"/>
              <w:rPr>
                <w:sz w:val="1"/>
                <w:szCs w:val="1"/>
                <w:color w:val="auto"/>
              </w:rPr>
            </w:pPr>
          </w:p>
        </w:tc>
      </w:tr>
      <w:tr>
        <w:trPr>
          <w:trHeight w:val="189"/>
        </w:trPr>
        <w:tc>
          <w:tcPr>
            <w:tcW w:w="1060" w:type="dxa"/>
            <w:vAlign w:val="bottom"/>
            <w:vMerge w:val="continue"/>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jc w:val="center"/>
              <w:ind w:right="100"/>
              <w:spacing w:after="0" w:line="189" w:lineRule="exact"/>
              <w:rPr>
                <w:sz w:val="20"/>
                <w:szCs w:val="20"/>
                <w:color w:val="auto"/>
              </w:rPr>
            </w:pPr>
            <w:r>
              <w:rPr>
                <w:rFonts w:ascii="Arial" w:cs="Arial" w:eastAsia="Arial" w:hAnsi="Arial"/>
                <w:sz w:val="14"/>
                <w:szCs w:val="14"/>
                <w:color w:val="auto"/>
                <w:w w:val="85"/>
              </w:rPr>
              <w:t xml:space="preserve">Shares Purchased </w:t>
            </w:r>
            <w:r>
              <w:rPr>
                <w:rFonts w:ascii="Arial" w:cs="Arial" w:eastAsia="Arial" w:hAnsi="Arial"/>
                <w:sz w:val="18"/>
                <w:szCs w:val="18"/>
                <w:color w:val="auto"/>
                <w:w w:val="85"/>
                <w:vertAlign w:val="superscript"/>
              </w:rPr>
              <w:t>(1)</w:t>
            </w:r>
          </w:p>
        </w:tc>
        <w:tc>
          <w:tcPr>
            <w:tcW w:w="18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color w:val="auto"/>
                <w:w w:val="85"/>
              </w:rPr>
              <w:t>Per Share</w:t>
            </w:r>
          </w:p>
        </w:tc>
        <w:tc>
          <w:tcPr>
            <w:tcW w:w="1620" w:type="dxa"/>
            <w:vAlign w:val="bottom"/>
            <w:gridSpan w:val="2"/>
          </w:tcPr>
          <w:p>
            <w:pPr>
              <w:jc w:val="center"/>
              <w:ind w:right="100"/>
              <w:spacing w:after="0" w:line="189" w:lineRule="exact"/>
              <w:rPr>
                <w:sz w:val="20"/>
                <w:szCs w:val="20"/>
                <w:color w:val="auto"/>
              </w:rPr>
            </w:pPr>
            <w:r>
              <w:rPr>
                <w:rFonts w:ascii="Arial" w:cs="Arial" w:eastAsia="Arial" w:hAnsi="Arial"/>
                <w:sz w:val="14"/>
                <w:szCs w:val="14"/>
                <w:color w:val="auto"/>
                <w:w w:val="87"/>
              </w:rPr>
              <w:t xml:space="preserve">or Programs </w:t>
            </w:r>
            <w:r>
              <w:rPr>
                <w:rFonts w:ascii="Arial" w:cs="Arial" w:eastAsia="Arial" w:hAnsi="Arial"/>
                <w:sz w:val="18"/>
                <w:szCs w:val="18"/>
                <w:color w:val="auto"/>
                <w:w w:val="87"/>
                <w:vertAlign w:val="superscript"/>
              </w:rPr>
              <w:t>(1)</w:t>
            </w:r>
          </w:p>
        </w:tc>
        <w:tc>
          <w:tcPr>
            <w:tcW w:w="2120" w:type="dxa"/>
            <w:vAlign w:val="bottom"/>
          </w:tcPr>
          <w:p>
            <w:pPr>
              <w:jc w:val="center"/>
              <w:spacing w:after="0" w:line="189" w:lineRule="exact"/>
              <w:rPr>
                <w:sz w:val="20"/>
                <w:szCs w:val="20"/>
                <w:color w:val="auto"/>
              </w:rPr>
            </w:pPr>
            <w:r>
              <w:rPr>
                <w:rFonts w:ascii="Arial" w:cs="Arial" w:eastAsia="Arial" w:hAnsi="Arial"/>
                <w:sz w:val="14"/>
                <w:szCs w:val="14"/>
                <w:color w:val="auto"/>
                <w:w w:val="90"/>
              </w:rPr>
              <w:t xml:space="preserve">Plan or Programs </w:t>
            </w:r>
            <w:r>
              <w:rPr>
                <w:rFonts w:ascii="Arial" w:cs="Arial" w:eastAsia="Arial" w:hAnsi="Arial"/>
                <w:sz w:val="18"/>
                <w:szCs w:val="18"/>
                <w:color w:val="auto"/>
                <w:w w:val="90"/>
                <w:vertAlign w:val="superscript"/>
              </w:rPr>
              <w:t>(1)</w:t>
            </w:r>
          </w:p>
        </w:tc>
        <w:tc>
          <w:tcPr>
            <w:tcW w:w="0" w:type="dxa"/>
            <w:vAlign w:val="bottom"/>
          </w:tcPr>
          <w:p>
            <w:pPr>
              <w:spacing w:after="0"/>
              <w:rPr>
                <w:sz w:val="1"/>
                <w:szCs w:val="1"/>
                <w:color w:val="auto"/>
              </w:rPr>
            </w:pPr>
          </w:p>
        </w:tc>
      </w:tr>
      <w:tr>
        <w:trPr>
          <w:trHeight w:val="223"/>
        </w:trPr>
        <w:tc>
          <w:tcPr>
            <w:tcW w:w="1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April 2021</w:t>
            </w:r>
          </w:p>
        </w:tc>
        <w:tc>
          <w:tcPr>
            <w:tcW w:w="2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060" w:type="dxa"/>
            <w:vAlign w:val="bottom"/>
          </w:tcPr>
          <w:p>
            <w:pPr>
              <w:ind w:left="20"/>
              <w:spacing w:after="0"/>
              <w:rPr>
                <w:sz w:val="20"/>
                <w:szCs w:val="20"/>
                <w:color w:val="auto"/>
              </w:rPr>
            </w:pPr>
            <w:r>
              <w:rPr>
                <w:rFonts w:ascii="Arial" w:cs="Arial" w:eastAsia="Arial" w:hAnsi="Arial"/>
                <w:sz w:val="18"/>
                <w:szCs w:val="18"/>
                <w:color w:val="auto"/>
              </w:rPr>
              <w:t>May 2021</w:t>
            </w:r>
          </w:p>
        </w:tc>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2120" w:type="dxa"/>
            <w:vAlign w:val="bottom"/>
          </w:tcPr>
          <w:p>
            <w:pPr>
              <w:ind w:left="1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2021</w:t>
            </w:r>
          </w:p>
        </w:tc>
        <w:tc>
          <w:tcPr>
            <w:tcW w:w="4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Pr>
          <w:p>
            <w:pPr>
              <w:ind w:left="20"/>
              <w:spacing w:after="0"/>
              <w:rPr>
                <w:sz w:val="20"/>
                <w:szCs w:val="20"/>
                <w:color w:val="auto"/>
              </w:rPr>
            </w:pPr>
            <w:r>
              <w:rPr>
                <w:rFonts w:ascii="Arial" w:cs="Arial" w:eastAsia="Arial" w:hAnsi="Arial"/>
                <w:sz w:val="18"/>
                <w:szCs w:val="18"/>
                <w:color w:val="auto"/>
              </w:rPr>
              <w:t>Total</w:t>
            </w:r>
          </w:p>
        </w:tc>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120" w:type="dxa"/>
            <w:vAlign w:val="bottom"/>
            <w:tcBorders>
              <w:top w:val="single" w:sz="8" w:color="auto"/>
              <w:bottom w:val="single" w:sz="8" w:color="auto"/>
            </w:tcBorders>
          </w:tcPr>
          <w:p>
            <w:pPr>
              <w:ind w:left="1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10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113" w:lineRule="exact"/>
        <w:rPr>
          <w:sz w:val="20"/>
          <w:szCs w:val="20"/>
          <w:color w:val="auto"/>
        </w:rPr>
      </w:pPr>
    </w:p>
    <w:p>
      <w:pPr>
        <w:ind w:left="660" w:hanging="328"/>
        <w:spacing w:after="0" w:line="259" w:lineRule="auto"/>
        <w:tabs>
          <w:tab w:leader="none" w:pos="652" w:val="left"/>
        </w:tabs>
        <w:numPr>
          <w:ilvl w:val="0"/>
          <w:numId w:val="15"/>
        </w:numPr>
        <w:rPr>
          <w:rFonts w:ascii="Arial" w:cs="Arial" w:eastAsia="Arial" w:hAnsi="Arial"/>
          <w:sz w:val="14"/>
          <w:szCs w:val="14"/>
          <w:color w:val="auto"/>
        </w:rPr>
      </w:pPr>
      <w:r>
        <w:rPr>
          <w:rFonts w:ascii="Arial" w:cs="Arial" w:eastAsia="Arial" w:hAnsi="Arial"/>
          <w:sz w:val="18"/>
          <w:szCs w:val="18"/>
          <w:color w:val="auto"/>
        </w:rPr>
        <w:t>Shares were withheld to pay for tax obligations due upon the vesting of restricted stock held by certain employees granted under the NN, Inc. 2019 Omnibus Incentive Plan (the “Plan”). The Plan provides for the withholding of shares to satisfy tax obligations. It does not specify a maximum number of shares that can be withheld for this purpose. These shares may be deemed to be “issuer purchases” of shares that are required to be disclosed pursuant to this Item.</w:t>
      </w:r>
    </w:p>
    <w:p>
      <w:pPr>
        <w:spacing w:after="0" w:line="200" w:lineRule="exact"/>
        <w:rPr>
          <w:sz w:val="20"/>
          <w:szCs w:val="20"/>
          <w:color w:val="auto"/>
        </w:rPr>
      </w:pPr>
    </w:p>
    <w:p>
      <w:pPr>
        <w:spacing w:after="0" w:line="33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20" w:type="dxa"/>
            <w:vAlign w:val="bottom"/>
          </w:tcPr>
          <w:p>
            <w:pPr>
              <w:spacing w:after="0"/>
              <w:rPr>
                <w:sz w:val="20"/>
                <w:szCs w:val="20"/>
                <w:color w:val="auto"/>
              </w:rPr>
            </w:pPr>
          </w:p>
        </w:tc>
        <w:tc>
          <w:tcPr>
            <w:tcW w:w="9920" w:type="dxa"/>
            <w:vAlign w:val="bottom"/>
            <w:gridSpan w:val="12"/>
          </w:tcPr>
          <w:p>
            <w:pPr>
              <w:ind w:left="1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56"/>
        </w:trPr>
        <w:tc>
          <w:tcPr>
            <w:tcW w:w="112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6140" w:type="dxa"/>
            <w:vAlign w:val="bottom"/>
            <w:gridSpan w:val="10"/>
            <w:vMerge w:val="restart"/>
          </w:tcPr>
          <w:p>
            <w:pPr>
              <w:ind w:left="8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6140" w:type="dxa"/>
            <w:vAlign w:val="bottom"/>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2"/>
        </w:trPr>
        <w:tc>
          <w:tcPr>
            <w:tcW w:w="1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920" w:type="dxa"/>
            <w:vAlign w:val="bottom"/>
            <w:tcBorders>
              <w:top w:val="single" w:sz="8" w:color="auto"/>
            </w:tcBorders>
            <w:gridSpan w:val="12"/>
          </w:tcPr>
          <w:p>
            <w:pPr>
              <w:spacing w:after="0"/>
              <w:rPr>
                <w:rFonts w:ascii="Arial" w:cs="Arial" w:eastAsia="Arial" w:hAnsi="Arial"/>
                <w:sz w:val="18"/>
                <w:szCs w:val="18"/>
                <w:color w:val="0000FF"/>
                <w:w w:val="91"/>
              </w:rPr>
            </w:pPr>
            <w:hyperlink r:id="rId61">
              <w:r>
                <w:rPr>
                  <w:rFonts w:ascii="Arial" w:cs="Arial" w:eastAsia="Arial" w:hAnsi="Arial"/>
                  <w:sz w:val="18"/>
                  <w:szCs w:val="18"/>
                  <w:color w:val="0000FF"/>
                  <w:w w:val="91"/>
                </w:rPr>
                <w:t>Cooperation Agreement, dated May 13, 2021, among NN, Inc., Corre Partners Management, LLC, and each of the persons listed on the</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6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signature page thereto (incorporated by reference to Exhibit 10.1 to NN, Inc.’s Current Report on Form 8-K filed on May 14, 2021)</w:t>
              </w:r>
            </w:hyperlink>
          </w:p>
        </w:tc>
        <w:tc>
          <w:tcPr>
            <w:tcW w:w="300" w:type="dxa"/>
            <w:vAlign w:val="bottom"/>
            <w:tcBorders>
              <w:top w:val="single" w:sz="8" w:color="0000FF"/>
            </w:tcBorders>
            <w:gridSpan w:val="4"/>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100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2"/>
          </w:tcPr>
          <w:p>
            <w:pPr>
              <w:spacing w:after="0"/>
              <w:rPr>
                <w:rFonts w:ascii="Arial" w:cs="Arial" w:eastAsia="Arial" w:hAnsi="Arial"/>
                <w:sz w:val="18"/>
                <w:szCs w:val="18"/>
                <w:color w:val="0000FF"/>
                <w:w w:val="91"/>
              </w:rPr>
            </w:pPr>
            <w:hyperlink r:id="rId62">
              <w:r>
                <w:rPr>
                  <w:rFonts w:ascii="Arial" w:cs="Arial" w:eastAsia="Arial" w:hAnsi="Arial"/>
                  <w:sz w:val="18"/>
                  <w:szCs w:val="18"/>
                  <w:color w:val="0000FF"/>
                  <w:w w:val="91"/>
                </w:rPr>
                <w:t>Separation Agreement and General Release, dated as of June 14, 2021, by and between NN, Inc. and Thomas D. DeByle (incorporated</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62">
              <w:r>
                <w:rPr>
                  <w:rFonts w:ascii="Arial" w:cs="Arial" w:eastAsia="Arial" w:hAnsi="Arial"/>
                  <w:sz w:val="18"/>
                  <w:szCs w:val="18"/>
                  <w:color w:val="0000FF"/>
                </w:rPr>
                <w:t>by reference to Exhibit 10.1 to NN, Inc.’s Current Report on Form 8-K filed on June 15, 2021)</w:t>
              </w:r>
            </w:hyperlink>
          </w:p>
        </w:tc>
        <w:tc>
          <w:tcPr>
            <w:tcW w:w="1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30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00" w:type="dxa"/>
            <w:vAlign w:val="bottom"/>
          </w:tcPr>
          <w:p>
            <w:pPr>
              <w:ind w:left="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2"/>
          </w:tcPr>
          <w:p>
            <w:pPr>
              <w:spacing w:after="0"/>
              <w:rPr>
                <w:rFonts w:ascii="Arial" w:cs="Arial" w:eastAsia="Arial" w:hAnsi="Arial"/>
                <w:sz w:val="18"/>
                <w:szCs w:val="18"/>
                <w:color w:val="0000FF"/>
                <w:w w:val="91"/>
              </w:rPr>
            </w:pPr>
            <w:hyperlink r:id="rId63">
              <w:r>
                <w:rPr>
                  <w:rFonts w:ascii="Arial" w:cs="Arial" w:eastAsia="Arial" w:hAnsi="Arial"/>
                  <w:sz w:val="18"/>
                  <w:szCs w:val="18"/>
                  <w:color w:val="0000FF"/>
                  <w:w w:val="91"/>
                </w:rPr>
                <w:t>Form of Separation Agreement by and between NN, Inc. and Michael C. Felcher (incorporated by reference to Exhibit 10.2 to NN, Inc.’s</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Current Report on Form 8-K filed on June 15, 2021)</w:t>
              </w:r>
            </w:hyperlink>
          </w:p>
        </w:tc>
        <w:tc>
          <w:tcPr>
            <w:tcW w:w="6080" w:type="dxa"/>
            <w:vAlign w:val="bottom"/>
            <w:tcBorders>
              <w:top w:val="single" w:sz="8" w:color="0000FF"/>
            </w:tcBorders>
            <w:gridSpan w:val="9"/>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000" w:type="dxa"/>
            <w:vAlign w:val="bottom"/>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2"/>
          </w:tcPr>
          <w:p>
            <w:pPr>
              <w:spacing w:after="0"/>
              <w:rPr>
                <w:rFonts w:ascii="Arial" w:cs="Arial" w:eastAsia="Arial" w:hAnsi="Arial"/>
                <w:sz w:val="18"/>
                <w:szCs w:val="18"/>
                <w:color w:val="0000FF"/>
                <w:w w:val="93"/>
              </w:rPr>
            </w:pPr>
            <w:hyperlink w:anchor="page42">
              <w:r>
                <w:rPr>
                  <w:rFonts w:ascii="Arial" w:cs="Arial" w:eastAsia="Arial" w:hAnsi="Arial"/>
                  <w:sz w:val="18"/>
                  <w:szCs w:val="18"/>
                  <w:color w:val="0000FF"/>
                  <w:w w:val="93"/>
                </w:rPr>
                <w:t>Certification of Principal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42">
              <w:r>
                <w:rPr>
                  <w:rFonts w:ascii="Arial" w:cs="Arial" w:eastAsia="Arial" w:hAnsi="Arial"/>
                  <w:sz w:val="18"/>
                  <w:szCs w:val="18"/>
                  <w:color w:val="0000FF"/>
                </w:rPr>
                <w:t>amended.</w:t>
              </w:r>
            </w:hyperlink>
          </w:p>
        </w:tc>
        <w:tc>
          <w:tcPr>
            <w:tcW w:w="3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0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2"/>
          </w:tcPr>
          <w:p>
            <w:pPr>
              <w:spacing w:after="0"/>
              <w:rPr>
                <w:rFonts w:ascii="Arial" w:cs="Arial" w:eastAsia="Arial" w:hAnsi="Arial"/>
                <w:sz w:val="18"/>
                <w:szCs w:val="18"/>
                <w:color w:val="0000FF"/>
                <w:w w:val="94"/>
              </w:rPr>
            </w:pPr>
            <w:hyperlink w:anchor="page43">
              <w:r>
                <w:rPr>
                  <w:rFonts w:ascii="Arial" w:cs="Arial" w:eastAsia="Arial" w:hAnsi="Arial"/>
                  <w:sz w:val="18"/>
                  <w:szCs w:val="18"/>
                  <w:color w:val="0000FF"/>
                  <w:w w:val="94"/>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43">
              <w:r>
                <w:rPr>
                  <w:rFonts w:ascii="Arial" w:cs="Arial" w:eastAsia="Arial" w:hAnsi="Arial"/>
                  <w:sz w:val="18"/>
                  <w:szCs w:val="18"/>
                  <w:color w:val="0000FF"/>
                </w:rPr>
                <w:t>amended.</w:t>
              </w:r>
            </w:hyperlink>
          </w:p>
        </w:tc>
        <w:tc>
          <w:tcPr>
            <w:tcW w:w="36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00" w:type="dxa"/>
            <w:vAlign w:val="bottom"/>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2"/>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Certification of Principal Executive Officer pursuant to Section 906 of the Sarbanes-Oxley Act of 2002.</w:t>
              </w:r>
            </w:hyperlink>
          </w:p>
        </w:tc>
        <w:tc>
          <w:tcPr>
            <w:tcW w:w="0" w:type="dxa"/>
            <w:vAlign w:val="bottom"/>
          </w:tcPr>
          <w:p>
            <w:pPr>
              <w:spacing w:after="0"/>
              <w:rPr>
                <w:sz w:val="1"/>
                <w:szCs w:val="1"/>
                <w:color w:val="auto"/>
              </w:rPr>
            </w:pPr>
          </w:p>
        </w:tc>
      </w:tr>
      <w:tr>
        <w:trPr>
          <w:trHeight w:val="371"/>
        </w:trPr>
        <w:tc>
          <w:tcPr>
            <w:tcW w:w="1000" w:type="dxa"/>
            <w:vAlign w:val="bottom"/>
          </w:tcPr>
          <w:p>
            <w:pPr>
              <w:ind w:left="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2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1"/>
              </w:rPr>
            </w:pPr>
            <w:hyperlink w:anchor="page45">
              <w:r>
                <w:rPr>
                  <w:rFonts w:ascii="Arial" w:cs="Arial" w:eastAsia="Arial" w:hAnsi="Arial"/>
                  <w:sz w:val="18"/>
                  <w:szCs w:val="18"/>
                  <w:color w:val="0000FF"/>
                  <w:w w:val="91"/>
                </w:rPr>
                <w:t>Certification of Principal Financial Officer pursuant to Section 906 of the Sarbanes-Oxley Act of 2002.</w:t>
              </w:r>
            </w:hyperlink>
          </w:p>
        </w:tc>
        <w:tc>
          <w:tcPr>
            <w:tcW w:w="40" w:type="dxa"/>
            <w:vAlign w:val="bottom"/>
            <w:tcBorders>
              <w:top w:val="single" w:sz="8" w:color="0000FF"/>
            </w:tcBorders>
          </w:tcPr>
          <w:p>
            <w:pPr>
              <w:spacing w:after="0"/>
              <w:rPr>
                <w:sz w:val="24"/>
                <w:szCs w:val="24"/>
                <w:color w:val="auto"/>
              </w:rPr>
            </w:pPr>
          </w:p>
        </w:tc>
        <w:tc>
          <w:tcPr>
            <w:tcW w:w="24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920" w:type="dxa"/>
            <w:vAlign w:val="bottom"/>
            <w:gridSpan w:val="12"/>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92"/>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9920" w:type="dxa"/>
            <w:vAlign w:val="bottom"/>
            <w:gridSpan w:val="12"/>
          </w:tcPr>
          <w:p>
            <w:pPr>
              <w:spacing w:after="0"/>
              <w:rPr>
                <w:sz w:val="20"/>
                <w:szCs w:val="20"/>
                <w:color w:val="auto"/>
              </w:rPr>
            </w:pPr>
            <w:r>
              <w:rPr>
                <w:rFonts w:ascii="Arial" w:cs="Arial" w:eastAsia="Arial" w:hAnsi="Arial"/>
                <w:sz w:val="18"/>
                <w:szCs w:val="18"/>
                <w:color w:val="auto"/>
              </w:rPr>
              <w:t>XBRL Taxonomy Extension Service</w:t>
            </w:r>
          </w:p>
        </w:tc>
        <w:tc>
          <w:tcPr>
            <w:tcW w:w="0" w:type="dxa"/>
            <w:vAlign w:val="bottom"/>
          </w:tcPr>
          <w:p>
            <w:pPr>
              <w:spacing w:after="0"/>
              <w:rPr>
                <w:sz w:val="1"/>
                <w:szCs w:val="1"/>
                <w:color w:val="auto"/>
              </w:rPr>
            </w:pPr>
          </w:p>
        </w:tc>
      </w:tr>
      <w:tr>
        <w:trPr>
          <w:trHeight w:val="392"/>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920" w:type="dxa"/>
            <w:vAlign w:val="bottom"/>
            <w:gridSpan w:val="12"/>
          </w:tcPr>
          <w:p>
            <w:pPr>
              <w:spacing w:after="0"/>
              <w:rPr>
                <w:sz w:val="20"/>
                <w:szCs w:val="20"/>
                <w:color w:val="auto"/>
              </w:rPr>
            </w:pPr>
            <w:r>
              <w:rPr>
                <w:rFonts w:ascii="Arial" w:cs="Arial" w:eastAsia="Arial" w:hAnsi="Arial"/>
                <w:sz w:val="18"/>
                <w:szCs w:val="18"/>
                <w:color w:val="auto"/>
              </w:rPr>
              <w:t>Taxonomy Calculation Linkbase</w:t>
            </w:r>
          </w:p>
        </w:tc>
        <w:tc>
          <w:tcPr>
            <w:tcW w:w="0" w:type="dxa"/>
            <w:vAlign w:val="bottom"/>
          </w:tcPr>
          <w:p>
            <w:pPr>
              <w:spacing w:after="0"/>
              <w:rPr>
                <w:sz w:val="1"/>
                <w:szCs w:val="1"/>
                <w:color w:val="auto"/>
              </w:rPr>
            </w:pPr>
          </w:p>
        </w:tc>
      </w:tr>
      <w:tr>
        <w:trPr>
          <w:trHeight w:val="391"/>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920" w:type="dxa"/>
            <w:vAlign w:val="bottom"/>
            <w:gridSpan w:val="12"/>
          </w:tcPr>
          <w:p>
            <w:pPr>
              <w:spacing w:after="0"/>
              <w:rPr>
                <w:sz w:val="20"/>
                <w:szCs w:val="20"/>
                <w:color w:val="auto"/>
              </w:rPr>
            </w:pPr>
            <w:r>
              <w:rPr>
                <w:rFonts w:ascii="Arial" w:cs="Arial" w:eastAsia="Arial" w:hAnsi="Arial"/>
                <w:sz w:val="18"/>
                <w:szCs w:val="18"/>
                <w:color w:val="auto"/>
              </w:rPr>
              <w:t>XBRL Taxonomy Label Linkbase</w:t>
            </w:r>
          </w:p>
        </w:tc>
        <w:tc>
          <w:tcPr>
            <w:tcW w:w="0" w:type="dxa"/>
            <w:vAlign w:val="bottom"/>
          </w:tcPr>
          <w:p>
            <w:pPr>
              <w:spacing w:after="0"/>
              <w:rPr>
                <w:sz w:val="1"/>
                <w:szCs w:val="1"/>
                <w:color w:val="auto"/>
              </w:rPr>
            </w:pPr>
          </w:p>
        </w:tc>
      </w:tr>
      <w:tr>
        <w:trPr>
          <w:trHeight w:val="392"/>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9920" w:type="dxa"/>
            <w:vAlign w:val="bottom"/>
            <w:gridSpan w:val="12"/>
          </w:tcPr>
          <w:p>
            <w:pPr>
              <w:spacing w:after="0"/>
              <w:rPr>
                <w:sz w:val="20"/>
                <w:szCs w:val="20"/>
                <w:color w:val="auto"/>
              </w:rPr>
            </w:pPr>
            <w:r>
              <w:rPr>
                <w:rFonts w:ascii="Arial" w:cs="Arial" w:eastAsia="Arial" w:hAnsi="Arial"/>
                <w:sz w:val="18"/>
                <w:szCs w:val="18"/>
                <w:color w:val="auto"/>
              </w:rPr>
              <w:t>XBRL Presentation Linkbase Document</w:t>
            </w:r>
          </w:p>
        </w:tc>
        <w:tc>
          <w:tcPr>
            <w:tcW w:w="0" w:type="dxa"/>
            <w:vAlign w:val="bottom"/>
          </w:tcPr>
          <w:p>
            <w:pPr>
              <w:spacing w:after="0"/>
              <w:rPr>
                <w:sz w:val="1"/>
                <w:szCs w:val="1"/>
                <w:color w:val="auto"/>
              </w:rPr>
            </w:pPr>
          </w:p>
        </w:tc>
      </w:tr>
      <w:tr>
        <w:trPr>
          <w:trHeight w:val="391"/>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9920" w:type="dxa"/>
            <w:vAlign w:val="bottom"/>
            <w:gridSpan w:val="12"/>
          </w:tcPr>
          <w:p>
            <w:pPr>
              <w:spacing w:after="0"/>
              <w:rPr>
                <w:sz w:val="20"/>
                <w:szCs w:val="20"/>
                <w:color w:val="auto"/>
              </w:rPr>
            </w:pPr>
            <w:r>
              <w:rPr>
                <w:rFonts w:ascii="Arial" w:cs="Arial" w:eastAsia="Arial" w:hAnsi="Arial"/>
                <w:sz w:val="18"/>
                <w:szCs w:val="18"/>
                <w:color w:val="auto"/>
              </w:rPr>
              <w:t>XBRL Definition Linkbase Document</w:t>
            </w:r>
          </w:p>
        </w:tc>
        <w:tc>
          <w:tcPr>
            <w:tcW w:w="0" w:type="dxa"/>
            <w:vAlign w:val="bottom"/>
          </w:tcPr>
          <w:p>
            <w:pPr>
              <w:spacing w:after="0"/>
              <w:rPr>
                <w:sz w:val="1"/>
                <w:szCs w:val="1"/>
                <w:color w:val="auto"/>
              </w:rPr>
            </w:pPr>
          </w:p>
        </w:tc>
      </w:tr>
      <w:tr>
        <w:trPr>
          <w:trHeight w:val="500"/>
        </w:trPr>
        <w:tc>
          <w:tcPr>
            <w:tcW w:w="100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2"/>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233" w:right="51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NN, Inc.</w:t>
            </w:r>
          </w:p>
        </w:tc>
      </w:tr>
      <w:tr>
        <w:trPr>
          <w:trHeight w:val="224"/>
        </w:trPr>
        <w:tc>
          <w:tcPr>
            <w:tcW w:w="560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499"/>
        </w:trPr>
        <w:tc>
          <w:tcPr>
            <w:tcW w:w="5600" w:type="dxa"/>
            <w:vAlign w:val="bottom"/>
          </w:tcPr>
          <w:p>
            <w:pPr>
              <w:spacing w:after="0"/>
              <w:rPr>
                <w:sz w:val="20"/>
                <w:szCs w:val="20"/>
                <w:color w:val="auto"/>
              </w:rPr>
            </w:pPr>
            <w:r>
              <w:rPr>
                <w:rFonts w:ascii="Arial" w:cs="Arial" w:eastAsia="Arial" w:hAnsi="Arial"/>
                <w:sz w:val="18"/>
                <w:szCs w:val="18"/>
                <w:color w:val="auto"/>
              </w:rPr>
              <w:t>Date: August 6, 2021</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Warren A. Veltman</w:t>
            </w:r>
          </w:p>
        </w:tc>
      </w:tr>
      <w:tr>
        <w:trPr>
          <w:trHeight w:val="222"/>
        </w:trPr>
        <w:tc>
          <w:tcPr>
            <w:tcW w:w="560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Warren A. Veltman</w:t>
            </w:r>
          </w:p>
        </w:tc>
      </w:tr>
      <w:tr>
        <w:trPr>
          <w:trHeight w:val="230"/>
        </w:trPr>
        <w:tc>
          <w:tcPr>
            <w:tcW w:w="560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29"/>
        </w:trPr>
        <w:tc>
          <w:tcPr>
            <w:tcW w:w="560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230"/>
        </w:trPr>
        <w:tc>
          <w:tcPr>
            <w:tcW w:w="560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(Duly Authorized Officer)</w:t>
            </w:r>
          </w:p>
        </w:tc>
      </w:tr>
      <w:tr>
        <w:trPr>
          <w:trHeight w:val="500"/>
        </w:trPr>
        <w:tc>
          <w:tcPr>
            <w:tcW w:w="5600" w:type="dxa"/>
            <w:vAlign w:val="bottom"/>
          </w:tcPr>
          <w:p>
            <w:pPr>
              <w:spacing w:after="0"/>
              <w:rPr>
                <w:sz w:val="20"/>
                <w:szCs w:val="20"/>
                <w:color w:val="auto"/>
              </w:rPr>
            </w:pPr>
            <w:r>
              <w:rPr>
                <w:rFonts w:ascii="Arial" w:cs="Arial" w:eastAsia="Arial" w:hAnsi="Arial"/>
                <w:sz w:val="18"/>
                <w:szCs w:val="18"/>
                <w:color w:val="auto"/>
              </w:rPr>
              <w:t>Date: August 6, 2021</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C. Felcher</w:t>
            </w:r>
          </w:p>
        </w:tc>
      </w:tr>
      <w:tr>
        <w:trPr>
          <w:trHeight w:val="222"/>
        </w:trPr>
        <w:tc>
          <w:tcPr>
            <w:tcW w:w="560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Michael C. Felcher</w:t>
            </w:r>
          </w:p>
        </w:tc>
      </w:tr>
      <w:tr>
        <w:trPr>
          <w:trHeight w:val="230"/>
        </w:trPr>
        <w:tc>
          <w:tcPr>
            <w:tcW w:w="560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Senior Vice President - Chief Financial Officer</w:t>
            </w:r>
          </w:p>
        </w:tc>
      </w:tr>
      <w:tr>
        <w:trPr>
          <w:trHeight w:val="229"/>
        </w:trPr>
        <w:tc>
          <w:tcPr>
            <w:tcW w:w="560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r>
        <w:trPr>
          <w:trHeight w:val="230"/>
        </w:trPr>
        <w:tc>
          <w:tcPr>
            <w:tcW w:w="560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(Duly Authorized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233" w:right="35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 PURSUANT TO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Warren A. Veltman, certify that:</w:t>
      </w:r>
    </w:p>
    <w:p>
      <w:pPr>
        <w:spacing w:after="0" w:line="171"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117" w:lineRule="exact"/>
        <w:rPr>
          <w:rFonts w:ascii="Arial" w:cs="Arial" w:eastAsia="Arial" w:hAnsi="Arial"/>
          <w:sz w:val="18"/>
          <w:szCs w:val="18"/>
          <w:color w:val="auto"/>
        </w:rPr>
      </w:pPr>
    </w:p>
    <w:p>
      <w:pPr>
        <w:jc w:val="both"/>
        <w:ind w:left="340" w:right="460" w:hanging="332"/>
        <w:spacing w:after="0" w:line="263" w:lineRule="auto"/>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20" w:hanging="332"/>
        <w:spacing w:after="0" w:line="308" w:lineRule="auto"/>
        <w:tabs>
          <w:tab w:leader="none" w:pos="328"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7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71"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60" w:hanging="324"/>
        <w:spacing w:after="0" w:line="263" w:lineRule="auto"/>
        <w:tabs>
          <w:tab w:leader="none" w:pos="9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40" w:hanging="332"/>
        <w:spacing w:after="0" w:line="308" w:lineRule="auto"/>
        <w:tabs>
          <w:tab w:leader="none" w:pos="328"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71"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August 6, 2021</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Warren A. Veltman</w:t>
            </w:r>
          </w:p>
        </w:tc>
      </w:tr>
      <w:tr>
        <w:trPr>
          <w:trHeight w:val="222"/>
        </w:trPr>
        <w:tc>
          <w:tcPr>
            <w:tcW w:w="618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Warren A. Veltman</w:t>
            </w:r>
          </w:p>
        </w:tc>
      </w:tr>
      <w:tr>
        <w:trPr>
          <w:trHeight w:val="230"/>
        </w:trPr>
        <w:tc>
          <w:tcPr>
            <w:tcW w:w="618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618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 PURSUANT TO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C. Felcher, certify that:</w:t>
      </w:r>
    </w:p>
    <w:p>
      <w:pPr>
        <w:spacing w:after="0" w:line="171"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117" w:lineRule="exact"/>
        <w:rPr>
          <w:rFonts w:ascii="Arial" w:cs="Arial" w:eastAsia="Arial" w:hAnsi="Arial"/>
          <w:sz w:val="18"/>
          <w:szCs w:val="18"/>
          <w:color w:val="auto"/>
        </w:rPr>
      </w:pPr>
    </w:p>
    <w:p>
      <w:pPr>
        <w:jc w:val="both"/>
        <w:ind w:left="340" w:right="460" w:hanging="332"/>
        <w:spacing w:after="0" w:line="263"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20" w:hanging="332"/>
        <w:spacing w:after="0" w:line="308" w:lineRule="auto"/>
        <w:tabs>
          <w:tab w:leader="none" w:pos="328"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71"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71"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60" w:hanging="324"/>
        <w:spacing w:after="0" w:line="263" w:lineRule="auto"/>
        <w:tabs>
          <w:tab w:leader="none" w:pos="96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40" w:hanging="332"/>
        <w:spacing w:after="0" w:line="308" w:lineRule="auto"/>
        <w:tabs>
          <w:tab w:leader="none" w:pos="328"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71"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6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August 6, 2021</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C. Felcher</w:t>
            </w:r>
          </w:p>
        </w:tc>
      </w:tr>
      <w:tr>
        <w:trPr>
          <w:trHeight w:val="222"/>
        </w:trPr>
        <w:tc>
          <w:tcPr>
            <w:tcW w:w="618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Michael C. Felcher</w:t>
            </w:r>
          </w:p>
        </w:tc>
      </w:tr>
      <w:tr>
        <w:trPr>
          <w:trHeight w:val="230"/>
        </w:trPr>
        <w:tc>
          <w:tcPr>
            <w:tcW w:w="618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Senior Vice President – Chief Financial Officer</w:t>
            </w:r>
          </w:p>
        </w:tc>
      </w:tr>
      <w:tr>
        <w:trPr>
          <w:trHeight w:val="230"/>
        </w:trPr>
        <w:tc>
          <w:tcPr>
            <w:tcW w:w="618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89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connection with the Quarterly Report of NN, Inc. (the “Company”) on Form 10-Q for the quarterly period ended June 30, 2021,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August 6, 2021</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Warren A. Veltman</w:t>
            </w:r>
          </w:p>
        </w:tc>
      </w:tr>
      <w:tr>
        <w:trPr>
          <w:trHeight w:val="222"/>
        </w:trPr>
        <w:tc>
          <w:tcPr>
            <w:tcW w:w="618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Warren A. Veltman</w:t>
            </w:r>
          </w:p>
        </w:tc>
      </w:tr>
      <w:tr>
        <w:trPr>
          <w:trHeight w:val="230"/>
        </w:trPr>
        <w:tc>
          <w:tcPr>
            <w:tcW w:w="618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618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connection with the Quarterly Report of NN, Inc. (the “Company”) on Form 10-Q for the quarterly period ended June 30, 2021,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August 6, 2021</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C. Felcher</w:t>
            </w:r>
          </w:p>
        </w:tc>
      </w:tr>
      <w:tr>
        <w:trPr>
          <w:trHeight w:val="222"/>
        </w:trPr>
        <w:tc>
          <w:tcPr>
            <w:tcW w:w="6160" w:type="dxa"/>
            <w:vAlign w:val="bottom"/>
          </w:tcPr>
          <w:p>
            <w:pPr>
              <w:spacing w:after="0"/>
              <w:rPr>
                <w:sz w:val="19"/>
                <w:szCs w:val="19"/>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Michael C. Felcher</w:t>
            </w:r>
          </w:p>
        </w:tc>
      </w:tr>
      <w:tr>
        <w:trPr>
          <w:trHeight w:val="230"/>
        </w:trPr>
        <w:tc>
          <w:tcPr>
            <w:tcW w:w="6160" w:type="dxa"/>
            <w:vAlign w:val="bottom"/>
          </w:tcPr>
          <w:p>
            <w:pPr>
              <w:spacing w:after="0"/>
              <w:rPr>
                <w:sz w:val="19"/>
                <w:szCs w:val="19"/>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Senior Vice President – Chief Financial Officer</w:t>
            </w:r>
          </w:p>
        </w:tc>
      </w:tr>
      <w:tr>
        <w:trPr>
          <w:trHeight w:val="230"/>
        </w:trPr>
        <w:tc>
          <w:tcPr>
            <w:tcW w:w="616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4" Type="http://schemas.openxmlformats.org/officeDocument/2006/relationships/image" Target="media/image54.png"/><Relationship Id="rId61" Type="http://schemas.openxmlformats.org/officeDocument/2006/relationships/hyperlink" Target="http://www.sec.gov/Archives/edgar/data/918541/000119312521162205/d26069dex101.htm" TargetMode="External"/><Relationship Id="rId62" Type="http://schemas.openxmlformats.org/officeDocument/2006/relationships/hyperlink" Target="http://www.sec.gov/Archives/edgar/data/918541/000091854121000016/ex101-debyleseparationagre.htm" TargetMode="External"/><Relationship Id="rId63" Type="http://schemas.openxmlformats.org/officeDocument/2006/relationships/hyperlink" Target="http://www.sec.gov/Archives/edgar/data/918541/000091854121000016/ex102-formofseparationag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2021-08-06T10:20:49Z</dcterms:created>
  <dcterms:modified xsi:type="dcterms:W3CDTF">2021-08-06T10:20:49Z</dcterms:modified>
</cp:coreProperties>
</file>