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102870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118110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March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115570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drawing>
          <wp:anchor simplePos="0" relativeHeight="251657728" behindDoc="1" locked="0" layoutInCell="0" allowOverlap="1">
            <wp:simplePos x="0" y="0"/>
            <wp:positionH relativeFrom="column">
              <wp:posOffset>2600960</wp:posOffset>
            </wp:positionH>
            <wp:positionV relativeFrom="paragraph">
              <wp:posOffset>193675</wp:posOffset>
            </wp:positionV>
            <wp:extent cx="517525" cy="3854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7525" cy="3854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NN, Inc.</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109220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0" w:lineRule="exact"/>
        <w:rPr>
          <w:sz w:val="24"/>
          <w:szCs w:val="24"/>
          <w:color w:val="auto"/>
        </w:rPr>
      </w:pPr>
    </w:p>
    <w:tbl>
      <w:tblPr>
        <w:tblLayout w:type="fixed"/>
        <w:tblInd w:w="1380" w:type="dxa"/>
        <w:tblCellMar>
          <w:top w:w="0" w:type="dxa"/>
          <w:left w:w="0" w:type="dxa"/>
          <w:bottom w:w="0" w:type="dxa"/>
          <w:right w:w="0" w:type="dxa"/>
        </w:tblCellMar>
      </w:tblPr>
      <w:tr>
        <w:trPr>
          <w:trHeight w:val="150"/>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001-39268</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62-1096725</w:t>
            </w:r>
          </w:p>
        </w:tc>
      </w:tr>
      <w:tr>
        <w:trPr>
          <w:trHeight w:val="104"/>
        </w:trPr>
        <w:tc>
          <w:tcPr>
            <w:tcW w:w="2040" w:type="dxa"/>
            <w:vAlign w:val="bottom"/>
          </w:tcPr>
          <w:p>
            <w:pPr>
              <w:jc w:val="center"/>
              <w:ind w:right="84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0"/>
                <w:szCs w:val="10"/>
                <w:b w:val="1"/>
                <w:bCs w:val="1"/>
                <w:color w:val="auto"/>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88" w:lineRule="exact"/>
        <w:rPr>
          <w:sz w:val="24"/>
          <w:szCs w:val="24"/>
          <w:color w:val="auto"/>
        </w:rPr>
      </w:pPr>
    </w:p>
    <w:p>
      <w:pPr>
        <w:sectPr>
          <w:pgSz w:w="11900" w:h="16838" w:orient="portrait"/>
          <w:cols w:equalWidth="0" w:num="1">
            <w:col w:w="9019"/>
          </w:cols>
          <w:pgMar w:left="1440" w:top="305" w:right="1440" w:bottom="1440" w:gutter="0" w:footer="0" w:header="0"/>
        </w:sectPr>
      </w:pPr>
    </w:p>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6210 Ardrey Kell Road, Suite 120</w:t>
      </w:r>
    </w:p>
    <w:p>
      <w:pPr>
        <w:spacing w:after="0" w:line="2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3"/>
          <w:szCs w:val="13"/>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28277</w:t>
      </w:r>
    </w:p>
    <w:p>
      <w:pPr>
        <w:spacing w:after="0" w:line="28" w:lineRule="exact"/>
        <w:rPr>
          <w:sz w:val="24"/>
          <w:szCs w:val="24"/>
          <w:color w:val="auto"/>
        </w:rPr>
      </w:pPr>
    </w:p>
    <w:p>
      <w:pPr>
        <w:sectPr>
          <w:pgSz w:w="11900" w:h="16838" w:orient="portrait"/>
          <w:cols w:equalWidth="0" w:num="2">
            <w:col w:w="5620" w:space="720"/>
            <w:col w:w="2679"/>
          </w:cols>
          <w:pgMar w:left="1440" w:top="305" w:right="1440" w:bottom="1440" w:gutter="0" w:footer="0" w:header="0"/>
          <w:type w:val="continuous"/>
        </w:sectPr>
      </w:pPr>
    </w:p>
    <w:p>
      <w:pPr>
        <w:ind w:left="1760"/>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(Zip Code)</w:t>
      </w:r>
    </w:p>
    <w:p>
      <w:pPr>
        <w:spacing w:after="0" w:line="90" w:lineRule="exact"/>
        <w:rPr>
          <w:sz w:val="24"/>
          <w:szCs w:val="24"/>
          <w:color w:val="auto"/>
        </w:rPr>
      </w:pPr>
    </w:p>
    <w:p>
      <w:pPr>
        <w:sectPr>
          <w:pgSz w:w="11900" w:h="16838" w:orient="portrait"/>
          <w:cols w:equalWidth="0" w:num="2">
            <w:col w:w="5540" w:space="720"/>
            <w:col w:w="2759"/>
          </w:cols>
          <w:pgMar w:left="1440" w:top="305"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3"/>
          <w:szCs w:val="13"/>
          <w:b w:val="1"/>
          <w:bCs w:val="1"/>
          <w:color w:val="auto"/>
        </w:rPr>
        <w:t>(980) 264-4300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106045</wp:posOffset>
            </wp:positionV>
            <wp:extent cx="10350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20" w:lineRule="exact"/>
        <w:rPr>
          <w:sz w:val="24"/>
          <w:szCs w:val="24"/>
          <w:color w:val="auto"/>
        </w:rPr>
      </w:pPr>
    </w:p>
    <w:p>
      <w:pPr>
        <w:ind w:left="640" w:right="799"/>
        <w:spacing w:after="0" w:line="267" w:lineRule="auto"/>
        <w:rPr>
          <w:sz w:val="20"/>
          <w:szCs w:val="20"/>
          <w:color w:val="auto"/>
        </w:rPr>
      </w:pPr>
      <w:r>
        <w:rPr>
          <w:rFonts w:ascii="Times New Roman" w:cs="Times New Roman" w:eastAsia="Times New Roman" w:hAnsi="Times New Roman"/>
          <w:sz w:val="13"/>
          <w:szCs w:val="13"/>
          <w:color w:val="auto"/>
        </w:rPr>
        <w:t>Check the appropriate box if the Form 8-K filing is intended to simultaneously satisfy the filing obligation of the registrant under any of the following provisions (see General Instruction A.2. below):</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240.14d- 2(b))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240.13e- 4(c))</w:t>
      </w:r>
    </w:p>
    <w:p>
      <w:pPr>
        <w:spacing w:after="0" w:line="104" w:lineRule="exact"/>
        <w:rPr>
          <w:rFonts w:ascii="MS PGothic" w:cs="MS PGothic" w:eastAsia="MS PGothic" w:hAnsi="MS PGothic"/>
          <w:sz w:val="13"/>
          <w:szCs w:val="13"/>
          <w:color w:val="auto"/>
        </w:rPr>
      </w:pPr>
    </w:p>
    <w:p>
      <w:pPr>
        <w:ind w:left="2960"/>
        <w:spacing w:after="0"/>
        <w:rPr>
          <w:rFonts w:ascii="MS PGothic" w:cs="MS PGothic" w:eastAsia="MS PGothic" w:hAnsi="MS PGothic"/>
          <w:sz w:val="13"/>
          <w:szCs w:val="13"/>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94"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ind w:left="1080"/>
              <w:spacing w:after="0"/>
              <w:rPr>
                <w:sz w:val="20"/>
                <w:szCs w:val="20"/>
                <w:color w:val="auto"/>
              </w:rPr>
            </w:pPr>
            <w:r>
              <w:rPr>
                <w:rFonts w:ascii="Times New Roman" w:cs="Times New Roman" w:eastAsia="Times New Roman" w:hAnsi="Times New Roman"/>
                <w:sz w:val="10"/>
                <w:szCs w:val="10"/>
                <w:b w:val="1"/>
                <w:bCs w:val="1"/>
                <w:color w:val="auto"/>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ind w:left="1100"/>
              <w:spacing w:after="0"/>
              <w:rPr>
                <w:sz w:val="20"/>
                <w:szCs w:val="20"/>
                <w:color w:val="auto"/>
              </w:rPr>
            </w:pPr>
            <w:r>
              <w:rPr>
                <w:rFonts w:ascii="Times New Roman" w:cs="Times New Roman" w:eastAsia="Times New Roman" w:hAnsi="Times New Roman"/>
                <w:sz w:val="10"/>
                <w:szCs w:val="10"/>
                <w:b w:val="1"/>
                <w:bCs w:val="1"/>
                <w:color w:val="auto"/>
              </w:rPr>
              <w:t>symbol</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par value $0.01</w:t>
            </w:r>
          </w:p>
        </w:tc>
        <w:tc>
          <w:tcPr>
            <w:tcW w:w="80" w:type="dxa"/>
            <w:vAlign w:val="bottom"/>
          </w:tcPr>
          <w:p>
            <w:pPr>
              <w:spacing w:after="0"/>
              <w:rPr>
                <w:sz w:val="13"/>
                <w:szCs w:val="13"/>
                <w:color w:val="auto"/>
              </w:rPr>
            </w:pPr>
          </w:p>
        </w:tc>
        <w:tc>
          <w:tcPr>
            <w:tcW w:w="248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3"/>
                <w:szCs w:val="13"/>
                <w:color w:val="auto"/>
              </w:rPr>
              <w:t>NNBR</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Stock Market LLC</w:t>
            </w: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7" w:lineRule="exact"/>
        <w:rPr>
          <w:sz w:val="24"/>
          <w:szCs w:val="24"/>
          <w:color w:val="auto"/>
        </w:rPr>
      </w:pPr>
    </w:p>
    <w:p>
      <w:pPr>
        <w:ind w:left="680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47"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759" w:firstLine="309"/>
        <w:spacing w:after="0" w:line="255" w:lineRule="auto"/>
        <w:rPr>
          <w:sz w:val="20"/>
          <w:szCs w:val="20"/>
          <w:color w:val="auto"/>
        </w:rPr>
      </w:pPr>
      <w:r>
        <w:rPr>
          <w:rFonts w:ascii="Times New Roman" w:cs="Times New Roman" w:eastAsia="Times New Roman" w:hAnsi="Times New Roman"/>
          <w:sz w:val="13"/>
          <w:szCs w:val="13"/>
          <w:color w:val="auto"/>
        </w:rPr>
        <w:t xml:space="preserve">NN, Inc., a Delaware corporation (the “Company”), presented virtually at the Sidoti Small-Cap Virtual Conference (the “Conference”) on March 20, 2025, which featured an investor presentation (the “Investor Presentation”). A copy of the Investor Presentation is furnished as Exhibit 99.1 to this Current Report on Form 8-K and is available on the Company’s website at </w:t>
      </w:r>
      <w:r>
        <w:rPr>
          <w:rFonts w:ascii="Times New Roman" w:cs="Times New Roman" w:eastAsia="Times New Roman" w:hAnsi="Times New Roman"/>
          <w:sz w:val="13"/>
          <w:szCs w:val="13"/>
          <w:u w:val="single" w:color="auto"/>
          <w:color w:val="auto"/>
        </w:rPr>
        <w:t>https://ir.vertexinc.com/</w:t>
      </w:r>
      <w:r>
        <w:rPr>
          <w:rFonts w:ascii="Times New Roman" w:cs="Times New Roman" w:eastAsia="Times New Roman" w:hAnsi="Times New Roman"/>
          <w:sz w:val="13"/>
          <w:szCs w:val="13"/>
          <w:color w:val="auto"/>
        </w:rPr>
        <w:t>.</w:t>
      </w:r>
    </w:p>
    <w:p>
      <w:pPr>
        <w:spacing w:after="0" w:line="130" w:lineRule="exact"/>
        <w:rPr>
          <w:sz w:val="20"/>
          <w:szCs w:val="20"/>
          <w:color w:val="auto"/>
        </w:rPr>
      </w:pPr>
    </w:p>
    <w:p>
      <w:pPr>
        <w:ind w:left="640" w:right="699" w:firstLine="309"/>
        <w:spacing w:after="0" w:line="249" w:lineRule="auto"/>
        <w:rPr>
          <w:sz w:val="20"/>
          <w:szCs w:val="20"/>
          <w:color w:val="auto"/>
        </w:rPr>
      </w:pPr>
      <w:r>
        <w:rPr>
          <w:rFonts w:ascii="Times New Roman" w:cs="Times New Roman" w:eastAsia="Times New Roman" w:hAnsi="Times New Roman"/>
          <w:sz w:val="13"/>
          <w:szCs w:val="13"/>
          <w:color w:val="auto"/>
        </w:rPr>
        <w:t>Pursuant to the rules and regulations of the U.S. Securities and Exchange Commission the information furnished pursuant to this Item 7.01 of this Current Report (including Exhibit 99.1) is deemed to have been furnished and shall not be deemed “filed” for purposes of Section 18 of the Securities Exchange Act of 1934, as amended (the “Exchange Act”), or otherwise subject to the liabilities of that section. Such information shall not be incorporated by reference into any other filing of the Company under the Securities Act of 1933, as amended, or the Exchange Act, whether made before or after the date hereof, regardless of any general incorporation language in such filing.</w:t>
      </w:r>
    </w:p>
    <w:p>
      <w:pPr>
        <w:spacing w:after="0" w:line="237"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9"/>
              </w:rPr>
              <w:t>ITEM 9.01</w:t>
            </w:r>
          </w:p>
        </w:tc>
        <w:tc>
          <w:tcPr>
            <w:tcW w:w="404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c>
          <w:tcPr>
            <w:tcW w:w="0" w:type="dxa"/>
            <w:vAlign w:val="bottom"/>
          </w:tcPr>
          <w:p>
            <w:pPr>
              <w:spacing w:after="0"/>
              <w:rPr>
                <w:sz w:val="1"/>
                <w:szCs w:val="1"/>
                <w:color w:val="auto"/>
              </w:rPr>
            </w:pPr>
          </w:p>
        </w:tc>
      </w:tr>
      <w:tr>
        <w:trPr>
          <w:trHeight w:val="227"/>
        </w:trPr>
        <w:tc>
          <w:tcPr>
            <w:tcW w:w="4660" w:type="dxa"/>
            <w:vAlign w:val="bottom"/>
            <w:gridSpan w:val="5"/>
          </w:tcPr>
          <w:p>
            <w:pPr>
              <w:spacing w:after="0"/>
              <w:rPr>
                <w:sz w:val="20"/>
                <w:szCs w:val="20"/>
                <w:color w:val="auto"/>
              </w:rPr>
            </w:pPr>
            <w:r>
              <w:rPr>
                <w:rFonts w:ascii="Times New Roman" w:cs="Times New Roman" w:eastAsia="Times New Roman" w:hAnsi="Times New Roman"/>
                <w:sz w:val="13"/>
                <w:szCs w:val="13"/>
                <w:i w:val="1"/>
                <w:iCs w:val="1"/>
                <w:color w:val="auto"/>
              </w:rPr>
              <w:t>(d) Exhibits.</w:t>
            </w:r>
          </w:p>
        </w:tc>
        <w:tc>
          <w:tcPr>
            <w:tcW w:w="0" w:type="dxa"/>
            <w:vAlign w:val="bottom"/>
          </w:tcPr>
          <w:p>
            <w:pPr>
              <w:spacing w:after="0"/>
              <w:rPr>
                <w:sz w:val="1"/>
                <w:szCs w:val="1"/>
                <w:color w:val="auto"/>
              </w:rPr>
            </w:pPr>
          </w:p>
        </w:tc>
      </w:tr>
      <w:tr>
        <w:trPr>
          <w:trHeight w:val="258"/>
        </w:trPr>
        <w:tc>
          <w:tcPr>
            <w:tcW w:w="6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20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Description of Exhibit</w:t>
            </w:r>
          </w:p>
        </w:tc>
        <w:tc>
          <w:tcPr>
            <w:tcW w:w="200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11"/>
        </w:trPr>
        <w:tc>
          <w:tcPr>
            <w:tcW w:w="320" w:type="dxa"/>
            <w:vAlign w:val="bottom"/>
            <w:tcBorders>
              <w:bottom w:val="single" w:sz="8" w:color="auto"/>
            </w:tcBorders>
          </w:tcPr>
          <w:p>
            <w:pPr>
              <w:ind w:left="80"/>
              <w:spacing w:after="0" w:line="112" w:lineRule="exact"/>
              <w:rPr>
                <w:sz w:val="20"/>
                <w:szCs w:val="20"/>
                <w:color w:val="auto"/>
              </w:rPr>
            </w:pPr>
            <w:r>
              <w:rPr>
                <w:rFonts w:ascii="Times New Roman" w:cs="Times New Roman" w:eastAsia="Times New Roman" w:hAnsi="Times New Roman"/>
                <w:sz w:val="10"/>
                <w:szCs w:val="10"/>
                <w:b w:val="1"/>
                <w:bCs w:val="1"/>
                <w:color w:val="auto"/>
              </w:rPr>
              <w:t>No.</w:t>
            </w:r>
          </w:p>
        </w:tc>
        <w:tc>
          <w:tcPr>
            <w:tcW w:w="300" w:type="dxa"/>
            <w:vAlign w:val="bottom"/>
          </w:tcPr>
          <w:p>
            <w:pPr>
              <w:spacing w:after="0"/>
              <w:rPr>
                <w:sz w:val="9"/>
                <w:szCs w:val="9"/>
                <w:color w:val="auto"/>
              </w:rPr>
            </w:pPr>
          </w:p>
        </w:tc>
        <w:tc>
          <w:tcPr>
            <w:tcW w:w="2040" w:type="dxa"/>
            <w:vAlign w:val="bottom"/>
            <w:tcBorders>
              <w:bottom w:val="single" w:sz="8" w:color="auto"/>
            </w:tcBorders>
            <w:gridSpan w:val="2"/>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300" w:type="dxa"/>
            <w:vAlign w:val="bottom"/>
          </w:tcPr>
          <w:p>
            <w:pPr>
              <w:spacing w:after="0"/>
              <w:rPr>
                <w:sz w:val="16"/>
                <w:szCs w:val="16"/>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3"/>
                <w:szCs w:val="13"/>
                <w:color w:val="0000EE"/>
              </w:rPr>
              <w:t>Investor Presentation, dated March 2025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00" w:type="dxa"/>
            <w:vAlign w:val="bottom"/>
          </w:tcPr>
          <w:p>
            <w:pPr>
              <w:spacing w:after="0"/>
              <w:rPr>
                <w:sz w:val="20"/>
                <w:szCs w:val="20"/>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3"/>
                <w:szCs w:val="13"/>
                <w:color w:val="auto"/>
                <w:w w:val="96"/>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 March 21, 2025</w:t>
      </w:r>
    </w:p>
    <w:p>
      <w:pPr>
        <w:spacing w:after="0" w:line="17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NN, INC.</w:t>
      </w:r>
    </w:p>
    <w:p>
      <w:pPr>
        <w:spacing w:after="0" w:line="156" w:lineRule="exact"/>
        <w:rPr>
          <w:sz w:val="20"/>
          <w:szCs w:val="20"/>
          <w:color w:val="auto"/>
        </w:rPr>
      </w:pPr>
    </w:p>
    <w:p>
      <w:pPr>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Christopher H. Bohnert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3612515</wp:posOffset>
            </wp:positionH>
            <wp:positionV relativeFrom="paragraph">
              <wp:posOffset>9525</wp:posOffset>
            </wp:positionV>
            <wp:extent cx="170307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3070" cy="5715"/>
                    </a:xfrm>
                    <a:prstGeom prst="rect">
                      <a:avLst/>
                    </a:prstGeom>
                    <a:noFill/>
                  </pic:spPr>
                </pic:pic>
              </a:graphicData>
            </a:graphic>
          </wp:anchor>
        </w:drawing>
      </w:r>
    </w:p>
    <w:p>
      <w:pPr>
        <w:spacing w:after="0" w:line="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 Christopher H. Bohnert</w:t>
      </w:r>
    </w:p>
    <w:p>
      <w:pPr>
        <w:spacing w:after="0" w:line="15" w:lineRule="exact"/>
        <w:rPr>
          <w:sz w:val="20"/>
          <w:szCs w:val="20"/>
          <w:color w:val="auto"/>
        </w:rPr>
      </w:pPr>
    </w:p>
    <w:p>
      <w:pPr>
        <w:jc w:val="both"/>
        <w:ind w:left="5280"/>
        <w:spacing w:after="0"/>
        <w:tabs>
          <w:tab w:leader="none" w:pos="5660" w:val="left"/>
        </w:tabs>
        <w:rPr>
          <w:sz w:val="20"/>
          <w:szCs w:val="20"/>
          <w:color w:val="auto"/>
        </w:rPr>
      </w:pPr>
      <w:r>
        <w:rPr>
          <w:rFonts w:ascii="Times New Roman" w:cs="Times New Roman" w:eastAsia="Times New Roman" w:hAnsi="Times New Roman"/>
          <w:sz w:val="13"/>
          <w:szCs w:val="13"/>
          <w:color w:val="auto"/>
        </w:rPr>
        <w:t>Title:</w:t>
        <w:tab/>
        <w:t>Senior Vice President and Chief Financial Officer</w:t>
      </w:r>
    </w:p>
    <w:p>
      <w:pPr>
        <w:sectPr>
          <w:pgSz w:w="11900" w:h="16838" w:orient="portrait"/>
          <w:cols w:equalWidth="0" w:num="1">
            <w:col w:w="9019"/>
          </w:cols>
          <w:pgMar w:left="1440" w:top="248" w:right="1440" w:bottom="1440" w:gutter="0" w:footer="0" w:header="0"/>
        </w:sectPr>
      </w:pPr>
    </w:p>
    <w:bookmarkStart w:id="3" w:name="page4"/>
    <w:bookmarkEnd w:id="3"/>
    <w:p>
      <w:pPr>
        <w:jc w:val="both"/>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both"/>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both"/>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both"/>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both"/>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both"/>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both"/>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both"/>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both"/>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both"/>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both"/>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both"/>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both"/>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both"/>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both"/>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both"/>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both"/>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both"/>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both"/>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both"/>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both"/>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both"/>
        <w:spacing w:after="0"/>
        <w:tabs>
          <w:tab w:leader="none" w:pos="5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2025-03-21T16:56:30Z</dcterms:created>
  <dcterms:modified xsi:type="dcterms:W3CDTF">2025-03-21T16:56:30Z</dcterms:modified>
</cp:coreProperties>
</file>