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7"/>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185420</wp:posOffset>
            </wp:positionH>
            <wp:positionV relativeFrom="page">
              <wp:posOffset>260350</wp:posOffset>
            </wp:positionV>
            <wp:extent cx="7178040" cy="114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11430"/>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283210</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w:t>
      </w:r>
    </w:p>
    <w:p>
      <w:pPr>
        <w:spacing w:after="0" w:line="25" w:lineRule="exact"/>
        <w:rPr>
          <w:sz w:val="24"/>
          <w:szCs w:val="24"/>
          <w:color w:val="auto"/>
        </w:rPr>
      </w:pPr>
    </w:p>
    <w:p>
      <w:pPr>
        <w:jc w:val="center"/>
        <w:ind w:right="-87"/>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jc w:val="center"/>
        <w:ind w:right="-87"/>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1971675</wp:posOffset>
            </wp:positionH>
            <wp:positionV relativeFrom="paragraph">
              <wp:posOffset>117475</wp:posOffset>
            </wp:positionV>
            <wp:extent cx="323469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34690" cy="5715"/>
                    </a:xfrm>
                    <a:prstGeom prst="rect">
                      <a:avLst/>
                    </a:prstGeom>
                    <a:noFill/>
                  </pic:spPr>
                </pic:pic>
              </a:graphicData>
            </a:graphic>
          </wp:anchor>
        </w:drawing>
      </w:r>
    </w:p>
    <w:p>
      <w:pPr>
        <w:spacing w:after="0" w:line="344" w:lineRule="exact"/>
        <w:rPr>
          <w:sz w:val="24"/>
          <w:szCs w:val="24"/>
          <w:color w:val="auto"/>
        </w:rPr>
      </w:pPr>
    </w:p>
    <w:p>
      <w:pPr>
        <w:jc w:val="center"/>
        <w:ind w:right="-87"/>
        <w:spacing w:after="0"/>
        <w:rPr>
          <w:sz w:val="20"/>
          <w:szCs w:val="20"/>
          <w:color w:val="auto"/>
        </w:rPr>
      </w:pPr>
      <w:r>
        <w:rPr>
          <w:rFonts w:ascii="Times New Roman" w:cs="Times New Roman" w:eastAsia="Times New Roman" w:hAnsi="Times New Roman"/>
          <w:sz w:val="17"/>
          <w:szCs w:val="17"/>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1971675</wp:posOffset>
            </wp:positionH>
            <wp:positionV relativeFrom="paragraph">
              <wp:posOffset>127635</wp:posOffset>
            </wp:positionV>
            <wp:extent cx="323469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34690" cy="5715"/>
                    </a:xfrm>
                    <a:prstGeom prst="rect">
                      <a:avLst/>
                    </a:prstGeom>
                    <a:noFill/>
                  </pic:spPr>
                </pic:pic>
              </a:graphicData>
            </a:graphic>
          </wp:anchor>
        </w:drawing>
      </w:r>
    </w:p>
    <w:p>
      <w:pPr>
        <w:spacing w:after="0" w:line="370" w:lineRule="exact"/>
        <w:rPr>
          <w:sz w:val="24"/>
          <w:szCs w:val="24"/>
          <w:color w:val="auto"/>
        </w:rPr>
      </w:pPr>
    </w:p>
    <w:p>
      <w:pPr>
        <w:jc w:val="center"/>
        <w:ind w:right="-87"/>
        <w:spacing w:after="0"/>
        <w:rPr>
          <w:sz w:val="20"/>
          <w:szCs w:val="20"/>
          <w:color w:val="auto"/>
        </w:rPr>
      </w:pPr>
      <w:r>
        <w:rPr>
          <w:rFonts w:ascii="Times New Roman" w:cs="Times New Roman" w:eastAsia="Times New Roman" w:hAnsi="Times New Roman"/>
          <w:sz w:val="17"/>
          <w:szCs w:val="17"/>
          <w:b w:val="1"/>
          <w:bCs w:val="1"/>
          <w:color w:val="auto"/>
        </w:rPr>
        <w:t>CURRENT REPORT</w:t>
      </w:r>
    </w:p>
    <w:p>
      <w:pPr>
        <w:spacing w:after="0" w:line="22" w:lineRule="exact"/>
        <w:rPr>
          <w:sz w:val="24"/>
          <w:szCs w:val="24"/>
          <w:color w:val="auto"/>
        </w:rPr>
      </w:pPr>
    </w:p>
    <w:p>
      <w:pPr>
        <w:jc w:val="center"/>
        <w:ind w:right="-87"/>
        <w:spacing w:after="0"/>
        <w:rPr>
          <w:sz w:val="20"/>
          <w:szCs w:val="20"/>
          <w:color w:val="auto"/>
        </w:rPr>
      </w:pPr>
      <w:r>
        <w:rPr>
          <w:rFonts w:ascii="Times New Roman" w:cs="Times New Roman" w:eastAsia="Times New Roman" w:hAnsi="Times New Roman"/>
          <w:sz w:val="12"/>
          <w:szCs w:val="12"/>
          <w:b w:val="1"/>
          <w:bCs w:val="1"/>
          <w:color w:val="auto"/>
        </w:rPr>
        <w:t>Pursuant to Section 13 OR 15(d) of The Securities Exchange Act of 1934</w:t>
      </w:r>
    </w:p>
    <w:p>
      <w:pPr>
        <w:spacing w:after="0" w:line="134" w:lineRule="exact"/>
        <w:rPr>
          <w:sz w:val="24"/>
          <w:szCs w:val="24"/>
          <w:color w:val="auto"/>
        </w:rPr>
      </w:pPr>
    </w:p>
    <w:p>
      <w:pPr>
        <w:jc w:val="center"/>
        <w:ind w:right="-87"/>
        <w:spacing w:after="0"/>
        <w:rPr>
          <w:sz w:val="20"/>
          <w:szCs w:val="20"/>
          <w:color w:val="auto"/>
        </w:rPr>
      </w:pPr>
      <w:r>
        <w:rPr>
          <w:rFonts w:ascii="Times New Roman" w:cs="Times New Roman" w:eastAsia="Times New Roman" w:hAnsi="Times New Roman"/>
          <w:sz w:val="12"/>
          <w:szCs w:val="12"/>
          <w:b w:val="1"/>
          <w:bCs w:val="1"/>
          <w:color w:val="auto"/>
        </w:rPr>
        <w:t>Date of Report (Date of earliest event reported): September 15,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1971675</wp:posOffset>
            </wp:positionH>
            <wp:positionV relativeFrom="paragraph">
              <wp:posOffset>127635</wp:posOffset>
            </wp:positionV>
            <wp:extent cx="323469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34690" cy="5715"/>
                    </a:xfrm>
                    <a:prstGeom prst="rect">
                      <a:avLst/>
                    </a:prstGeom>
                    <a:noFill/>
                  </pic:spPr>
                </pic:pic>
              </a:graphicData>
            </a:graphic>
          </wp:anchor>
        </w:drawing>
        <w:drawing>
          <wp:anchor simplePos="0" relativeHeight="251657728" behindDoc="1" locked="0" layoutInCell="0" allowOverlap="1">
            <wp:simplePos x="0" y="0"/>
            <wp:positionH relativeFrom="column">
              <wp:posOffset>3274695</wp:posOffset>
            </wp:positionH>
            <wp:positionV relativeFrom="paragraph">
              <wp:posOffset>253365</wp:posOffset>
            </wp:positionV>
            <wp:extent cx="634365" cy="4457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34365" cy="4457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9" w:lineRule="exact"/>
        <w:rPr>
          <w:sz w:val="24"/>
          <w:szCs w:val="24"/>
          <w:color w:val="auto"/>
        </w:rPr>
      </w:pPr>
    </w:p>
    <w:p>
      <w:pPr>
        <w:jc w:val="center"/>
        <w:ind w:right="-87"/>
        <w:spacing w:after="0"/>
        <w:rPr>
          <w:sz w:val="20"/>
          <w:szCs w:val="20"/>
          <w:color w:val="auto"/>
        </w:rPr>
      </w:pPr>
      <w:r>
        <w:rPr>
          <w:rFonts w:ascii="Times New Roman" w:cs="Times New Roman" w:eastAsia="Times New Roman" w:hAnsi="Times New Roman"/>
          <w:sz w:val="22"/>
          <w:szCs w:val="22"/>
          <w:b w:val="1"/>
          <w:bCs w:val="1"/>
          <w:color w:val="auto"/>
        </w:rPr>
        <w:t>NN, Inc.</w:t>
      </w:r>
    </w:p>
    <w:p>
      <w:pPr>
        <w:spacing w:after="0" w:line="23" w:lineRule="exact"/>
        <w:rPr>
          <w:sz w:val="24"/>
          <w:szCs w:val="24"/>
          <w:color w:val="auto"/>
        </w:rPr>
      </w:pPr>
    </w:p>
    <w:p>
      <w:pPr>
        <w:jc w:val="center"/>
        <w:ind w:right="-87"/>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1971675</wp:posOffset>
            </wp:positionH>
            <wp:positionV relativeFrom="paragraph">
              <wp:posOffset>117475</wp:posOffset>
            </wp:positionV>
            <wp:extent cx="323469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34690" cy="5715"/>
                    </a:xfrm>
                    <a:prstGeom prst="rect">
                      <a:avLst/>
                    </a:prstGeom>
                    <a:noFill/>
                  </pic:spPr>
                </pic:pic>
              </a:graphicData>
            </a:graphic>
          </wp:anchor>
        </w:drawing>
      </w:r>
    </w:p>
    <w:p>
      <w:pPr>
        <w:spacing w:after="0" w:line="348" w:lineRule="exact"/>
        <w:rPr>
          <w:sz w:val="24"/>
          <w:szCs w:val="24"/>
          <w:color w:val="auto"/>
        </w:rPr>
      </w:pPr>
    </w:p>
    <w:tbl>
      <w:tblPr>
        <w:tblLayout w:type="fixed"/>
        <w:tblInd w:w="988" w:type="dxa"/>
        <w:tblCellMar>
          <w:top w:w="0" w:type="dxa"/>
          <w:left w:w="0" w:type="dxa"/>
          <w:bottom w:w="0" w:type="dxa"/>
          <w:right w:w="0" w:type="dxa"/>
        </w:tblCellMar>
      </w:tblPr>
      <w:tr>
        <w:trPr>
          <w:trHeight w:val="146"/>
        </w:trPr>
        <w:tc>
          <w:tcPr>
            <w:tcW w:w="2480" w:type="dxa"/>
            <w:vAlign w:val="bottom"/>
          </w:tcPr>
          <w:p>
            <w:pPr>
              <w:jc w:val="center"/>
              <w:ind w:right="540"/>
              <w:spacing w:after="0"/>
              <w:rPr>
                <w:sz w:val="20"/>
                <w:szCs w:val="20"/>
                <w:color w:val="auto"/>
              </w:rPr>
            </w:pPr>
            <w:r>
              <w:rPr>
                <w:rFonts w:ascii="Times New Roman" w:cs="Times New Roman" w:eastAsia="Times New Roman" w:hAnsi="Times New Roman"/>
                <w:sz w:val="12"/>
                <w:szCs w:val="12"/>
                <w:b w:val="1"/>
                <w:bCs w:val="1"/>
                <w:color w:val="auto"/>
                <w:w w:val="98"/>
              </w:rPr>
              <w:t>Delaware</w:t>
            </w:r>
          </w:p>
        </w:tc>
        <w:tc>
          <w:tcPr>
            <w:tcW w:w="4640" w:type="dxa"/>
            <w:vAlign w:val="bottom"/>
          </w:tcPr>
          <w:p>
            <w:pPr>
              <w:jc w:val="right"/>
              <w:ind w:right="2080"/>
              <w:spacing w:after="0"/>
              <w:rPr>
                <w:sz w:val="20"/>
                <w:szCs w:val="20"/>
                <w:color w:val="auto"/>
              </w:rPr>
            </w:pPr>
            <w:r>
              <w:rPr>
                <w:rFonts w:ascii="Times New Roman" w:cs="Times New Roman" w:eastAsia="Times New Roman" w:hAnsi="Times New Roman"/>
                <w:sz w:val="12"/>
                <w:szCs w:val="12"/>
                <w:b w:val="1"/>
                <w:bCs w:val="1"/>
                <w:color w:val="auto"/>
              </w:rPr>
              <w:t>001-39268</w:t>
            </w:r>
          </w:p>
        </w:tc>
        <w:tc>
          <w:tcPr>
            <w:tcW w:w="1760" w:type="dxa"/>
            <w:vAlign w:val="bottom"/>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62-1096725</w:t>
            </w:r>
          </w:p>
        </w:tc>
      </w:tr>
      <w:tr>
        <w:trPr>
          <w:trHeight w:val="144"/>
        </w:trPr>
        <w:tc>
          <w:tcPr>
            <w:tcW w:w="2480" w:type="dxa"/>
            <w:vAlign w:val="bottom"/>
          </w:tcPr>
          <w:p>
            <w:pPr>
              <w:jc w:val="center"/>
              <w:ind w:right="540"/>
              <w:spacing w:after="0"/>
              <w:rPr>
                <w:sz w:val="20"/>
                <w:szCs w:val="20"/>
                <w:color w:val="auto"/>
              </w:rPr>
            </w:pPr>
            <w:r>
              <w:rPr>
                <w:rFonts w:ascii="Times New Roman" w:cs="Times New Roman" w:eastAsia="Times New Roman" w:hAnsi="Times New Roman"/>
                <w:sz w:val="12"/>
                <w:szCs w:val="12"/>
                <w:i w:val="1"/>
                <w:iCs w:val="1"/>
                <w:color w:val="auto"/>
                <w:w w:val="99"/>
              </w:rPr>
              <w:t>(State or other jurisdiction of</w:t>
            </w:r>
          </w:p>
        </w:tc>
        <w:tc>
          <w:tcPr>
            <w:tcW w:w="4640" w:type="dxa"/>
            <w:vAlign w:val="bottom"/>
          </w:tcPr>
          <w:p>
            <w:pPr>
              <w:jc w:val="center"/>
              <w:ind w:right="80"/>
              <w:spacing w:after="0"/>
              <w:rPr>
                <w:sz w:val="20"/>
                <w:szCs w:val="20"/>
                <w:color w:val="auto"/>
              </w:rPr>
            </w:pPr>
            <w:r>
              <w:rPr>
                <w:rFonts w:ascii="Times New Roman" w:cs="Times New Roman" w:eastAsia="Times New Roman" w:hAnsi="Times New Roman"/>
                <w:sz w:val="12"/>
                <w:szCs w:val="12"/>
                <w:i w:val="1"/>
                <w:iCs w:val="1"/>
                <w:color w:val="auto"/>
                <w:w w:val="98"/>
              </w:rPr>
              <w:t>(Commission File Number)</w:t>
            </w:r>
          </w:p>
        </w:tc>
        <w:tc>
          <w:tcPr>
            <w:tcW w:w="1760" w:type="dxa"/>
            <w:vAlign w:val="bottom"/>
          </w:tcPr>
          <w:p>
            <w:pPr>
              <w:jc w:val="center"/>
              <w:ind w:left="860"/>
              <w:spacing w:after="0"/>
              <w:rPr>
                <w:sz w:val="20"/>
                <w:szCs w:val="20"/>
                <w:color w:val="auto"/>
              </w:rPr>
            </w:pPr>
            <w:r>
              <w:rPr>
                <w:rFonts w:ascii="Times New Roman" w:cs="Times New Roman" w:eastAsia="Times New Roman" w:hAnsi="Times New Roman"/>
                <w:sz w:val="12"/>
                <w:szCs w:val="12"/>
                <w:i w:val="1"/>
                <w:iCs w:val="1"/>
                <w:color w:val="auto"/>
                <w:w w:val="99"/>
              </w:rPr>
              <w:t>(I.R.S. Employer</w:t>
            </w:r>
          </w:p>
        </w:tc>
      </w:tr>
      <w:tr>
        <w:trPr>
          <w:trHeight w:val="157"/>
        </w:trPr>
        <w:tc>
          <w:tcPr>
            <w:tcW w:w="2480" w:type="dxa"/>
            <w:vAlign w:val="bottom"/>
          </w:tcPr>
          <w:p>
            <w:pPr>
              <w:jc w:val="center"/>
              <w:ind w:right="580"/>
              <w:spacing w:after="0"/>
              <w:rPr>
                <w:sz w:val="20"/>
                <w:szCs w:val="20"/>
                <w:color w:val="auto"/>
              </w:rPr>
            </w:pPr>
            <w:r>
              <w:rPr>
                <w:rFonts w:ascii="Times New Roman" w:cs="Times New Roman" w:eastAsia="Times New Roman" w:hAnsi="Times New Roman"/>
                <w:sz w:val="12"/>
                <w:szCs w:val="12"/>
                <w:i w:val="1"/>
                <w:iCs w:val="1"/>
                <w:color w:val="auto"/>
              </w:rPr>
              <w:t>incorporation)</w:t>
            </w:r>
          </w:p>
        </w:tc>
        <w:tc>
          <w:tcPr>
            <w:tcW w:w="4640" w:type="dxa"/>
            <w:vAlign w:val="bottom"/>
          </w:tcPr>
          <w:p>
            <w:pPr>
              <w:spacing w:after="0"/>
              <w:rPr>
                <w:sz w:val="13"/>
                <w:szCs w:val="13"/>
                <w:color w:val="auto"/>
              </w:rPr>
            </w:pPr>
          </w:p>
        </w:tc>
        <w:tc>
          <w:tcPr>
            <w:tcW w:w="1760" w:type="dxa"/>
            <w:vAlign w:val="bottom"/>
          </w:tcPr>
          <w:p>
            <w:pPr>
              <w:ind w:left="880"/>
              <w:spacing w:after="0"/>
              <w:rPr>
                <w:sz w:val="20"/>
                <w:szCs w:val="20"/>
                <w:color w:val="auto"/>
              </w:rPr>
            </w:pPr>
            <w:r>
              <w:rPr>
                <w:rFonts w:ascii="Times New Roman" w:cs="Times New Roman" w:eastAsia="Times New Roman" w:hAnsi="Times New Roman"/>
                <w:sz w:val="12"/>
                <w:szCs w:val="12"/>
                <w:i w:val="1"/>
                <w:iCs w:val="1"/>
                <w:color w:val="auto"/>
                <w:w w:val="96"/>
              </w:rPr>
              <w:t>Identification No.)</w:t>
            </w:r>
          </w:p>
        </w:tc>
      </w:tr>
      <w:tr>
        <w:trPr>
          <w:trHeight w:val="273"/>
        </w:trPr>
        <w:tc>
          <w:tcPr>
            <w:tcW w:w="2480" w:type="dxa"/>
            <w:vAlign w:val="bottom"/>
          </w:tcPr>
          <w:p>
            <w:pPr>
              <w:jc w:val="center"/>
              <w:ind w:right="540"/>
              <w:spacing w:after="0"/>
              <w:rPr>
                <w:sz w:val="20"/>
                <w:szCs w:val="20"/>
                <w:color w:val="auto"/>
              </w:rPr>
            </w:pPr>
            <w:r>
              <w:rPr>
                <w:rFonts w:ascii="Times New Roman" w:cs="Times New Roman" w:eastAsia="Times New Roman" w:hAnsi="Times New Roman"/>
                <w:sz w:val="12"/>
                <w:szCs w:val="12"/>
                <w:b w:val="1"/>
                <w:bCs w:val="1"/>
                <w:color w:val="auto"/>
                <w:w w:val="99"/>
              </w:rPr>
              <w:t>6210 Ardrey Kell Road, Suite 120</w:t>
            </w:r>
          </w:p>
        </w:tc>
        <w:tc>
          <w:tcPr>
            <w:tcW w:w="4640" w:type="dxa"/>
            <w:vAlign w:val="bottom"/>
          </w:tcPr>
          <w:p>
            <w:pPr>
              <w:spacing w:after="0"/>
              <w:rPr>
                <w:sz w:val="23"/>
                <w:szCs w:val="23"/>
                <w:color w:val="auto"/>
              </w:rPr>
            </w:pPr>
          </w:p>
        </w:tc>
        <w:tc>
          <w:tcPr>
            <w:tcW w:w="1760" w:type="dxa"/>
            <w:vAlign w:val="bottom"/>
          </w:tcPr>
          <w:p>
            <w:pPr>
              <w:spacing w:after="0"/>
              <w:rPr>
                <w:sz w:val="23"/>
                <w:szCs w:val="23"/>
                <w:color w:val="auto"/>
              </w:rPr>
            </w:pPr>
          </w:p>
        </w:tc>
      </w:tr>
      <w:tr>
        <w:trPr>
          <w:trHeight w:val="146"/>
        </w:trPr>
        <w:tc>
          <w:tcPr>
            <w:tcW w:w="2480" w:type="dxa"/>
            <w:vAlign w:val="bottom"/>
          </w:tcPr>
          <w:p>
            <w:pPr>
              <w:jc w:val="center"/>
              <w:ind w:right="560"/>
              <w:spacing w:after="0"/>
              <w:rPr>
                <w:sz w:val="20"/>
                <w:szCs w:val="20"/>
                <w:color w:val="auto"/>
              </w:rPr>
            </w:pPr>
            <w:r>
              <w:rPr>
                <w:rFonts w:ascii="Times New Roman" w:cs="Times New Roman" w:eastAsia="Times New Roman" w:hAnsi="Times New Roman"/>
                <w:sz w:val="12"/>
                <w:szCs w:val="12"/>
                <w:b w:val="1"/>
                <w:bCs w:val="1"/>
                <w:color w:val="auto"/>
                <w:w w:val="99"/>
              </w:rPr>
              <w:t>Charlotte, North Carolina</w:t>
            </w:r>
          </w:p>
        </w:tc>
        <w:tc>
          <w:tcPr>
            <w:tcW w:w="4640" w:type="dxa"/>
            <w:vAlign w:val="bottom"/>
          </w:tcPr>
          <w:p>
            <w:pPr>
              <w:spacing w:after="0"/>
              <w:rPr>
                <w:sz w:val="12"/>
                <w:szCs w:val="12"/>
                <w:color w:val="auto"/>
              </w:rPr>
            </w:pPr>
          </w:p>
        </w:tc>
        <w:tc>
          <w:tcPr>
            <w:tcW w:w="1760" w:type="dxa"/>
            <w:vAlign w:val="bottom"/>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28277</w:t>
            </w:r>
          </w:p>
        </w:tc>
      </w:tr>
      <w:tr>
        <w:trPr>
          <w:trHeight w:val="157"/>
        </w:trPr>
        <w:tc>
          <w:tcPr>
            <w:tcW w:w="2480" w:type="dxa"/>
            <w:vAlign w:val="bottom"/>
          </w:tcPr>
          <w:p>
            <w:pPr>
              <w:jc w:val="center"/>
              <w:ind w:right="540"/>
              <w:spacing w:after="0"/>
              <w:rPr>
                <w:sz w:val="20"/>
                <w:szCs w:val="20"/>
                <w:color w:val="auto"/>
              </w:rPr>
            </w:pPr>
            <w:r>
              <w:rPr>
                <w:rFonts w:ascii="Times New Roman" w:cs="Times New Roman" w:eastAsia="Times New Roman" w:hAnsi="Times New Roman"/>
                <w:sz w:val="12"/>
                <w:szCs w:val="12"/>
                <w:i w:val="1"/>
                <w:iCs w:val="1"/>
                <w:color w:val="auto"/>
                <w:w w:val="99"/>
              </w:rPr>
              <w:t>(Address of principal executive offices)</w:t>
            </w:r>
          </w:p>
        </w:tc>
        <w:tc>
          <w:tcPr>
            <w:tcW w:w="4640" w:type="dxa"/>
            <w:vAlign w:val="bottom"/>
          </w:tcPr>
          <w:p>
            <w:pPr>
              <w:spacing w:after="0"/>
              <w:rPr>
                <w:sz w:val="13"/>
                <w:szCs w:val="13"/>
                <w:color w:val="auto"/>
              </w:rPr>
            </w:pPr>
          </w:p>
        </w:tc>
        <w:tc>
          <w:tcPr>
            <w:tcW w:w="1760" w:type="dxa"/>
            <w:vAlign w:val="bottom"/>
          </w:tcPr>
          <w:p>
            <w:pPr>
              <w:jc w:val="center"/>
              <w:ind w:left="860"/>
              <w:spacing w:after="0"/>
              <w:rPr>
                <w:sz w:val="20"/>
                <w:szCs w:val="20"/>
                <w:color w:val="auto"/>
              </w:rPr>
            </w:pPr>
            <w:r>
              <w:rPr>
                <w:rFonts w:ascii="Times New Roman" w:cs="Times New Roman" w:eastAsia="Times New Roman" w:hAnsi="Times New Roman"/>
                <w:sz w:val="12"/>
                <w:szCs w:val="12"/>
                <w:i w:val="1"/>
                <w:iCs w:val="1"/>
                <w:color w:val="auto"/>
                <w:w w:val="99"/>
              </w:rPr>
              <w:t>(Zip Code)</w:t>
            </w:r>
          </w:p>
        </w:tc>
      </w:tr>
      <w:tr>
        <w:trPr>
          <w:trHeight w:val="275"/>
        </w:trPr>
        <w:tc>
          <w:tcPr>
            <w:tcW w:w="2480" w:type="dxa"/>
            <w:vAlign w:val="bottom"/>
          </w:tcPr>
          <w:p>
            <w:pPr>
              <w:spacing w:after="0"/>
              <w:rPr>
                <w:sz w:val="23"/>
                <w:szCs w:val="23"/>
                <w:color w:val="auto"/>
              </w:rPr>
            </w:pPr>
          </w:p>
        </w:tc>
        <w:tc>
          <w:tcPr>
            <w:tcW w:w="4640" w:type="dxa"/>
            <w:vAlign w:val="bottom"/>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(980) 264-4300</w:t>
            </w:r>
          </w:p>
        </w:tc>
        <w:tc>
          <w:tcPr>
            <w:tcW w:w="1760" w:type="dxa"/>
            <w:vAlign w:val="bottom"/>
          </w:tcPr>
          <w:p>
            <w:pPr>
              <w:spacing w:after="0"/>
              <w:rPr>
                <w:sz w:val="23"/>
                <w:szCs w:val="23"/>
                <w:color w:val="auto"/>
              </w:rPr>
            </w:pPr>
          </w:p>
        </w:tc>
      </w:tr>
      <w:tr>
        <w:trPr>
          <w:trHeight w:val="157"/>
        </w:trPr>
        <w:tc>
          <w:tcPr>
            <w:tcW w:w="2480" w:type="dxa"/>
            <w:vAlign w:val="bottom"/>
          </w:tcPr>
          <w:p>
            <w:pPr>
              <w:spacing w:after="0"/>
              <w:rPr>
                <w:sz w:val="13"/>
                <w:szCs w:val="13"/>
                <w:color w:val="auto"/>
              </w:rPr>
            </w:pPr>
          </w:p>
        </w:tc>
        <w:tc>
          <w:tcPr>
            <w:tcW w:w="4640" w:type="dxa"/>
            <w:vAlign w:val="bottom"/>
          </w:tcPr>
          <w:p>
            <w:pPr>
              <w:jc w:val="center"/>
              <w:ind w:right="240"/>
              <w:spacing w:after="0"/>
              <w:rPr>
                <w:sz w:val="20"/>
                <w:szCs w:val="20"/>
                <w:color w:val="auto"/>
              </w:rPr>
            </w:pPr>
            <w:r>
              <w:rPr>
                <w:rFonts w:ascii="Times New Roman" w:cs="Times New Roman" w:eastAsia="Times New Roman" w:hAnsi="Times New Roman"/>
                <w:sz w:val="12"/>
                <w:szCs w:val="12"/>
                <w:i w:val="1"/>
                <w:iCs w:val="1"/>
                <w:color w:val="auto"/>
                <w:w w:val="98"/>
              </w:rPr>
              <w:t>(Registrant’s telephone number, including area code)</w:t>
            </w:r>
          </w:p>
        </w:tc>
        <w:tc>
          <w:tcPr>
            <w:tcW w:w="1760" w:type="dxa"/>
            <w:vAlign w:val="bottom"/>
          </w:tcPr>
          <w:p>
            <w:pPr>
              <w:spacing w:after="0"/>
              <w:rPr>
                <w:sz w:val="13"/>
                <w:szCs w:val="13"/>
                <w:color w:val="auto"/>
              </w:rPr>
            </w:pPr>
          </w:p>
        </w:tc>
      </w:tr>
      <w:tr>
        <w:trPr>
          <w:trHeight w:val="288"/>
        </w:trPr>
        <w:tc>
          <w:tcPr>
            <w:tcW w:w="2480" w:type="dxa"/>
            <w:vAlign w:val="bottom"/>
          </w:tcPr>
          <w:p>
            <w:pPr>
              <w:spacing w:after="0"/>
              <w:rPr>
                <w:sz w:val="24"/>
                <w:szCs w:val="24"/>
                <w:color w:val="auto"/>
              </w:rPr>
            </w:pPr>
          </w:p>
        </w:tc>
        <w:tc>
          <w:tcPr>
            <w:tcW w:w="4640" w:type="dxa"/>
            <w:vAlign w:val="bottom"/>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(Former name or former address, if changed since last report)</w:t>
            </w:r>
          </w:p>
        </w:tc>
        <w:tc>
          <w:tcPr>
            <w:tcW w:w="176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1971675</wp:posOffset>
            </wp:positionH>
            <wp:positionV relativeFrom="paragraph">
              <wp:posOffset>114300</wp:posOffset>
            </wp:positionV>
            <wp:extent cx="323469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34690" cy="5715"/>
                    </a:xfrm>
                    <a:prstGeom prst="rect">
                      <a:avLst/>
                    </a:prstGeom>
                    <a:noFill/>
                  </pic:spPr>
                </pic:pic>
              </a:graphicData>
            </a:graphic>
          </wp:anchor>
        </w:drawing>
      </w:r>
    </w:p>
    <w:p>
      <w:pPr>
        <w:spacing w:after="0" w:line="356" w:lineRule="exact"/>
        <w:rPr>
          <w:sz w:val="24"/>
          <w:szCs w:val="24"/>
          <w:color w:val="auto"/>
        </w:rPr>
      </w:pPr>
    </w:p>
    <w:p>
      <w:pPr>
        <w:ind w:left="8"/>
        <w:spacing w:after="0"/>
        <w:rPr>
          <w:sz w:val="20"/>
          <w:szCs w:val="20"/>
          <w:color w:val="auto"/>
        </w:rPr>
      </w:pPr>
      <w:r>
        <w:rPr>
          <w:rFonts w:ascii="Times New Roman" w:cs="Times New Roman" w:eastAsia="Times New Roman" w:hAnsi="Times New Roman"/>
          <w:sz w:val="12"/>
          <w:szCs w:val="12"/>
          <w:color w:val="auto"/>
        </w:rPr>
        <w:t>Check the appropriate box if the Form 8-K filing is intended to simultaneously satisfy the filing obligation of the registrant under any of the following provisions (see General Instruction A.2. below):</w:t>
      </w:r>
    </w:p>
    <w:p>
      <w:pPr>
        <w:spacing w:after="0" w:line="150" w:lineRule="exact"/>
        <w:rPr>
          <w:sz w:val="24"/>
          <w:szCs w:val="24"/>
          <w:color w:val="auto"/>
        </w:rPr>
      </w:pPr>
    </w:p>
    <w:p>
      <w:pPr>
        <w:ind w:left="348" w:hanging="348"/>
        <w:spacing w:after="0"/>
        <w:tabs>
          <w:tab w:leader="none" w:pos="34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18" w:lineRule="exact"/>
        <w:rPr>
          <w:rFonts w:ascii="MS PGothic" w:cs="MS PGothic" w:eastAsia="MS PGothic" w:hAnsi="MS PGothic"/>
          <w:sz w:val="12"/>
          <w:szCs w:val="12"/>
          <w:color w:val="auto"/>
        </w:rPr>
      </w:pPr>
    </w:p>
    <w:p>
      <w:pPr>
        <w:ind w:left="348" w:hanging="348"/>
        <w:spacing w:after="0"/>
        <w:tabs>
          <w:tab w:leader="none" w:pos="34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6" w:lineRule="exact"/>
        <w:rPr>
          <w:rFonts w:ascii="MS PGothic" w:cs="MS PGothic" w:eastAsia="MS PGothic" w:hAnsi="MS PGothic"/>
          <w:sz w:val="12"/>
          <w:szCs w:val="12"/>
          <w:color w:val="auto"/>
        </w:rPr>
      </w:pPr>
    </w:p>
    <w:p>
      <w:pPr>
        <w:ind w:left="348" w:hanging="348"/>
        <w:spacing w:after="0"/>
        <w:tabs>
          <w:tab w:leader="none" w:pos="34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240.14d- 2(b))</w:t>
      </w:r>
    </w:p>
    <w:p>
      <w:pPr>
        <w:spacing w:after="0" w:line="6" w:lineRule="exact"/>
        <w:rPr>
          <w:rFonts w:ascii="MS PGothic" w:cs="MS PGothic" w:eastAsia="MS PGothic" w:hAnsi="MS PGothic"/>
          <w:sz w:val="12"/>
          <w:szCs w:val="12"/>
          <w:color w:val="auto"/>
        </w:rPr>
      </w:pPr>
    </w:p>
    <w:p>
      <w:pPr>
        <w:ind w:left="348" w:hanging="348"/>
        <w:spacing w:after="0"/>
        <w:tabs>
          <w:tab w:leader="none" w:pos="34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240.13e- 4(c))</w:t>
      </w:r>
    </w:p>
    <w:p>
      <w:pPr>
        <w:spacing w:after="0" w:line="134" w:lineRule="exact"/>
        <w:rPr>
          <w:sz w:val="24"/>
          <w:szCs w:val="24"/>
          <w:color w:val="auto"/>
        </w:rPr>
      </w:pPr>
    </w:p>
    <w:p>
      <w:pPr>
        <w:jc w:val="center"/>
        <w:ind w:right="-87"/>
        <w:spacing w:after="0"/>
        <w:rPr>
          <w:sz w:val="20"/>
          <w:szCs w:val="20"/>
          <w:color w:val="auto"/>
        </w:rPr>
      </w:pPr>
      <w:r>
        <w:rPr>
          <w:rFonts w:ascii="Times New Roman" w:cs="Times New Roman" w:eastAsia="Times New Roman" w:hAnsi="Times New Roman"/>
          <w:sz w:val="12"/>
          <w:szCs w:val="12"/>
          <w:b w:val="1"/>
          <w:bCs w:val="1"/>
          <w:color w:val="auto"/>
        </w:rPr>
        <w:t>Securities registered pursuant to Section 12(b) of the Act:</w:t>
      </w:r>
    </w:p>
    <w:p>
      <w:pPr>
        <w:sectPr>
          <w:pgSz w:w="11900" w:h="16838" w:orient="portrait"/>
          <w:cols w:equalWidth="0" w:num="1">
            <w:col w:w="11208"/>
          </w:cols>
          <w:pgMar w:left="292" w:top="472" w:right="399" w:bottom="1440" w:gutter="0" w:footer="0" w:header="0"/>
        </w:sectPr>
      </w:pPr>
    </w:p>
    <w:p>
      <w:pPr>
        <w:spacing w:after="0" w:line="152" w:lineRule="exact"/>
        <w:rPr>
          <w:sz w:val="24"/>
          <w:szCs w:val="24"/>
          <w:color w:val="auto"/>
        </w:rPr>
      </w:pPr>
    </w:p>
    <w:p>
      <w:pPr>
        <w:jc w:val="center"/>
        <w:ind w:right="832"/>
        <w:spacing w:after="0"/>
        <w:rPr>
          <w:sz w:val="20"/>
          <w:szCs w:val="20"/>
          <w:color w:val="auto"/>
        </w:rPr>
      </w:pPr>
      <w:r>
        <w:rPr>
          <w:rFonts w:ascii="Times New Roman" w:cs="Times New Roman" w:eastAsia="Times New Roman" w:hAnsi="Times New Roman"/>
          <w:sz w:val="12"/>
          <w:szCs w:val="12"/>
          <w:i w:val="1"/>
          <w:iCs w:val="1"/>
          <w:color w:val="auto"/>
        </w:rPr>
        <w:t>Title of each class</w:t>
      </w:r>
    </w:p>
    <w:p>
      <w:pPr>
        <w:spacing w:after="0" w:line="19" w:lineRule="exact"/>
        <w:rPr>
          <w:sz w:val="24"/>
          <w:szCs w:val="24"/>
          <w:color w:val="auto"/>
        </w:rPr>
      </w:pPr>
    </w:p>
    <w:p>
      <w:pPr>
        <w:jc w:val="center"/>
        <w:ind w:right="832"/>
        <w:spacing w:after="0"/>
        <w:rPr>
          <w:sz w:val="20"/>
          <w:szCs w:val="20"/>
          <w:color w:val="auto"/>
        </w:rPr>
      </w:pPr>
      <w:r>
        <w:rPr>
          <w:rFonts w:ascii="Times New Roman" w:cs="Times New Roman" w:eastAsia="Times New Roman" w:hAnsi="Times New Roman"/>
          <w:sz w:val="12"/>
          <w:szCs w:val="12"/>
          <w:b w:val="1"/>
          <w:bCs w:val="1"/>
          <w:color w:val="auto"/>
        </w:rPr>
        <w:t>Common Stock, par value $0.01</w:t>
      </w:r>
    </w:p>
    <w:p>
      <w:pPr>
        <w:spacing w:after="0" w:line="20" w:lineRule="exact"/>
        <w:rPr>
          <w:sz w:val="24"/>
          <w:szCs w:val="24"/>
          <w:color w:val="auto"/>
        </w:rPr>
      </w:pPr>
      <w:r>
        <w:rPr>
          <w:sz w:val="24"/>
          <w:szCs w:val="24"/>
          <w:color w:val="auto"/>
        </w:rPr>
        <w:br w:type="column"/>
      </w:r>
    </w:p>
    <w:p>
      <w:pPr>
        <w:spacing w:after="0" w:line="132" w:lineRule="exact"/>
        <w:rPr>
          <w:sz w:val="24"/>
          <w:szCs w:val="24"/>
          <w:color w:val="auto"/>
        </w:rPr>
      </w:pPr>
    </w:p>
    <w:p>
      <w:pPr>
        <w:jc w:val="center"/>
        <w:ind w:right="1580"/>
        <w:spacing w:after="0"/>
        <w:rPr>
          <w:sz w:val="20"/>
          <w:szCs w:val="20"/>
          <w:color w:val="auto"/>
        </w:rPr>
      </w:pPr>
      <w:r>
        <w:rPr>
          <w:rFonts w:ascii="Times New Roman" w:cs="Times New Roman" w:eastAsia="Times New Roman" w:hAnsi="Times New Roman"/>
          <w:sz w:val="11"/>
          <w:szCs w:val="11"/>
          <w:i w:val="1"/>
          <w:iCs w:val="1"/>
          <w:color w:val="auto"/>
        </w:rPr>
        <w:t>Trading symbol</w:t>
      </w:r>
    </w:p>
    <w:p>
      <w:pPr>
        <w:spacing w:after="0" w:line="30" w:lineRule="exact"/>
        <w:rPr>
          <w:sz w:val="24"/>
          <w:szCs w:val="24"/>
          <w:color w:val="auto"/>
        </w:rPr>
      </w:pPr>
    </w:p>
    <w:p>
      <w:pPr>
        <w:jc w:val="center"/>
        <w:ind w:right="1580"/>
        <w:spacing w:after="0"/>
        <w:rPr>
          <w:sz w:val="20"/>
          <w:szCs w:val="20"/>
          <w:color w:val="auto"/>
        </w:rPr>
      </w:pPr>
      <w:r>
        <w:rPr>
          <w:rFonts w:ascii="Times New Roman" w:cs="Times New Roman" w:eastAsia="Times New Roman" w:hAnsi="Times New Roman"/>
          <w:sz w:val="12"/>
          <w:szCs w:val="12"/>
          <w:b w:val="1"/>
          <w:bCs w:val="1"/>
          <w:color w:val="auto"/>
        </w:rPr>
        <w:t>NNBR</w:t>
      </w:r>
    </w:p>
    <w:p>
      <w:pPr>
        <w:spacing w:after="0" w:line="20" w:lineRule="exact"/>
        <w:rPr>
          <w:sz w:val="24"/>
          <w:szCs w:val="24"/>
          <w:color w:val="auto"/>
        </w:rPr>
      </w:pPr>
      <w:r>
        <w:rPr>
          <w:sz w:val="24"/>
          <w:szCs w:val="24"/>
          <w:color w:val="auto"/>
        </w:rPr>
        <w:br w:type="column"/>
      </w:r>
    </w:p>
    <w:p>
      <w:pPr>
        <w:spacing w:after="0" w:line="132" w:lineRule="exact"/>
        <w:rPr>
          <w:sz w:val="24"/>
          <w:szCs w:val="24"/>
          <w:color w:val="auto"/>
        </w:rPr>
      </w:pPr>
    </w:p>
    <w:p>
      <w:pPr>
        <w:jc w:val="center"/>
        <w:ind w:right="660"/>
        <w:spacing w:after="0"/>
        <w:rPr>
          <w:sz w:val="20"/>
          <w:szCs w:val="20"/>
          <w:color w:val="auto"/>
        </w:rPr>
      </w:pPr>
      <w:r>
        <w:rPr>
          <w:rFonts w:ascii="Times New Roman" w:cs="Times New Roman" w:eastAsia="Times New Roman" w:hAnsi="Times New Roman"/>
          <w:sz w:val="11"/>
          <w:szCs w:val="11"/>
          <w:i w:val="1"/>
          <w:iCs w:val="1"/>
          <w:color w:val="auto"/>
        </w:rPr>
        <w:t>Name of each exchange on which registered</w:t>
      </w:r>
    </w:p>
    <w:p>
      <w:pPr>
        <w:spacing w:after="0" w:line="30" w:lineRule="exact"/>
        <w:rPr>
          <w:sz w:val="24"/>
          <w:szCs w:val="24"/>
          <w:color w:val="auto"/>
        </w:rPr>
      </w:pPr>
    </w:p>
    <w:p>
      <w:pPr>
        <w:jc w:val="center"/>
        <w:ind w:right="660"/>
        <w:spacing w:after="0"/>
        <w:rPr>
          <w:sz w:val="20"/>
          <w:szCs w:val="20"/>
          <w:color w:val="auto"/>
        </w:rPr>
      </w:pPr>
      <w:r>
        <w:rPr>
          <w:rFonts w:ascii="Times New Roman" w:cs="Times New Roman" w:eastAsia="Times New Roman" w:hAnsi="Times New Roman"/>
          <w:sz w:val="12"/>
          <w:szCs w:val="12"/>
          <w:b w:val="1"/>
          <w:bCs w:val="1"/>
          <w:color w:val="auto"/>
        </w:rPr>
        <w:t>The Nasdaq Stock Market LLC</w:t>
      </w:r>
    </w:p>
    <w:p>
      <w:pPr>
        <w:spacing w:after="0" w:line="139" w:lineRule="exact"/>
        <w:rPr>
          <w:sz w:val="24"/>
          <w:szCs w:val="24"/>
          <w:color w:val="auto"/>
        </w:rPr>
      </w:pPr>
    </w:p>
    <w:p>
      <w:pPr>
        <w:sectPr>
          <w:pgSz w:w="11900" w:h="16838" w:orient="portrait"/>
          <w:cols w:equalWidth="0" w:num="3">
            <w:col w:w="4688" w:space="720"/>
            <w:col w:w="2320" w:space="720"/>
            <w:col w:w="2760"/>
          </w:cols>
          <w:pgMar w:left="292" w:top="472" w:right="399" w:bottom="1440" w:gutter="0" w:footer="0" w:header="0"/>
          <w:type w:val="continuous"/>
        </w:sectPr>
      </w:pPr>
    </w:p>
    <w:p>
      <w:pPr>
        <w:ind w:left="8" w:right="80"/>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3" w:lineRule="exact"/>
        <w:rPr>
          <w:sz w:val="24"/>
          <w:szCs w:val="24"/>
          <w:color w:val="auto"/>
        </w:rPr>
      </w:pPr>
    </w:p>
    <w:p>
      <w:pPr>
        <w:ind w:left="9588"/>
        <w:spacing w:after="0" w:line="138" w:lineRule="exact"/>
        <w:tabs>
          <w:tab w:leader="none" w:pos="11068" w:val="left"/>
        </w:tabs>
        <w:rPr>
          <w:sz w:val="20"/>
          <w:szCs w:val="20"/>
          <w:color w:val="auto"/>
        </w:rPr>
      </w:pPr>
      <w:r>
        <w:rPr>
          <w:rFonts w:ascii="Times New Roman" w:cs="Times New Roman" w:eastAsia="Times New Roman" w:hAnsi="Times New Roman"/>
          <w:sz w:val="12"/>
          <w:szCs w:val="12"/>
          <w:color w:val="auto"/>
        </w:rPr>
        <w:t>Emerging growth company.</w:t>
      </w:r>
      <w:r>
        <w:rPr>
          <w:sz w:val="20"/>
          <w:szCs w:val="20"/>
          <w:color w:val="auto"/>
        </w:rPr>
        <w:tab/>
      </w:r>
      <w:r>
        <w:rPr>
          <w:rFonts w:ascii="MS PGothic" w:cs="MS PGothic" w:eastAsia="MS PGothic" w:hAnsi="MS PGothic"/>
          <w:sz w:val="10"/>
          <w:szCs w:val="10"/>
          <w:color w:val="auto"/>
        </w:rPr>
        <w:t>☐</w:t>
      </w:r>
    </w:p>
    <w:p>
      <w:pPr>
        <w:spacing w:after="0" w:line="178" w:lineRule="exact"/>
        <w:rPr>
          <w:sz w:val="24"/>
          <w:szCs w:val="24"/>
          <w:color w:val="auto"/>
        </w:rPr>
      </w:pPr>
    </w:p>
    <w:p>
      <w:pPr>
        <w:ind w:left="8"/>
        <w:spacing w:after="0" w:line="159"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103505</wp:posOffset>
            </wp:positionV>
            <wp:extent cx="717804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120650</wp:posOffset>
            </wp:positionV>
            <wp:extent cx="7178040" cy="114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8040" cy="1143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440690</wp:posOffset>
            </wp:positionV>
            <wp:extent cx="7178040"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08"/>
          </w:cols>
          <w:pgMar w:left="292" w:top="472" w:right="399" w:bottom="1440" w:gutter="0" w:footer="0" w:header="0"/>
          <w:type w:val="continuous"/>
        </w:sectPr>
      </w:pPr>
    </w:p>
    <w:bookmarkStart w:id="1" w:name="page2"/>
    <w:bookmarkEnd w:id="1"/>
    <w:p>
      <w:pPr>
        <w:ind w:left="8"/>
        <w:spacing w:after="0"/>
        <w:tabs>
          <w:tab w:leader="none" w:pos="848" w:val="left"/>
        </w:tabs>
        <w:rPr>
          <w:sz w:val="20"/>
          <w:szCs w:val="20"/>
          <w:color w:val="auto"/>
        </w:rPr>
      </w:pPr>
      <w:r>
        <w:rPr>
          <w:rFonts w:ascii="Times New Roman" w:cs="Times New Roman" w:eastAsia="Times New Roman" w:hAnsi="Times New Roman"/>
          <w:sz w:val="12"/>
          <w:szCs w:val="12"/>
          <w:b w:val="1"/>
          <w:bCs w:val="1"/>
          <w:color w:val="auto"/>
        </w:rPr>
        <w:t>ITEM 7.01</w:t>
      </w:r>
      <w:r>
        <w:rPr>
          <w:sz w:val="20"/>
          <w:szCs w:val="20"/>
          <w:color w:val="auto"/>
        </w:rPr>
        <w:tab/>
      </w:r>
      <w:r>
        <w:rPr>
          <w:rFonts w:ascii="Times New Roman" w:cs="Times New Roman" w:eastAsia="Times New Roman" w:hAnsi="Times New Roman"/>
          <w:sz w:val="11"/>
          <w:szCs w:val="11"/>
          <w:b w:val="1"/>
          <w:bCs w:val="1"/>
          <w:color w:val="auto"/>
        </w:rPr>
        <w:t>REGULATION FD DISCLOSURE</w:t>
      </w:r>
    </w:p>
    <w:p>
      <w:pPr>
        <w:spacing w:after="0" w:line="154" w:lineRule="exact"/>
        <w:rPr>
          <w:sz w:val="20"/>
          <w:szCs w:val="20"/>
          <w:color w:val="auto"/>
        </w:rPr>
      </w:pPr>
    </w:p>
    <w:p>
      <w:pPr>
        <w:ind w:left="8" w:right="180" w:firstLine="432"/>
        <w:spacing w:after="0" w:line="265" w:lineRule="auto"/>
        <w:rPr>
          <w:sz w:val="20"/>
          <w:szCs w:val="20"/>
          <w:color w:val="auto"/>
        </w:rPr>
      </w:pPr>
      <w:r>
        <w:rPr>
          <w:rFonts w:ascii="Times New Roman" w:cs="Times New Roman" w:eastAsia="Times New Roman" w:hAnsi="Times New Roman"/>
          <w:sz w:val="12"/>
          <w:szCs w:val="12"/>
          <w:color w:val="auto"/>
        </w:rPr>
        <w:t>On September 15, 2025, NN, Inc., a Delaware corporation (the “Company”), released a presentation that it intends to use from time to time in meetings with investors. A copy of the presentation is attached hereto as Exhibit 99.1. The investor presentation is also available on the “Investor Relations” page of the Company’s website at https://investors.nninc.com. The information found on, or otherwise accessible through, the Company’s website is not incorporated by reference herein.</w:t>
      </w:r>
    </w:p>
    <w:p>
      <w:pPr>
        <w:spacing w:after="0" w:line="119" w:lineRule="exact"/>
        <w:rPr>
          <w:sz w:val="20"/>
          <w:szCs w:val="20"/>
          <w:color w:val="auto"/>
        </w:rPr>
      </w:pPr>
    </w:p>
    <w:p>
      <w:pPr>
        <w:jc w:val="both"/>
        <w:ind w:left="8" w:right="40" w:firstLine="432"/>
        <w:spacing w:after="0" w:line="265" w:lineRule="auto"/>
        <w:rPr>
          <w:sz w:val="20"/>
          <w:szCs w:val="20"/>
          <w:color w:val="auto"/>
        </w:rPr>
      </w:pPr>
      <w:r>
        <w:rPr>
          <w:rFonts w:ascii="Times New Roman" w:cs="Times New Roman" w:eastAsia="Times New Roman" w:hAnsi="Times New Roman"/>
          <w:sz w:val="12"/>
          <w:szCs w:val="12"/>
          <w:color w:val="auto"/>
        </w:rPr>
        <w:t>Pursuant to the rules and regulations of the U.S. Securities and Exchange Commission, the information furnished pursuant to this Item 7.01 of this Current Report (including Exhibit 99.1) is deemed to have been furnished and shall not be deemed “filed” for the purposes of Section 18 of the Securities Exchange Act of 1934, as amended, or otherwise subject to the liabilities of that section. Such information shall not be incorporated by reference into any other filing of the Company under the Securities Act of 1933, as amended, or the Exchange Act, whether made before or after the date hereof, regardless of any general incorporation language in such filing.</w:t>
      </w:r>
    </w:p>
    <w:p>
      <w:pPr>
        <w:spacing w:after="0" w:line="119" w:lineRule="exact"/>
        <w:rPr>
          <w:sz w:val="20"/>
          <w:szCs w:val="20"/>
          <w:color w:val="auto"/>
        </w:rPr>
      </w:pPr>
    </w:p>
    <w:p>
      <w:pPr>
        <w:jc w:val="both"/>
        <w:ind w:left="8" w:right="40" w:firstLine="432"/>
        <w:spacing w:after="0" w:line="279" w:lineRule="auto"/>
        <w:rPr>
          <w:sz w:val="20"/>
          <w:szCs w:val="20"/>
          <w:color w:val="auto"/>
        </w:rPr>
      </w:pPr>
      <w:r>
        <w:rPr>
          <w:rFonts w:ascii="Times New Roman" w:cs="Times New Roman" w:eastAsia="Times New Roman" w:hAnsi="Times New Roman"/>
          <w:sz w:val="12"/>
          <w:szCs w:val="12"/>
          <w:color w:val="auto"/>
        </w:rPr>
        <w:t>The Company routinely uses its investor relations website (https://investors.nninc.com) to post presentations to investors and other important information, including information that may be material. Accordingly, the Company encourages investors and others interested in the Company to review the information it makes public on its investor relations website.</w:t>
      </w:r>
    </w:p>
    <w:p>
      <w:pPr>
        <w:spacing w:after="0" w:line="251" w:lineRule="exact"/>
        <w:rPr>
          <w:sz w:val="20"/>
          <w:szCs w:val="20"/>
          <w:color w:val="auto"/>
        </w:rPr>
      </w:pPr>
    </w:p>
    <w:p>
      <w:pPr>
        <w:ind w:left="8"/>
        <w:spacing w:after="0"/>
        <w:tabs>
          <w:tab w:leader="none" w:pos="848" w:val="left"/>
        </w:tabs>
        <w:rPr>
          <w:sz w:val="20"/>
          <w:szCs w:val="20"/>
          <w:color w:val="auto"/>
        </w:rPr>
      </w:pPr>
      <w:r>
        <w:rPr>
          <w:rFonts w:ascii="Times New Roman" w:cs="Times New Roman" w:eastAsia="Times New Roman" w:hAnsi="Times New Roman"/>
          <w:sz w:val="12"/>
          <w:szCs w:val="12"/>
          <w:b w:val="1"/>
          <w:bCs w:val="1"/>
          <w:color w:val="auto"/>
        </w:rPr>
        <w:t>ITEM 9.01</w:t>
      </w:r>
      <w:r>
        <w:rPr>
          <w:sz w:val="20"/>
          <w:szCs w:val="20"/>
          <w:color w:val="auto"/>
        </w:rPr>
        <w:tab/>
      </w:r>
      <w:r>
        <w:rPr>
          <w:rFonts w:ascii="Times New Roman" w:cs="Times New Roman" w:eastAsia="Times New Roman" w:hAnsi="Times New Roman"/>
          <w:sz w:val="11"/>
          <w:szCs w:val="11"/>
          <w:b w:val="1"/>
          <w:bCs w:val="1"/>
          <w:color w:val="auto"/>
        </w:rPr>
        <w:t>FINANCIAL STATEMENTS AND EXHIBITS</w:t>
      </w:r>
    </w:p>
    <w:p>
      <w:pPr>
        <w:spacing w:after="0" w:line="152" w:lineRule="exact"/>
        <w:rPr>
          <w:sz w:val="20"/>
          <w:szCs w:val="20"/>
          <w:color w:val="auto"/>
        </w:rPr>
      </w:pPr>
    </w:p>
    <w:p>
      <w:pPr>
        <w:ind w:left="348" w:hanging="348"/>
        <w:spacing w:after="0"/>
        <w:tabs>
          <w:tab w:leader="none" w:pos="348" w:val="left"/>
        </w:tabs>
        <w:numPr>
          <w:ilvl w:val="0"/>
          <w:numId w:val="2"/>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Exhibits.</w:t>
      </w:r>
    </w:p>
    <w:p>
      <w:pPr>
        <w:spacing w:after="0" w:line="142" w:lineRule="exact"/>
        <w:rPr>
          <w:sz w:val="20"/>
          <w:szCs w:val="20"/>
          <w:color w:val="auto"/>
        </w:rPr>
      </w:pPr>
    </w:p>
    <w:tbl>
      <w:tblPr>
        <w:tblLayout w:type="fixed"/>
        <w:tblInd w:w="8" w:type="dxa"/>
        <w:tblCellMar>
          <w:top w:w="0" w:type="dxa"/>
          <w:left w:w="0" w:type="dxa"/>
          <w:bottom w:w="0" w:type="dxa"/>
          <w:right w:w="0" w:type="dxa"/>
        </w:tblCellMar>
      </w:tblPr>
      <w:tr>
        <w:trPr>
          <w:trHeight w:val="138"/>
        </w:trPr>
        <w:tc>
          <w:tcPr>
            <w:tcW w:w="140" w:type="dxa"/>
            <w:vAlign w:val="bottom"/>
          </w:tcPr>
          <w:p>
            <w:pPr>
              <w:spacing w:after="0"/>
              <w:rPr>
                <w:sz w:val="12"/>
                <w:szCs w:val="12"/>
                <w:color w:val="auto"/>
              </w:rPr>
            </w:pPr>
          </w:p>
        </w:tc>
        <w:tc>
          <w:tcPr>
            <w:tcW w:w="640" w:type="dxa"/>
            <w:vAlign w:val="bottom"/>
            <w:gridSpan w:val="6"/>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9"/>
              </w:rPr>
              <w:t>Exhibit</w:t>
            </w:r>
          </w:p>
        </w:tc>
        <w:tc>
          <w:tcPr>
            <w:tcW w:w="10520" w:type="dxa"/>
            <w:vAlign w:val="bottom"/>
            <w:gridSpan w:val="3"/>
            <w:vMerge w:val="restart"/>
          </w:tcPr>
          <w:p>
            <w:pPr>
              <w:spacing w:after="0"/>
              <w:rPr>
                <w:sz w:val="20"/>
                <w:szCs w:val="20"/>
                <w:color w:val="auto"/>
              </w:rPr>
            </w:pPr>
            <w:r>
              <w:rPr>
                <w:rFonts w:ascii="Times New Roman" w:cs="Times New Roman" w:eastAsia="Times New Roman" w:hAnsi="Times New Roman"/>
                <w:sz w:val="12"/>
                <w:szCs w:val="12"/>
                <w:b w:val="1"/>
                <w:bCs w:val="1"/>
                <w:color w:val="auto"/>
              </w:rPr>
              <w:t>Description of Exhibit</w:t>
            </w:r>
          </w:p>
        </w:tc>
        <w:tc>
          <w:tcPr>
            <w:tcW w:w="0" w:type="dxa"/>
            <w:vAlign w:val="bottom"/>
          </w:tcPr>
          <w:p>
            <w:pPr>
              <w:spacing w:after="0"/>
              <w:rPr>
                <w:sz w:val="1"/>
                <w:szCs w:val="1"/>
                <w:color w:val="auto"/>
              </w:rPr>
            </w:pPr>
          </w:p>
        </w:tc>
      </w:tr>
      <w:tr>
        <w:trPr>
          <w:trHeight w:val="124"/>
        </w:trPr>
        <w:tc>
          <w:tcPr>
            <w:tcW w:w="1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gridSpan w:val="3"/>
          </w:tcPr>
          <w:p>
            <w:pPr>
              <w:jc w:val="center"/>
              <w:ind w:right="100"/>
              <w:spacing w:after="0" w:line="124" w:lineRule="exact"/>
              <w:rPr>
                <w:sz w:val="20"/>
                <w:szCs w:val="20"/>
                <w:color w:val="auto"/>
              </w:rPr>
            </w:pPr>
            <w:r>
              <w:rPr>
                <w:rFonts w:ascii="Times New Roman" w:cs="Times New Roman" w:eastAsia="Times New Roman" w:hAnsi="Times New Roman"/>
                <w:sz w:val="12"/>
                <w:szCs w:val="12"/>
                <w:b w:val="1"/>
                <w:bCs w:val="1"/>
                <w:color w:val="auto"/>
              </w:rPr>
              <w:t>No.</w:t>
            </w:r>
          </w:p>
        </w:tc>
        <w:tc>
          <w:tcPr>
            <w:tcW w:w="260" w:type="dxa"/>
            <w:vAlign w:val="bottom"/>
          </w:tcPr>
          <w:p>
            <w:pPr>
              <w:spacing w:after="0"/>
              <w:rPr>
                <w:sz w:val="10"/>
                <w:szCs w:val="10"/>
                <w:color w:val="auto"/>
              </w:rPr>
            </w:pPr>
          </w:p>
        </w:tc>
        <w:tc>
          <w:tcPr>
            <w:tcW w:w="105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20" w:type="dxa"/>
            <w:vAlign w:val="bottom"/>
            <w:gridSpan w:val="2"/>
          </w:tcPr>
          <w:p>
            <w:pPr>
              <w:spacing w:after="0"/>
              <w:rPr>
                <w:sz w:val="15"/>
                <w:szCs w:val="15"/>
                <w:color w:val="auto"/>
              </w:rPr>
            </w:pPr>
          </w:p>
        </w:tc>
        <w:tc>
          <w:tcPr>
            <w:tcW w:w="220" w:type="dxa"/>
            <w:vAlign w:val="bottom"/>
            <w:tcBorders>
              <w:bottom w:val="single" w:sz="8" w:color="0000EE"/>
            </w:tcBorders>
            <w:gridSpan w:val="3"/>
          </w:tcPr>
          <w:p>
            <w:pPr>
              <w:jc w:val="center"/>
              <w:spacing w:after="0"/>
              <w:rPr>
                <w:sz w:val="20"/>
                <w:szCs w:val="20"/>
                <w:color w:val="auto"/>
              </w:rPr>
            </w:pPr>
            <w:r>
              <w:rPr>
                <w:rFonts w:ascii="Times New Roman" w:cs="Times New Roman" w:eastAsia="Times New Roman" w:hAnsi="Times New Roman"/>
                <w:sz w:val="12"/>
                <w:szCs w:val="12"/>
                <w:color w:val="0000EE"/>
                <w:w w:val="94"/>
              </w:rPr>
              <w:t>99.</w:t>
            </w:r>
            <w:r>
              <w:rPr>
                <w:rFonts w:ascii="Times New Roman" w:cs="Times New Roman" w:eastAsia="Times New Roman" w:hAnsi="Times New Roman"/>
                <w:sz w:val="12"/>
                <w:szCs w:val="12"/>
                <w:u w:val="single" w:color="auto"/>
                <w:color w:val="0000EE"/>
                <w:w w:val="94"/>
              </w:rPr>
              <w:t>1</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16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2"/>
                <w:szCs w:val="12"/>
                <w:color w:val="0000EE"/>
                <w:w w:val="99"/>
              </w:rPr>
              <w:t>Investor Presentation, dated September 2025</w:t>
            </w:r>
          </w:p>
        </w:tc>
        <w:tc>
          <w:tcPr>
            <w:tcW w:w="8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440" w:type="dxa"/>
            <w:vAlign w:val="bottom"/>
            <w:gridSpan w:val="5"/>
          </w:tcPr>
          <w:p>
            <w:pPr>
              <w:jc w:val="right"/>
              <w:ind w:right="20"/>
              <w:spacing w:after="0"/>
              <w:rPr>
                <w:sz w:val="20"/>
                <w:szCs w:val="20"/>
                <w:color w:val="auto"/>
              </w:rPr>
            </w:pPr>
            <w:r>
              <w:rPr>
                <w:rFonts w:ascii="Times New Roman" w:cs="Times New Roman" w:eastAsia="Times New Roman" w:hAnsi="Times New Roman"/>
                <w:sz w:val="12"/>
                <w:szCs w:val="12"/>
                <w:color w:val="auto"/>
              </w:rPr>
              <w:t>104</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52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Cover Page Interactive Data File (embedded within the Inline XBRL document)</w:t>
            </w:r>
          </w:p>
        </w:tc>
        <w:tc>
          <w:tcPr>
            <w:tcW w:w="0" w:type="dxa"/>
            <w:vAlign w:val="bottom"/>
          </w:tcPr>
          <w:p>
            <w:pPr>
              <w:spacing w:after="0"/>
              <w:rPr>
                <w:sz w:val="1"/>
                <w:szCs w:val="1"/>
                <w:color w:val="auto"/>
              </w:rPr>
            </w:pPr>
          </w:p>
        </w:tc>
      </w:tr>
      <w:tr>
        <w:trPr>
          <w:trHeight w:val="450"/>
        </w:trPr>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8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8"/>
          </w:cols>
          <w:pgMar w:left="292" w:top="647" w:right="2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5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150"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2"/>
          <w:szCs w:val="12"/>
          <w:color w:val="auto"/>
        </w:rPr>
        <w:t>Date:</w:t>
      </w:r>
      <w:r>
        <w:rPr>
          <w:sz w:val="20"/>
          <w:szCs w:val="20"/>
          <w:color w:val="auto"/>
        </w:rPr>
        <w:tab/>
      </w:r>
      <w:r>
        <w:rPr>
          <w:rFonts w:ascii="Times New Roman" w:cs="Times New Roman" w:eastAsia="Times New Roman" w:hAnsi="Times New Roman"/>
          <w:sz w:val="12"/>
          <w:szCs w:val="12"/>
          <w:color w:val="auto"/>
        </w:rPr>
        <w:t>September 15, 2025</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220" w:type="dxa"/>
            <w:vAlign w:val="bottom"/>
          </w:tcPr>
          <w:p>
            <w:pPr>
              <w:ind w:left="5660"/>
              <w:spacing w:after="0"/>
              <w:rPr>
                <w:sz w:val="20"/>
                <w:szCs w:val="20"/>
                <w:color w:val="auto"/>
              </w:rPr>
            </w:pPr>
            <w:r>
              <w:rPr>
                <w:rFonts w:ascii="Times New Roman" w:cs="Times New Roman" w:eastAsia="Times New Roman" w:hAnsi="Times New Roman"/>
                <w:sz w:val="12"/>
                <w:szCs w:val="12"/>
                <w:b w:val="1"/>
                <w:bCs w:val="1"/>
                <w:color w:val="auto"/>
              </w:rPr>
              <w:t>NN, INC.</w:t>
            </w:r>
          </w:p>
        </w:tc>
        <w:tc>
          <w:tcPr>
            <w:tcW w:w="5080" w:type="dxa"/>
            <w:vAlign w:val="bottom"/>
          </w:tcPr>
          <w:p>
            <w:pPr>
              <w:spacing w:after="0"/>
              <w:rPr>
                <w:sz w:val="13"/>
                <w:szCs w:val="13"/>
                <w:color w:val="auto"/>
              </w:rPr>
            </w:pPr>
          </w:p>
        </w:tc>
      </w:tr>
      <w:tr>
        <w:trPr>
          <w:trHeight w:val="288"/>
        </w:trPr>
        <w:tc>
          <w:tcPr>
            <w:tcW w:w="6220" w:type="dxa"/>
            <w:vAlign w:val="bottom"/>
          </w:tcPr>
          <w:p>
            <w:pPr>
              <w:ind w:left="5660"/>
              <w:spacing w:after="0"/>
              <w:rPr>
                <w:sz w:val="20"/>
                <w:szCs w:val="20"/>
                <w:color w:val="auto"/>
              </w:rPr>
            </w:pPr>
            <w:r>
              <w:rPr>
                <w:rFonts w:ascii="Times New Roman" w:cs="Times New Roman" w:eastAsia="Times New Roman" w:hAnsi="Times New Roman"/>
                <w:sz w:val="12"/>
                <w:szCs w:val="12"/>
                <w:color w:val="auto"/>
              </w:rPr>
              <w:t>By:</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Christopher H. Bohnert</w:t>
            </w:r>
          </w:p>
        </w:tc>
      </w:tr>
      <w:tr>
        <w:trPr>
          <w:trHeight w:val="122"/>
        </w:trPr>
        <w:tc>
          <w:tcPr>
            <w:tcW w:w="6220" w:type="dxa"/>
            <w:vAlign w:val="bottom"/>
          </w:tcPr>
          <w:p>
            <w:pPr>
              <w:ind w:left="5660"/>
              <w:spacing w:after="0" w:line="122" w:lineRule="exact"/>
              <w:rPr>
                <w:sz w:val="20"/>
                <w:szCs w:val="20"/>
                <w:color w:val="auto"/>
              </w:rPr>
            </w:pPr>
            <w:r>
              <w:rPr>
                <w:rFonts w:ascii="Times New Roman" w:cs="Times New Roman" w:eastAsia="Times New Roman" w:hAnsi="Times New Roman"/>
                <w:sz w:val="12"/>
                <w:szCs w:val="12"/>
                <w:color w:val="auto"/>
              </w:rPr>
              <w:t>Name:</w:t>
            </w:r>
          </w:p>
        </w:tc>
        <w:tc>
          <w:tcPr>
            <w:tcW w:w="508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Christopher H. Bohnert</w:t>
            </w:r>
          </w:p>
        </w:tc>
      </w:tr>
      <w:tr>
        <w:trPr>
          <w:trHeight w:val="155"/>
        </w:trPr>
        <w:tc>
          <w:tcPr>
            <w:tcW w:w="6220" w:type="dxa"/>
            <w:vAlign w:val="bottom"/>
          </w:tcPr>
          <w:p>
            <w:pPr>
              <w:ind w:left="5660"/>
              <w:spacing w:after="0"/>
              <w:rPr>
                <w:sz w:val="20"/>
                <w:szCs w:val="20"/>
                <w:color w:val="auto"/>
              </w:rPr>
            </w:pPr>
            <w:r>
              <w:rPr>
                <w:rFonts w:ascii="Times New Roman" w:cs="Times New Roman" w:eastAsia="Times New Roman" w:hAnsi="Times New Roman"/>
                <w:sz w:val="12"/>
                <w:szCs w:val="12"/>
                <w:color w:val="auto"/>
              </w:rPr>
              <w:t>Title:</w:t>
            </w:r>
          </w:p>
        </w:tc>
        <w:tc>
          <w:tcPr>
            <w:tcW w:w="5080" w:type="dxa"/>
            <w:vAlign w:val="bottom"/>
          </w:tcPr>
          <w:p>
            <w:pPr>
              <w:spacing w:after="0"/>
              <w:rPr>
                <w:sz w:val="20"/>
                <w:szCs w:val="20"/>
                <w:color w:val="auto"/>
              </w:rPr>
            </w:pPr>
            <w:r>
              <w:rPr>
                <w:rFonts w:ascii="Times New Roman" w:cs="Times New Roman" w:eastAsia="Times New Roman" w:hAnsi="Times New Roman"/>
                <w:sz w:val="12"/>
                <w:szCs w:val="12"/>
                <w:color w:val="auto"/>
              </w:rPr>
              <w:t>Senior Vice President and Chief Financial Officer</w:t>
            </w:r>
          </w:p>
        </w:tc>
      </w:tr>
      <w:tr>
        <w:trPr>
          <w:trHeight w:val="450"/>
        </w:trPr>
        <w:tc>
          <w:tcPr>
            <w:tcW w:w="622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647" w:right="299" w:bottom="1440" w:gutter="0" w:footer="0" w:header="0"/>
        </w:sectPr>
      </w:pPr>
    </w:p>
    <w:bookmarkStart w:id="3" w:name="page4"/>
    <w:bookmarkEnd w:id="3"/>
    <w:p>
      <w:pPr>
        <w:ind w:left="9420"/>
        <w:spacing w:after="0"/>
        <w:rPr>
          <w:sz w:val="20"/>
          <w:szCs w:val="20"/>
          <w:color w:val="auto"/>
        </w:rPr>
      </w:pPr>
      <w:r>
        <w:rPr>
          <w:rFonts w:ascii="Times New Roman" w:cs="Times New Roman" w:eastAsia="Times New Roman" w:hAnsi="Times New Roman"/>
          <w:sz w:val="14"/>
          <w:szCs w:val="14"/>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116205</wp:posOffset>
            </wp:positionV>
            <wp:extent cx="7218680" cy="44634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8680" cy="4463415"/>
                    </a:xfrm>
                    <a:prstGeom prst="rect">
                      <a:avLst/>
                    </a:prstGeom>
                    <a:noFill/>
                  </pic:spPr>
                </pic:pic>
              </a:graphicData>
            </a:graphic>
          </wp:anchor>
        </w:drawing>
      </w:r>
    </w:p>
    <w:p>
      <w:pPr>
        <w:sectPr>
          <w:pgSz w:w="11900" w:h="16838" w:orient="portrait"/>
          <w:cols w:equalWidth="0" w:num="1">
            <w:col w:w="10160"/>
          </w:cols>
          <w:pgMar w:left="1440" w:top="281" w:right="299" w:bottom="1440"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534670</wp:posOffset>
            </wp:positionV>
            <wp:extent cx="7172960" cy="45262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319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2960" cy="453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4577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2960" cy="4457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2025-09-15T15:41:40Z</dcterms:created>
  <dcterms:modified xsi:type="dcterms:W3CDTF">2025-09-15T15:41:40Z</dcterms:modified>
</cp:coreProperties>
</file>