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SCHEDULE 13D</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(Rule 13d-101)</w:t>
      </w:r>
    </w:p>
    <w:p>
      <w:pPr>
        <w:spacing w:after="0" w:line="188" w:lineRule="exact"/>
        <w:rPr>
          <w:sz w:val="24"/>
          <w:szCs w:val="24"/>
          <w:color w:val="auto"/>
        </w:rPr>
      </w:pPr>
    </w:p>
    <w:p>
      <w:pPr>
        <w:ind w:left="2280"/>
        <w:spacing w:after="0"/>
        <w:rPr>
          <w:sz w:val="20"/>
          <w:szCs w:val="20"/>
          <w:color w:val="auto"/>
        </w:rPr>
      </w:pPr>
      <w:r>
        <w:rPr>
          <w:rFonts w:ascii="Arial" w:cs="Arial" w:eastAsia="Arial" w:hAnsi="Arial"/>
          <w:sz w:val="22"/>
          <w:szCs w:val="22"/>
          <w:color w:val="auto"/>
        </w:rPr>
        <w:t>INFORMATION TO BE INCLUDED IN STATEMENTS FILED PURSUANT</w:t>
      </w:r>
    </w:p>
    <w:p>
      <w:pPr>
        <w:ind w:left="2240"/>
        <w:spacing w:after="0" w:line="238" w:lineRule="auto"/>
        <w:rPr>
          <w:sz w:val="20"/>
          <w:szCs w:val="20"/>
          <w:color w:val="auto"/>
        </w:rPr>
      </w:pPr>
      <w:r>
        <w:rPr>
          <w:rFonts w:ascii="Arial" w:cs="Arial" w:eastAsia="Arial" w:hAnsi="Arial"/>
          <w:sz w:val="22"/>
          <w:szCs w:val="22"/>
          <w:color w:val="auto"/>
        </w:rPr>
        <w:t>TO § 240.13d-1(a) AND AMENDMENTS THERETO FILED PURSUANT TO</w:t>
      </w:r>
    </w:p>
    <w:p>
      <w:pPr>
        <w:ind w:left="4820" w:right="4660" w:firstLine="252"/>
        <w:spacing w:after="0" w:line="498" w:lineRule="auto"/>
        <w:tabs>
          <w:tab w:leader="none" w:pos="5243" w:val="left"/>
        </w:tabs>
        <w:numPr>
          <w:ilvl w:val="0"/>
          <w:numId w:val="1"/>
        </w:numPr>
        <w:rPr>
          <w:rFonts w:ascii="Arial" w:cs="Arial" w:eastAsia="Arial" w:hAnsi="Arial"/>
          <w:sz w:val="19"/>
          <w:szCs w:val="19"/>
          <w:color w:val="auto"/>
        </w:rPr>
      </w:pPr>
      <w:r>
        <w:rPr>
          <w:rFonts w:ascii="Arial" w:cs="Arial" w:eastAsia="Arial" w:hAnsi="Arial"/>
          <w:sz w:val="19"/>
          <w:szCs w:val="19"/>
          <w:color w:val="auto"/>
        </w:rPr>
        <w:t>240.13d-2(a) (Amendment No. 3)</w:t>
      </w:r>
      <w:r>
        <w:rPr>
          <w:rFonts w:ascii="Arial" w:cs="Arial" w:eastAsia="Arial" w:hAnsi="Arial"/>
          <w:sz w:val="10"/>
          <w:szCs w:val="10"/>
          <w:color w:val="auto"/>
        </w:rPr>
        <w:t>1</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NN, Inc.</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(Name of Issuer)</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Common Stock, par value $0.01 per share</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(Title of Class of Securities)</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629337106</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(CUSIP Number)</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CHRISTOPHER S. KIPER</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LEGION PARTNERS ASSET MANAGEMENT, LLC</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9401 Wilshire Blvd, Suite 705</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Beverly Hills, CA 90212</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(424) 253-1773</w:t>
      </w: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STEVE WOLOSKY, ESQ.</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ELIZABETH GONZALEZ-SUSSMAN, ESQ.</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OLSHAN FROME WOLOSKY LLP</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1325 Avenue of the Americas</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New York, New York 10019</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(212) 451-2300</w:t>
      </w:r>
    </w:p>
    <w:p>
      <w:pPr>
        <w:jc w:val="center"/>
        <w:ind w:right="-159"/>
        <w:spacing w:after="0" w:line="236" w:lineRule="auto"/>
        <w:rPr>
          <w:sz w:val="20"/>
          <w:szCs w:val="20"/>
          <w:color w:val="auto"/>
        </w:rPr>
      </w:pPr>
      <w:r>
        <w:rPr>
          <w:rFonts w:ascii="Arial" w:cs="Arial" w:eastAsia="Arial" w:hAnsi="Arial"/>
          <w:sz w:val="22"/>
          <w:szCs w:val="22"/>
          <w:color w:val="auto"/>
        </w:rPr>
        <w:t>(Name, Address and Telephone Number of Person</w:t>
      </w:r>
    </w:p>
    <w:p>
      <w:pPr>
        <w:jc w:val="center"/>
        <w:ind w:right="-159"/>
        <w:spacing w:after="0"/>
        <w:rPr>
          <w:sz w:val="20"/>
          <w:szCs w:val="20"/>
          <w:color w:val="auto"/>
        </w:rPr>
      </w:pPr>
      <w:r>
        <w:rPr>
          <w:rFonts w:ascii="Arial" w:cs="Arial" w:eastAsia="Arial" w:hAnsi="Arial"/>
          <w:sz w:val="22"/>
          <w:szCs w:val="22"/>
          <w:color w:val="auto"/>
        </w:rPr>
        <w:t>Authorized to Receive Notices and Communications)</w:t>
      </w:r>
    </w:p>
    <w:p>
      <w:pPr>
        <w:spacing w:after="0" w:line="222"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October 1, 2019</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(Date of Event Which Requires Filing of This Statement)</w:t>
      </w:r>
    </w:p>
    <w:p>
      <w:pPr>
        <w:spacing w:after="0" w:line="222" w:lineRule="exact"/>
        <w:rPr>
          <w:sz w:val="24"/>
          <w:szCs w:val="24"/>
          <w:color w:val="auto"/>
        </w:rPr>
      </w:pPr>
    </w:p>
    <w:p>
      <w:pPr>
        <w:ind w:right="100" w:firstLine="648"/>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42" w:lineRule="exact"/>
        <w:rPr>
          <w:sz w:val="24"/>
          <w:szCs w:val="24"/>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both"/>
        <w:ind w:right="40" w:firstLine="8"/>
        <w:spacing w:after="0"/>
        <w:tabs>
          <w:tab w:leader="none" w:pos="815" w:val="left"/>
        </w:tabs>
        <w:numPr>
          <w:ilvl w:val="0"/>
          <w:numId w:val="2"/>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20" w:right="37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629337106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Legion Partners, L.P. I</w:t>
            </w:r>
          </w:p>
        </w:tc>
        <w:tc>
          <w:tcPr>
            <w:tcW w:w="1260" w:type="dxa"/>
            <w:vAlign w:val="bottom"/>
            <w:tcBorders>
              <w:bottom w:val="single" w:sz="8" w:color="auto"/>
              <w:right w:val="single" w:sz="8" w:color="auto"/>
            </w:tcBorders>
          </w:tcPr>
          <w:p>
            <w:pPr>
              <w:spacing w:after="0"/>
              <w:rPr>
                <w:sz w:val="24"/>
                <w:szCs w:val="24"/>
                <w:color w:val="auto"/>
              </w:rPr>
            </w:pPr>
          </w:p>
        </w:tc>
      </w:tr>
      <w:tr>
        <w:trPr>
          <w:trHeight w:val="169"/>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right w:val="single" w:sz="8" w:color="auto"/>
            </w:tcBorders>
            <w:shd w:val="clear" w:color="auto" w:fill="000000"/>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2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spacing w:after="0"/>
              <w:rPr>
                <w:sz w:val="16"/>
                <w:szCs w:val="16"/>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9"/>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19"/>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2,946,348</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2,946,348</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2,946,348</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6.95%</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55"/>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2</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144780</wp:posOffset>
            </wp:positionV>
            <wp:extent cx="3600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Legion Partners, L.P. II</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760" w:type="dxa"/>
            <w:vAlign w:val="bottom"/>
            <w:gridSpan w:val="2"/>
          </w:tcPr>
          <w:p>
            <w:pPr>
              <w:jc w:val="center"/>
              <w:spacing w:after="0" w:line="163" w:lineRule="exact"/>
              <w:rPr>
                <w:sz w:val="20"/>
                <w:szCs w:val="20"/>
                <w:color w:val="auto"/>
              </w:rPr>
            </w:pPr>
            <w:r>
              <w:rPr>
                <w:rFonts w:ascii="Arial" w:cs="Arial" w:eastAsia="Arial" w:hAnsi="Arial"/>
                <w:sz w:val="18"/>
                <w:szCs w:val="18"/>
                <w:color w:val="auto"/>
                <w:w w:val="79"/>
              </w:rPr>
              <w:t>2</w:t>
            </w:r>
          </w:p>
        </w:tc>
        <w:tc>
          <w:tcPr>
            <w:tcW w:w="84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vMerge w:val="restart"/>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WC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76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79"/>
              </w:rPr>
              <w:t>5</w:t>
            </w:r>
          </w:p>
        </w:tc>
        <w:tc>
          <w:tcPr>
            <w:tcW w:w="840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6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6</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158,542</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158,542</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158,542</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vMerge w:val="restart"/>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-5334000</wp:posOffset>
            </wp:positionV>
            <wp:extent cx="3600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6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2340" w:right="7040" w:hanging="1551"/>
        <w:spacing w:after="0" w:line="527" w:lineRule="auto"/>
        <w:tabs>
          <w:tab w:leader="none" w:pos="1885"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629337106</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Legion Partners Special Opportunities, L.P. XI</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770,703</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770,703</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770,703</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1.82%</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4</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629337106</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Legion Partners, LLC</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3,875,593</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3,875,593</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3,875,593</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9.15%</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5</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629337106</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Legion Partners Asset Management, LLC</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3,875,593</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3,875,593</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3,875,593</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9.15%</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IA</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6</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230505</wp:posOffset>
            </wp:positionV>
            <wp:extent cx="3600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Legion Partners Holdings, LLC</w:t>
            </w:r>
          </w:p>
        </w:tc>
        <w:tc>
          <w:tcPr>
            <w:tcW w:w="1260" w:type="dxa"/>
            <w:vAlign w:val="bottom"/>
            <w:tcBorders>
              <w:bottom w:val="single" w:sz="8" w:color="auto"/>
            </w:tcBorders>
          </w:tcPr>
          <w:p>
            <w:pPr>
              <w:spacing w:after="0"/>
              <w:rPr>
                <w:sz w:val="24"/>
                <w:szCs w:val="24"/>
                <w:color w:val="auto"/>
              </w:rPr>
            </w:pPr>
          </w:p>
        </w:tc>
      </w:tr>
      <w:tr>
        <w:trPr>
          <w:trHeight w:val="163"/>
        </w:trPr>
        <w:tc>
          <w:tcPr>
            <w:tcW w:w="176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84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79"/>
              </w:rPr>
              <w:t>5</w:t>
            </w:r>
          </w:p>
        </w:tc>
        <w:tc>
          <w:tcPr>
            <w:tcW w:w="840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176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0"/>
                <w:szCs w:val="20"/>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3,875,893</w:t>
            </w:r>
          </w:p>
        </w:tc>
        <w:tc>
          <w:tcPr>
            <w:tcW w:w="1260" w:type="dxa"/>
            <w:vAlign w:val="bottom"/>
            <w:tcBorders>
              <w:bottom w:val="single" w:sz="8" w:color="auto"/>
            </w:tcBorders>
          </w:tcPr>
          <w:p>
            <w:pPr>
              <w:spacing w:after="0"/>
              <w:rPr>
                <w:sz w:val="20"/>
                <w:szCs w:val="20"/>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Pr>
          <w:p>
            <w:pPr>
              <w:spacing w:after="0"/>
              <w:rPr>
                <w:sz w:val="19"/>
                <w:szCs w:val="19"/>
                <w:color w:val="auto"/>
              </w:rPr>
            </w:pPr>
          </w:p>
        </w:tc>
      </w:tr>
      <w:tr>
        <w:trPr>
          <w:trHeight w:val="418"/>
        </w:trPr>
        <w:tc>
          <w:tcPr>
            <w:tcW w:w="176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3,875,893</w:t>
            </w: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3,875,893</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77"/>
        </w:trPr>
        <w:tc>
          <w:tcPr>
            <w:tcW w:w="17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Pr>
          <w:p>
            <w:pPr>
              <w:spacing w:after="0"/>
              <w:rPr>
                <w:sz w:val="19"/>
                <w:szCs w:val="19"/>
                <w:color w:val="auto"/>
              </w:rPr>
            </w:pPr>
          </w:p>
        </w:tc>
      </w:tr>
      <w:tr>
        <w:trPr>
          <w:trHeight w:val="418"/>
        </w:trPr>
        <w:tc>
          <w:tcPr>
            <w:tcW w:w="1760" w:type="dxa"/>
            <w:vAlign w:val="bottom"/>
          </w:tcPr>
          <w:p>
            <w:pPr>
              <w:spacing w:after="0"/>
              <w:rPr>
                <w:sz w:val="24"/>
                <w:szCs w:val="24"/>
                <w:color w:val="auto"/>
              </w:rPr>
            </w:pPr>
          </w:p>
        </w:tc>
        <w:tc>
          <w:tcPr>
            <w:tcW w:w="1720" w:type="dxa"/>
            <w:vAlign w:val="bottom"/>
          </w:tcPr>
          <w:p>
            <w:pPr>
              <w:ind w:left="580"/>
              <w:spacing w:after="0"/>
              <w:rPr>
                <w:sz w:val="20"/>
                <w:szCs w:val="20"/>
                <w:color w:val="auto"/>
              </w:rPr>
            </w:pPr>
            <w:r>
              <w:rPr>
                <w:rFonts w:ascii="Arial" w:cs="Arial" w:eastAsia="Arial" w:hAnsi="Arial"/>
                <w:sz w:val="18"/>
                <w:szCs w:val="18"/>
                <w:color w:val="auto"/>
              </w:rPr>
              <w:t>9.15%</w:t>
            </w: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-5599430</wp:posOffset>
            </wp:positionV>
            <wp:extent cx="3600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ind w:left="2340" w:right="7040" w:hanging="1551"/>
        <w:spacing w:after="0" w:line="527" w:lineRule="auto"/>
        <w:tabs>
          <w:tab w:leader="none" w:pos="1885"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230505</wp:posOffset>
            </wp:positionV>
            <wp:extent cx="360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Christopher S. Kiper</w:t>
            </w:r>
          </w:p>
        </w:tc>
        <w:tc>
          <w:tcPr>
            <w:tcW w:w="1260" w:type="dxa"/>
            <w:vAlign w:val="bottom"/>
            <w:tcBorders>
              <w:bottom w:val="single" w:sz="8" w:color="auto"/>
            </w:tcBorders>
          </w:tcPr>
          <w:p>
            <w:pPr>
              <w:spacing w:after="0"/>
              <w:rPr>
                <w:sz w:val="24"/>
                <w:szCs w:val="24"/>
                <w:color w:val="auto"/>
              </w:rPr>
            </w:pPr>
          </w:p>
        </w:tc>
      </w:tr>
      <w:tr>
        <w:trPr>
          <w:trHeight w:val="163"/>
        </w:trPr>
        <w:tc>
          <w:tcPr>
            <w:tcW w:w="176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84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79"/>
              </w:rPr>
              <w:t>5</w:t>
            </w:r>
          </w:p>
        </w:tc>
        <w:tc>
          <w:tcPr>
            <w:tcW w:w="840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176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USA</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0"/>
                <w:szCs w:val="20"/>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3,875,893</w:t>
            </w:r>
          </w:p>
        </w:tc>
        <w:tc>
          <w:tcPr>
            <w:tcW w:w="1260" w:type="dxa"/>
            <w:vAlign w:val="bottom"/>
            <w:tcBorders>
              <w:bottom w:val="single" w:sz="8" w:color="auto"/>
            </w:tcBorders>
          </w:tcPr>
          <w:p>
            <w:pPr>
              <w:spacing w:after="0"/>
              <w:rPr>
                <w:sz w:val="20"/>
                <w:szCs w:val="20"/>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Pr>
          <w:p>
            <w:pPr>
              <w:spacing w:after="0"/>
              <w:rPr>
                <w:sz w:val="19"/>
                <w:szCs w:val="19"/>
                <w:color w:val="auto"/>
              </w:rPr>
            </w:pPr>
          </w:p>
        </w:tc>
      </w:tr>
      <w:tr>
        <w:trPr>
          <w:trHeight w:val="418"/>
        </w:trPr>
        <w:tc>
          <w:tcPr>
            <w:tcW w:w="176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3,875,893</w:t>
            </w: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3,875,893</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77"/>
        </w:trPr>
        <w:tc>
          <w:tcPr>
            <w:tcW w:w="17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Pr>
          <w:p>
            <w:pPr>
              <w:spacing w:after="0"/>
              <w:rPr>
                <w:sz w:val="19"/>
                <w:szCs w:val="19"/>
                <w:color w:val="auto"/>
              </w:rPr>
            </w:pPr>
          </w:p>
        </w:tc>
      </w:tr>
      <w:tr>
        <w:trPr>
          <w:trHeight w:val="418"/>
        </w:trPr>
        <w:tc>
          <w:tcPr>
            <w:tcW w:w="1760" w:type="dxa"/>
            <w:vAlign w:val="bottom"/>
          </w:tcPr>
          <w:p>
            <w:pPr>
              <w:spacing w:after="0"/>
              <w:rPr>
                <w:sz w:val="24"/>
                <w:szCs w:val="24"/>
                <w:color w:val="auto"/>
              </w:rPr>
            </w:pPr>
          </w:p>
        </w:tc>
        <w:tc>
          <w:tcPr>
            <w:tcW w:w="1720" w:type="dxa"/>
            <w:vAlign w:val="bottom"/>
          </w:tcPr>
          <w:p>
            <w:pPr>
              <w:ind w:left="580"/>
              <w:spacing w:after="0"/>
              <w:rPr>
                <w:sz w:val="20"/>
                <w:szCs w:val="20"/>
                <w:color w:val="auto"/>
              </w:rPr>
            </w:pPr>
            <w:r>
              <w:rPr>
                <w:rFonts w:ascii="Arial" w:cs="Arial" w:eastAsia="Arial" w:hAnsi="Arial"/>
                <w:sz w:val="18"/>
                <w:szCs w:val="18"/>
                <w:color w:val="auto"/>
              </w:rPr>
              <w:t>9.15%</w:t>
            </w: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-5599430</wp:posOffset>
            </wp:positionV>
            <wp:extent cx="360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ind w:left="2340" w:right="7040" w:hanging="1551"/>
        <w:spacing w:after="0" w:line="527" w:lineRule="auto"/>
        <w:tabs>
          <w:tab w:leader="none" w:pos="1885"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CUSIP NO. 629337106</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660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3"/>
              </w:rPr>
              <w:t>Raymond White</w:t>
            </w:r>
          </w:p>
        </w:tc>
        <w:tc>
          <w:tcPr>
            <w:tcW w:w="660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0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00"/>
              <w:spacing w:after="0"/>
              <w:rPr>
                <w:sz w:val="20"/>
                <w:szCs w:val="20"/>
                <w:color w:val="auto"/>
              </w:rPr>
            </w:pPr>
            <w:r>
              <w:rPr>
                <w:rFonts w:ascii="Arial" w:cs="Arial" w:eastAsia="Arial" w:hAnsi="Arial"/>
                <w:sz w:val="18"/>
                <w:szCs w:val="18"/>
                <w:color w:val="auto"/>
                <w:w w:val="95"/>
              </w:rPr>
              <w:t>SOURCE OF FUNDS</w:t>
            </w:r>
          </w:p>
        </w:tc>
        <w:tc>
          <w:tcPr>
            <w:tcW w:w="660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60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8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0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USA</w:t>
            </w:r>
          </w:p>
        </w:tc>
        <w:tc>
          <w:tcPr>
            <w:tcW w:w="660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80" w:type="dxa"/>
            <w:vAlign w:val="bottom"/>
          </w:tcPr>
          <w:p>
            <w:pPr>
              <w:spacing w:after="0"/>
              <w:rPr>
                <w:sz w:val="16"/>
                <w:szCs w:val="16"/>
                <w:color w:val="auto"/>
              </w:rPr>
            </w:pPr>
          </w:p>
        </w:tc>
        <w:tc>
          <w:tcPr>
            <w:tcW w:w="6600" w:type="dxa"/>
            <w:vAlign w:val="bottom"/>
          </w:tcPr>
          <w:p>
            <w:pPr>
              <w:ind w:left="2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80" w:type="dxa"/>
            <w:vAlign w:val="bottom"/>
          </w:tcPr>
          <w:p>
            <w:pPr>
              <w:spacing w:after="0"/>
              <w:rPr>
                <w:sz w:val="16"/>
                <w:szCs w:val="16"/>
                <w:color w:val="auto"/>
              </w:rPr>
            </w:pPr>
          </w:p>
        </w:tc>
        <w:tc>
          <w:tcPr>
            <w:tcW w:w="6600" w:type="dxa"/>
            <w:vAlign w:val="bottom"/>
          </w:tcPr>
          <w:p>
            <w:pPr>
              <w:ind w:left="2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3,875,893</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80" w:type="dxa"/>
            <w:vAlign w:val="bottom"/>
          </w:tcPr>
          <w:p>
            <w:pPr>
              <w:spacing w:after="0"/>
              <w:rPr>
                <w:sz w:val="19"/>
                <w:szCs w:val="19"/>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80" w:type="dxa"/>
            <w:vAlign w:val="bottom"/>
          </w:tcPr>
          <w:p>
            <w:pPr>
              <w:spacing w:after="0"/>
              <w:rPr>
                <w:sz w:val="19"/>
                <w:szCs w:val="19"/>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3,875,893</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3,875,893</w:t>
            </w:r>
          </w:p>
        </w:tc>
        <w:tc>
          <w:tcPr>
            <w:tcW w:w="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9.15%</w:t>
            </w:r>
          </w:p>
        </w:tc>
        <w:tc>
          <w:tcPr>
            <w:tcW w:w="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IN</w:t>
            </w:r>
          </w:p>
        </w:tc>
        <w:tc>
          <w:tcPr>
            <w:tcW w:w="660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9</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CUSIP NO. 629337106</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following constitutes Amendment No. 3 to the Schedule 13D filed by the undersigned (the “Amendment No. 3”). This Amendment No.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 amends and restates the Schedule 13D as specifically set forth herein.</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Source and Amount of Funds or Other Consideration</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3 is hereby amended and restated in its entirety as follows:</w:t>
      </w:r>
    </w:p>
    <w:p>
      <w:pPr>
        <w:spacing w:after="0" w:line="225"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The securities of the Issuer purchased by each of Legion Partners I, Legion Partners II and Legion Partners XI were purchased with working capital (which may, at any given time, include margin loans made by brokerage firms in the ordinary course of business) in open market purchases, except as otherwise noted in Schedule A, which is incorporated herein by reference. The aggregate purchase price of the 2,946,348 Shares owned directly by Legion Partners I is approximately $32,499,058, including brokerage commissions. The aggregate purchase price of the 158,542 Shares owned directly by Legion Partners II is approximately $1,737,303, including brokerage commissions. The aggregate purchase price of the 770,703 Shares owned directly by Legion Partners XI is approximately $7,593,011, including brokerage commissions.</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Items 5(a)-(c) are hereby amended and restated in their entirety as follows:</w:t>
      </w:r>
    </w:p>
    <w:p>
      <w:pPr>
        <w:spacing w:after="0" w:line="225"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The aggregate percentage of Shares reported owned by each person named herein is based upon 42,366,961 Shares outstanding as of August 2, 2019 as reported in the Issuer’s Quarterly Report on Form 10-Q filed with the Securities and Exchange Commission on August 9, 2019.</w:t>
      </w:r>
    </w:p>
    <w:p>
      <w:pPr>
        <w:spacing w:after="0" w:line="147"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Legion Partners I</w:t>
      </w:r>
    </w:p>
    <w:p>
      <w:pPr>
        <w:spacing w:after="0" w:line="225" w:lineRule="exact"/>
        <w:rPr>
          <w:rFonts w:ascii="Arial" w:cs="Arial" w:eastAsia="Arial" w:hAnsi="Arial"/>
          <w:sz w:val="18"/>
          <w:szCs w:val="18"/>
          <w:color w:val="auto"/>
        </w:rPr>
      </w:pPr>
    </w:p>
    <w:p>
      <w:pPr>
        <w:ind w:left="1300" w:right="2060" w:hanging="644"/>
        <w:spacing w:after="0" w:line="501"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As of the close of business on October 3, 2019, Legion Partners I beneficially owned directly 2,946,348 Shares. Percentage: Approximately 6.95%</w:t>
      </w:r>
    </w:p>
    <w:p>
      <w:pPr>
        <w:ind w:left="1300" w:hanging="644"/>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power to vote or direct vote: 2,946,348</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6"/>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2,946,348</w:t>
      </w:r>
    </w:p>
    <w:p>
      <w:pPr>
        <w:spacing w:after="0" w:line="21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transactions in the securities of the Issuer by Legion Partners I during the past sixty days are set forth in Schedule A and are incorporated herein by reference.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Legion Partners II</w:t>
      </w:r>
    </w:p>
    <w:p>
      <w:pPr>
        <w:spacing w:after="0" w:line="225" w:lineRule="exact"/>
        <w:rPr>
          <w:rFonts w:ascii="Arial" w:cs="Arial" w:eastAsia="Arial" w:hAnsi="Arial"/>
          <w:sz w:val="18"/>
          <w:szCs w:val="18"/>
          <w:color w:val="auto"/>
        </w:rPr>
      </w:pPr>
    </w:p>
    <w:p>
      <w:pPr>
        <w:ind w:left="1300" w:right="2140" w:hanging="644"/>
        <w:spacing w:after="0" w:line="501"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As of the close of business on October 3, 2019, Legion Partners II beneficially owned directly 158,542 Shares. Percentage: Less than 1%</w:t>
      </w: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CUSIP NO. 629337106</w:t>
      </w:r>
    </w:p>
    <w:p>
      <w:pPr>
        <w:spacing w:after="0" w:line="213" w:lineRule="exact"/>
        <w:rPr>
          <w:sz w:val="20"/>
          <w:szCs w:val="20"/>
          <w:color w:val="auto"/>
        </w:rPr>
      </w:pPr>
    </w:p>
    <w:p>
      <w:pPr>
        <w:ind w:left="1300" w:hanging="644"/>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7"/>
        </w:numPr>
        <w:rPr>
          <w:rFonts w:ascii="Arial" w:cs="Arial" w:eastAsia="Arial" w:hAnsi="Arial"/>
          <w:sz w:val="18"/>
          <w:szCs w:val="18"/>
          <w:color w:val="auto"/>
        </w:rPr>
      </w:pPr>
      <w:r>
        <w:rPr>
          <w:rFonts w:ascii="Arial" w:cs="Arial" w:eastAsia="Arial" w:hAnsi="Arial"/>
          <w:sz w:val="18"/>
          <w:szCs w:val="18"/>
          <w:color w:val="auto"/>
        </w:rPr>
        <w:t>Shared power to vote or direct vote: 158,542</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7"/>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7"/>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158,542</w:t>
      </w:r>
    </w:p>
    <w:p>
      <w:pPr>
        <w:spacing w:after="0" w:line="21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transactions in the securities of the Issuer by Legion Partners II during the past sixty days are set forth in Schedule A and are incorporated herein by reference.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Legion Partners XI</w:t>
      </w:r>
    </w:p>
    <w:p>
      <w:pPr>
        <w:spacing w:after="0" w:line="225" w:lineRule="exact"/>
        <w:rPr>
          <w:rFonts w:ascii="Arial" w:cs="Arial" w:eastAsia="Arial" w:hAnsi="Arial"/>
          <w:sz w:val="18"/>
          <w:szCs w:val="18"/>
          <w:color w:val="auto"/>
        </w:rPr>
      </w:pPr>
    </w:p>
    <w:p>
      <w:pPr>
        <w:ind w:left="1300" w:right="2080" w:hanging="644"/>
        <w:spacing w:after="0" w:line="501"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As of the close of business on October 3, 2019, Legion Partners XI beneficially owned directly 770,703 Shares. Percentage: Approximately 1.82%</w:t>
      </w:r>
    </w:p>
    <w:p>
      <w:pPr>
        <w:ind w:left="1300" w:hanging="644"/>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vote or direct vote: 770,703</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770,703</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Legion Partners XI has not entered into any transactions in the securities of the Issuer during the past sixty days.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Legion Partners, LLC</w:t>
      </w:r>
    </w:p>
    <w:p>
      <w:pPr>
        <w:spacing w:after="0" w:line="225"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As the general partner of each of Legion Partners I, Legion Partners II and Legion Partners XI, Legion Partners, LLC may be deemed the beneficial owner of the (i) 2,946,348 Shares beneficially owned directly by Legion Partners I, (ii) 158,542 Shares beneficially owned directly by Legion Partners II and (iii) 770,703 Shares beneficially owned directly by Legion Partners XI.</w:t>
      </w:r>
    </w:p>
    <w:p>
      <w:pPr>
        <w:spacing w:after="0" w:line="18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Approximately 9.15%</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vote or direct vote: 3,875,593</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3,875,593</w:t>
      </w:r>
    </w:p>
    <w:p>
      <w:pPr>
        <w:spacing w:after="0" w:line="21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Legion Partners, LLC has not entered into any transactions in the securities of the Issuer during the past sixty days. The transactions in the securities of the Issuer by Legion Partners I and Legion Partners II during the past sixty days are set forth in Schedule A and are incorporated herein by reference.</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Legion Partners Asset Management</w:t>
      </w:r>
    </w:p>
    <w:p>
      <w:pPr>
        <w:spacing w:after="0" w:line="225" w:lineRule="exact"/>
        <w:rPr>
          <w:rFonts w:ascii="Arial" w:cs="Arial" w:eastAsia="Arial" w:hAnsi="Arial"/>
          <w:sz w:val="18"/>
          <w:szCs w:val="18"/>
          <w:color w:val="auto"/>
        </w:rPr>
      </w:pPr>
    </w:p>
    <w:p>
      <w:pPr>
        <w:jc w:val="both"/>
        <w:ind w:left="1300" w:hanging="644"/>
        <w:spacing w:after="0" w:line="286" w:lineRule="auto"/>
        <w:tabs>
          <w:tab w:leader="none" w:pos="1300" w:val="left"/>
        </w:tabs>
        <w:numPr>
          <w:ilvl w:val="1"/>
          <w:numId w:val="8"/>
        </w:numPr>
        <w:rPr>
          <w:rFonts w:ascii="Arial" w:cs="Arial" w:eastAsia="Arial" w:hAnsi="Arial"/>
          <w:sz w:val="17"/>
          <w:szCs w:val="17"/>
          <w:color w:val="auto"/>
        </w:rPr>
      </w:pPr>
      <w:r>
        <w:rPr>
          <w:rFonts w:ascii="Arial" w:cs="Arial" w:eastAsia="Arial" w:hAnsi="Arial"/>
          <w:sz w:val="17"/>
          <w:szCs w:val="17"/>
          <w:color w:val="auto"/>
        </w:rPr>
        <w:t>As the investment advisor of each of Legion Partners I, Legion Partners II and Legion Partners XI, Legion Partners Asset Management may be deemed the beneficial owner of the (i) 2,946,348 Shares beneficially owned directly by Legion Partners I, (ii) 158,542 Shares beneficially owned directly by Legion Partners II and (iii) 770,703 Shares beneficially owned directly by Legion Partners XI.</w:t>
      </w:r>
    </w:p>
    <w:p>
      <w:pPr>
        <w:spacing w:after="0" w:line="165"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Percentage: Approximately 9.15%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CUSIP NO. 629337106</w:t>
      </w:r>
    </w:p>
    <w:p>
      <w:pPr>
        <w:spacing w:after="0" w:line="213" w:lineRule="exact"/>
        <w:rPr>
          <w:sz w:val="20"/>
          <w:szCs w:val="20"/>
          <w:color w:val="auto"/>
        </w:rPr>
      </w:pPr>
    </w:p>
    <w:p>
      <w:pPr>
        <w:ind w:left="1300" w:hanging="644"/>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power to vote or direct vote: 3,875,593</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3,875,593</w:t>
      </w:r>
    </w:p>
    <w:p>
      <w:pPr>
        <w:spacing w:after="0" w:line="21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Legion Partners Asset Management has not entered into any transactions in the securities of the Issuer during the past sixty days. The transactions in the securities of the Issuer by Legion Partners I and Legion Partners II during the past sixty days are set forth in Schedule A and are incorporated herein by reference.</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Legion Partners Holdings</w:t>
      </w:r>
    </w:p>
    <w:p>
      <w:pPr>
        <w:spacing w:after="0" w:line="225" w:lineRule="exact"/>
        <w:rPr>
          <w:rFonts w:ascii="Arial" w:cs="Arial" w:eastAsia="Arial" w:hAnsi="Arial"/>
          <w:sz w:val="18"/>
          <w:szCs w:val="18"/>
          <w:color w:val="auto"/>
        </w:rPr>
      </w:pPr>
    </w:p>
    <w:p>
      <w:pPr>
        <w:jc w:val="both"/>
        <w:ind w:left="1300" w:hanging="644"/>
        <w:spacing w:after="0" w:line="279" w:lineRule="auto"/>
        <w:tabs>
          <w:tab w:leader="none" w:pos="13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As of the close of business on October 3, 2019, Legion Partners Holdings beneficially owned 300 Shares directly. In addition, as the sole member of Legion Partners Asset Management and the sole member of Legion Partners, LLC, Legion Partners Holdings may be deemed the beneficial owner of the (i) 2,946,348 Shares beneficially owned directly by Legion Partners I, (ii) 158,542 Shares beneficially owned directly by Legion Partners II and (iii) 770,703 Shares beneficially owned directly by Legion Partners XI.</w:t>
      </w:r>
    </w:p>
    <w:p>
      <w:pPr>
        <w:spacing w:after="0" w:line="171"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Percentage: Approximately 9.15%</w:t>
      </w:r>
    </w:p>
    <w:p>
      <w:pPr>
        <w:spacing w:after="0" w:line="225" w:lineRule="exact"/>
        <w:rPr>
          <w:rFonts w:ascii="Arial" w:cs="Arial" w:eastAsia="Arial" w:hAnsi="Arial"/>
          <w:sz w:val="17"/>
          <w:szCs w:val="17"/>
          <w:color w:val="auto"/>
        </w:rPr>
      </w:pP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vote or direct vote: 3,875,893</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3,875,893</w:t>
      </w:r>
    </w:p>
    <w:p>
      <w:pPr>
        <w:spacing w:after="0" w:line="21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Legion Partners Holdings has not entered into any transactions in the securities of the Issuer during the past sixty days. The transactions in the securities of the Issuer by Legion Partners I and Legion Partners II during the past sixty days are set forth in Schedule A and are incorporated herein by reference.</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Messrs. Kiper and White</w:t>
      </w:r>
    </w:p>
    <w:p>
      <w:pPr>
        <w:spacing w:after="0" w:line="225"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Each of Messrs. Kiper and White, as a managing director of Legion Partners Asset Management and a managing member of Legion Partners Holdings, may be deemed the beneficial owner of the (i) 2,946,348 Shares beneficially owned directly by Legion Partners I, (ii) 158,542 Shares beneficially owned directly by Legion Partners II, (iii) 770,703 Shares beneficially owned directly by Legion Partners XI and (iv) 300 Shares beneficially owned directly by Legion Partners Holdings.</w:t>
      </w:r>
    </w:p>
    <w:p>
      <w:pPr>
        <w:spacing w:after="0" w:line="186"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Approximately 9.15%</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vote or direct vote: 3,875,893</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3,875,893</w:t>
      </w:r>
    </w:p>
    <w:p>
      <w:pPr>
        <w:spacing w:after="0" w:line="21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Neither Mr. Kiper nor Mr. White has entered into any transactions in the securities of the Issuer during the past sixty days. The transactions in the securities of the Issuer by Legion Partners I and Legion Partners II during the past sixty days are set forth in Schedule A and are incorporated herein by reference.</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The filing of this Schedule 13D shall not be construed as an admission that the Reporting Persons are, for purposes of Section 13(d) of the Securities Exchange Act of 1934, as amended, the beneficial owners of any of the securities reported herein. Each of the Reporting Persons specifically disclaims beneficial ownership of the securities reported herein that are not directly owned by such Reporting Person, except to the extent of their pecuniary interest therein.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 w:name="page13"/>
    <w:bookmarkEnd w:id="12"/>
    <w:p>
      <w:pPr>
        <w:spacing w:after="0"/>
        <w:rPr>
          <w:sz w:val="20"/>
          <w:szCs w:val="20"/>
          <w:color w:val="auto"/>
        </w:rPr>
      </w:pPr>
      <w:r>
        <w:rPr>
          <w:rFonts w:ascii="Arial" w:cs="Arial" w:eastAsia="Arial" w:hAnsi="Arial"/>
          <w:sz w:val="22"/>
          <w:szCs w:val="22"/>
          <w:color w:val="auto"/>
        </w:rPr>
        <w:t>CUSIP NO. 629337106</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his knowledge and belief, each of the undersigned certifies that the information set forth in this statement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is true, complete and correct.</w:t>
            </w:r>
          </w:p>
        </w:tc>
        <w:tc>
          <w:tcPr>
            <w:tcW w:w="10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6620" w:type="dxa"/>
            <w:vAlign w:val="bottom"/>
          </w:tcPr>
          <w:p>
            <w:pPr>
              <w:spacing w:after="0"/>
              <w:rPr>
                <w:sz w:val="20"/>
                <w:szCs w:val="20"/>
                <w:color w:val="auto"/>
              </w:rPr>
            </w:pPr>
            <w:r>
              <w:rPr>
                <w:rFonts w:ascii="Arial" w:cs="Arial" w:eastAsia="Arial" w:hAnsi="Arial"/>
                <w:sz w:val="18"/>
                <w:szCs w:val="18"/>
                <w:color w:val="auto"/>
              </w:rPr>
              <w:t>Dated: October 3, 2019</w:t>
            </w:r>
          </w:p>
        </w:tc>
        <w:tc>
          <w:tcPr>
            <w:tcW w:w="10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620" w:type="dxa"/>
            <w:vAlign w:val="bottom"/>
            <w:gridSpan w:val="2"/>
          </w:tcPr>
          <w:p>
            <w:pPr>
              <w:ind w:left="5940"/>
              <w:spacing w:after="0"/>
              <w:rPr>
                <w:sz w:val="20"/>
                <w:szCs w:val="20"/>
                <w:color w:val="auto"/>
              </w:rPr>
            </w:pPr>
            <w:r>
              <w:rPr>
                <w:rFonts w:ascii="Arial" w:cs="Arial" w:eastAsia="Arial" w:hAnsi="Arial"/>
                <w:sz w:val="18"/>
                <w:szCs w:val="18"/>
                <w:color w:val="auto"/>
                <w:w w:val="92"/>
              </w:rPr>
              <w:t>Legion Partners, L.P. I</w:t>
            </w: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Legion Partners Asset Management, LLC</w:t>
            </w:r>
          </w:p>
        </w:tc>
        <w:tc>
          <w:tcPr>
            <w:tcW w:w="100" w:type="dxa"/>
            <w:vAlign w:val="bottom"/>
          </w:tcPr>
          <w:p>
            <w:pPr>
              <w:spacing w:after="0"/>
              <w:rPr>
                <w:sz w:val="24"/>
                <w:szCs w:val="24"/>
                <w:color w:val="auto"/>
              </w:rPr>
            </w:pPr>
          </w:p>
        </w:tc>
      </w:tr>
      <w:tr>
        <w:trPr>
          <w:trHeight w:val="230"/>
        </w:trPr>
        <w:tc>
          <w:tcPr>
            <w:tcW w:w="66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Investment Advisor</w:t>
            </w:r>
          </w:p>
        </w:tc>
        <w:tc>
          <w:tcPr>
            <w:tcW w:w="100" w:type="dxa"/>
            <w:vAlign w:val="bottom"/>
          </w:tcPr>
          <w:p>
            <w:pPr>
              <w:spacing w:after="0"/>
              <w:rPr>
                <w:sz w:val="20"/>
                <w:szCs w:val="20"/>
                <w:color w:val="auto"/>
              </w:rPr>
            </w:pPr>
          </w:p>
        </w:tc>
      </w:tr>
      <w:tr>
        <w:trPr>
          <w:trHeight w:val="432"/>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c>
          <w:tcPr>
            <w:tcW w:w="100" w:type="dxa"/>
            <w:vAlign w:val="bottom"/>
          </w:tcPr>
          <w:p>
            <w:pPr>
              <w:spacing w:after="0"/>
              <w:rPr>
                <w:sz w:val="24"/>
                <w:szCs w:val="24"/>
                <w:color w:val="auto"/>
              </w:rPr>
            </w:pPr>
          </w:p>
        </w:tc>
      </w:tr>
      <w:tr>
        <w:trPr>
          <w:trHeight w:val="195"/>
        </w:trPr>
        <w:tc>
          <w:tcPr>
            <w:tcW w:w="6620" w:type="dxa"/>
            <w:vAlign w:val="bottom"/>
          </w:tcPr>
          <w:p>
            <w:pPr>
              <w:spacing w:after="0"/>
              <w:rPr>
                <w:sz w:val="16"/>
                <w:szCs w:val="16"/>
                <w:color w:val="auto"/>
              </w:rPr>
            </w:pPr>
          </w:p>
        </w:tc>
        <w:tc>
          <w:tcPr>
            <w:tcW w:w="10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00" w:type="dxa"/>
            <w:vAlign w:val="bottom"/>
          </w:tcPr>
          <w:p>
            <w:pPr>
              <w:ind w:left="20"/>
              <w:spacing w:after="0" w:line="195" w:lineRule="exact"/>
              <w:rPr>
                <w:sz w:val="20"/>
                <w:szCs w:val="20"/>
                <w:color w:val="auto"/>
              </w:rPr>
            </w:pPr>
            <w:r>
              <w:rPr>
                <w:rFonts w:ascii="Arial" w:cs="Arial" w:eastAsia="Arial" w:hAnsi="Arial"/>
                <w:sz w:val="18"/>
                <w:szCs w:val="18"/>
                <w:color w:val="auto"/>
              </w:rPr>
              <w:t>Christopher S. Kiper</w:t>
            </w:r>
          </w:p>
        </w:tc>
        <w:tc>
          <w:tcPr>
            <w:tcW w:w="100" w:type="dxa"/>
            <w:vAlign w:val="bottom"/>
          </w:tcPr>
          <w:p>
            <w:pPr>
              <w:spacing w:after="0"/>
              <w:rPr>
                <w:sz w:val="16"/>
                <w:szCs w:val="16"/>
                <w:color w:val="auto"/>
              </w:rPr>
            </w:pPr>
          </w:p>
        </w:tc>
      </w:tr>
      <w:tr>
        <w:trPr>
          <w:trHeight w:val="230"/>
        </w:trPr>
        <w:tc>
          <w:tcPr>
            <w:tcW w:w="66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ind w:left="20"/>
              <w:spacing w:after="0"/>
              <w:rPr>
                <w:sz w:val="20"/>
                <w:szCs w:val="20"/>
                <w:color w:val="auto"/>
              </w:rPr>
            </w:pPr>
            <w:r>
              <w:rPr>
                <w:rFonts w:ascii="Arial" w:cs="Arial" w:eastAsia="Arial" w:hAnsi="Arial"/>
                <w:sz w:val="18"/>
                <w:szCs w:val="18"/>
                <w:color w:val="auto"/>
              </w:rPr>
              <w:t>Managing Director</w:t>
            </w:r>
          </w:p>
        </w:tc>
        <w:tc>
          <w:tcPr>
            <w:tcW w:w="100" w:type="dxa"/>
            <w:vAlign w:val="bottom"/>
          </w:tcPr>
          <w:p>
            <w:pPr>
              <w:spacing w:after="0"/>
              <w:rPr>
                <w:sz w:val="20"/>
                <w:szCs w:val="20"/>
                <w:color w:val="auto"/>
              </w:rPr>
            </w:pPr>
          </w:p>
        </w:tc>
      </w:tr>
      <w:tr>
        <w:trPr>
          <w:trHeight w:val="432"/>
        </w:trPr>
        <w:tc>
          <w:tcPr>
            <w:tcW w:w="7620" w:type="dxa"/>
            <w:vAlign w:val="bottom"/>
            <w:gridSpan w:val="2"/>
          </w:tcPr>
          <w:p>
            <w:pPr>
              <w:ind w:left="5940"/>
              <w:spacing w:after="0"/>
              <w:rPr>
                <w:sz w:val="20"/>
                <w:szCs w:val="20"/>
                <w:color w:val="auto"/>
              </w:rPr>
            </w:pPr>
            <w:r>
              <w:rPr>
                <w:rFonts w:ascii="Arial" w:cs="Arial" w:eastAsia="Arial" w:hAnsi="Arial"/>
                <w:sz w:val="18"/>
                <w:szCs w:val="18"/>
                <w:color w:val="auto"/>
                <w:w w:val="90"/>
              </w:rPr>
              <w:t>Legion Partners, L.P. II</w:t>
            </w: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Legion Partners Asset Management, LLC</w:t>
            </w:r>
          </w:p>
        </w:tc>
        <w:tc>
          <w:tcPr>
            <w:tcW w:w="100" w:type="dxa"/>
            <w:vAlign w:val="bottom"/>
          </w:tcPr>
          <w:p>
            <w:pPr>
              <w:spacing w:after="0"/>
              <w:rPr>
                <w:sz w:val="24"/>
                <w:szCs w:val="24"/>
                <w:color w:val="auto"/>
              </w:rPr>
            </w:pPr>
          </w:p>
        </w:tc>
      </w:tr>
      <w:tr>
        <w:trPr>
          <w:trHeight w:val="230"/>
        </w:trPr>
        <w:tc>
          <w:tcPr>
            <w:tcW w:w="66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Investment Advisor</w:t>
            </w:r>
          </w:p>
        </w:tc>
        <w:tc>
          <w:tcPr>
            <w:tcW w:w="100" w:type="dxa"/>
            <w:vAlign w:val="bottom"/>
          </w:tcPr>
          <w:p>
            <w:pPr>
              <w:spacing w:after="0"/>
              <w:rPr>
                <w:sz w:val="20"/>
                <w:szCs w:val="20"/>
                <w:color w:val="auto"/>
              </w:rPr>
            </w:pPr>
          </w:p>
        </w:tc>
      </w:tr>
      <w:tr>
        <w:trPr>
          <w:trHeight w:val="432"/>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c>
          <w:tcPr>
            <w:tcW w:w="100" w:type="dxa"/>
            <w:vAlign w:val="bottom"/>
          </w:tcPr>
          <w:p>
            <w:pPr>
              <w:spacing w:after="0"/>
              <w:rPr>
                <w:sz w:val="24"/>
                <w:szCs w:val="24"/>
                <w:color w:val="auto"/>
              </w:rPr>
            </w:pPr>
          </w:p>
        </w:tc>
      </w:tr>
      <w:tr>
        <w:trPr>
          <w:trHeight w:val="195"/>
        </w:trPr>
        <w:tc>
          <w:tcPr>
            <w:tcW w:w="6620" w:type="dxa"/>
            <w:vAlign w:val="bottom"/>
          </w:tcPr>
          <w:p>
            <w:pPr>
              <w:spacing w:after="0"/>
              <w:rPr>
                <w:sz w:val="16"/>
                <w:szCs w:val="16"/>
                <w:color w:val="auto"/>
              </w:rPr>
            </w:pPr>
          </w:p>
        </w:tc>
        <w:tc>
          <w:tcPr>
            <w:tcW w:w="10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00" w:type="dxa"/>
            <w:vAlign w:val="bottom"/>
          </w:tcPr>
          <w:p>
            <w:pPr>
              <w:ind w:left="20"/>
              <w:spacing w:after="0" w:line="195" w:lineRule="exact"/>
              <w:rPr>
                <w:sz w:val="20"/>
                <w:szCs w:val="20"/>
                <w:color w:val="auto"/>
              </w:rPr>
            </w:pPr>
            <w:r>
              <w:rPr>
                <w:rFonts w:ascii="Arial" w:cs="Arial" w:eastAsia="Arial" w:hAnsi="Arial"/>
                <w:sz w:val="18"/>
                <w:szCs w:val="18"/>
                <w:color w:val="auto"/>
              </w:rPr>
              <w:t>Christopher S. Kiper</w:t>
            </w:r>
          </w:p>
        </w:tc>
        <w:tc>
          <w:tcPr>
            <w:tcW w:w="100" w:type="dxa"/>
            <w:vAlign w:val="bottom"/>
          </w:tcPr>
          <w:p>
            <w:pPr>
              <w:spacing w:after="0"/>
              <w:rPr>
                <w:sz w:val="16"/>
                <w:szCs w:val="16"/>
                <w:color w:val="auto"/>
              </w:rPr>
            </w:pPr>
          </w:p>
        </w:tc>
      </w:tr>
      <w:tr>
        <w:trPr>
          <w:trHeight w:val="230"/>
        </w:trPr>
        <w:tc>
          <w:tcPr>
            <w:tcW w:w="66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ind w:left="20"/>
              <w:spacing w:after="0"/>
              <w:rPr>
                <w:sz w:val="20"/>
                <w:szCs w:val="20"/>
                <w:color w:val="auto"/>
              </w:rPr>
            </w:pPr>
            <w:r>
              <w:rPr>
                <w:rFonts w:ascii="Arial" w:cs="Arial" w:eastAsia="Arial" w:hAnsi="Arial"/>
                <w:sz w:val="18"/>
                <w:szCs w:val="18"/>
                <w:color w:val="auto"/>
              </w:rPr>
              <w:t>Managing Director</w:t>
            </w:r>
          </w:p>
        </w:tc>
        <w:tc>
          <w:tcPr>
            <w:tcW w:w="100" w:type="dxa"/>
            <w:vAlign w:val="bottom"/>
          </w:tcPr>
          <w:p>
            <w:pPr>
              <w:spacing w:after="0"/>
              <w:rPr>
                <w:sz w:val="20"/>
                <w:szCs w:val="20"/>
                <w:color w:val="auto"/>
              </w:rPr>
            </w:pPr>
          </w:p>
        </w:tc>
      </w:tr>
      <w:tr>
        <w:trPr>
          <w:trHeight w:val="432"/>
        </w:trPr>
        <w:tc>
          <w:tcPr>
            <w:tcW w:w="11320" w:type="dxa"/>
            <w:vAlign w:val="bottom"/>
            <w:gridSpan w:val="3"/>
          </w:tcPr>
          <w:p>
            <w:pPr>
              <w:ind w:left="5940"/>
              <w:spacing w:after="0"/>
              <w:rPr>
                <w:sz w:val="20"/>
                <w:szCs w:val="20"/>
                <w:color w:val="auto"/>
              </w:rPr>
            </w:pPr>
            <w:r>
              <w:rPr>
                <w:rFonts w:ascii="Arial" w:cs="Arial" w:eastAsia="Arial" w:hAnsi="Arial"/>
                <w:sz w:val="18"/>
                <w:szCs w:val="18"/>
                <w:color w:val="auto"/>
              </w:rPr>
              <w:t>Legion Partners Special Opportunities, L.P. XI</w:t>
            </w:r>
          </w:p>
        </w:tc>
        <w:tc>
          <w:tcPr>
            <w:tcW w:w="100" w:type="dxa"/>
            <w:vAlign w:val="bottom"/>
          </w:tcPr>
          <w:p>
            <w:pPr>
              <w:spacing w:after="0"/>
              <w:rPr>
                <w:sz w:val="24"/>
                <w:szCs w:val="24"/>
                <w:color w:val="auto"/>
              </w:rPr>
            </w:pPr>
          </w:p>
        </w:tc>
      </w:tr>
      <w:tr>
        <w:trPr>
          <w:trHeight w:val="418"/>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Legion Partners Asset Management, LLC</w:t>
            </w:r>
          </w:p>
        </w:tc>
        <w:tc>
          <w:tcPr>
            <w:tcW w:w="100" w:type="dxa"/>
            <w:vAlign w:val="bottom"/>
          </w:tcPr>
          <w:p>
            <w:pPr>
              <w:spacing w:after="0"/>
              <w:rPr>
                <w:sz w:val="24"/>
                <w:szCs w:val="24"/>
                <w:color w:val="auto"/>
              </w:rPr>
            </w:pPr>
          </w:p>
        </w:tc>
      </w:tr>
      <w:tr>
        <w:trPr>
          <w:trHeight w:val="230"/>
        </w:trPr>
        <w:tc>
          <w:tcPr>
            <w:tcW w:w="66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Investment Advisor</w:t>
            </w:r>
          </w:p>
        </w:tc>
        <w:tc>
          <w:tcPr>
            <w:tcW w:w="100" w:type="dxa"/>
            <w:vAlign w:val="bottom"/>
          </w:tcPr>
          <w:p>
            <w:pPr>
              <w:spacing w:after="0"/>
              <w:rPr>
                <w:sz w:val="20"/>
                <w:szCs w:val="20"/>
                <w:color w:val="auto"/>
              </w:rPr>
            </w:pPr>
          </w:p>
        </w:tc>
      </w:tr>
      <w:tr>
        <w:trPr>
          <w:trHeight w:val="432"/>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c>
          <w:tcPr>
            <w:tcW w:w="100" w:type="dxa"/>
            <w:vAlign w:val="bottom"/>
          </w:tcPr>
          <w:p>
            <w:pPr>
              <w:spacing w:after="0"/>
              <w:rPr>
                <w:sz w:val="24"/>
                <w:szCs w:val="24"/>
                <w:color w:val="auto"/>
              </w:rPr>
            </w:pPr>
          </w:p>
        </w:tc>
      </w:tr>
      <w:tr>
        <w:trPr>
          <w:trHeight w:val="195"/>
        </w:trPr>
        <w:tc>
          <w:tcPr>
            <w:tcW w:w="6620" w:type="dxa"/>
            <w:vAlign w:val="bottom"/>
          </w:tcPr>
          <w:p>
            <w:pPr>
              <w:spacing w:after="0"/>
              <w:rPr>
                <w:sz w:val="16"/>
                <w:szCs w:val="16"/>
                <w:color w:val="auto"/>
              </w:rPr>
            </w:pPr>
          </w:p>
        </w:tc>
        <w:tc>
          <w:tcPr>
            <w:tcW w:w="10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00" w:type="dxa"/>
            <w:vAlign w:val="bottom"/>
          </w:tcPr>
          <w:p>
            <w:pPr>
              <w:ind w:left="20"/>
              <w:spacing w:after="0" w:line="195" w:lineRule="exact"/>
              <w:rPr>
                <w:sz w:val="20"/>
                <w:szCs w:val="20"/>
                <w:color w:val="auto"/>
              </w:rPr>
            </w:pPr>
            <w:r>
              <w:rPr>
                <w:rFonts w:ascii="Arial" w:cs="Arial" w:eastAsia="Arial" w:hAnsi="Arial"/>
                <w:sz w:val="18"/>
                <w:szCs w:val="18"/>
                <w:color w:val="auto"/>
              </w:rPr>
              <w:t>Christopher S. Kiper</w:t>
            </w:r>
          </w:p>
        </w:tc>
        <w:tc>
          <w:tcPr>
            <w:tcW w:w="100" w:type="dxa"/>
            <w:vAlign w:val="bottom"/>
          </w:tcPr>
          <w:p>
            <w:pPr>
              <w:spacing w:after="0"/>
              <w:rPr>
                <w:sz w:val="16"/>
                <w:szCs w:val="16"/>
                <w:color w:val="auto"/>
              </w:rPr>
            </w:pPr>
          </w:p>
        </w:tc>
      </w:tr>
      <w:tr>
        <w:trPr>
          <w:trHeight w:val="230"/>
        </w:trPr>
        <w:tc>
          <w:tcPr>
            <w:tcW w:w="66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ind w:left="20"/>
              <w:spacing w:after="0"/>
              <w:rPr>
                <w:sz w:val="20"/>
                <w:szCs w:val="20"/>
                <w:color w:val="auto"/>
              </w:rPr>
            </w:pPr>
            <w:r>
              <w:rPr>
                <w:rFonts w:ascii="Arial" w:cs="Arial" w:eastAsia="Arial" w:hAnsi="Arial"/>
                <w:sz w:val="18"/>
                <w:szCs w:val="18"/>
                <w:color w:val="auto"/>
              </w:rPr>
              <w:t>Managing Director</w:t>
            </w:r>
          </w:p>
        </w:tc>
        <w:tc>
          <w:tcPr>
            <w:tcW w:w="100" w:type="dxa"/>
            <w:vAlign w:val="bottom"/>
          </w:tcPr>
          <w:p>
            <w:pPr>
              <w:spacing w:after="0"/>
              <w:rPr>
                <w:sz w:val="20"/>
                <w:szCs w:val="20"/>
                <w:color w:val="auto"/>
              </w:rPr>
            </w:pPr>
          </w:p>
        </w:tc>
      </w:tr>
      <w:tr>
        <w:trPr>
          <w:trHeight w:val="432"/>
        </w:trPr>
        <w:tc>
          <w:tcPr>
            <w:tcW w:w="7620" w:type="dxa"/>
            <w:vAlign w:val="bottom"/>
            <w:gridSpan w:val="2"/>
          </w:tcPr>
          <w:p>
            <w:pPr>
              <w:ind w:left="5940"/>
              <w:spacing w:after="0"/>
              <w:rPr>
                <w:sz w:val="20"/>
                <w:szCs w:val="20"/>
                <w:color w:val="auto"/>
              </w:rPr>
            </w:pPr>
            <w:r>
              <w:rPr>
                <w:rFonts w:ascii="Arial" w:cs="Arial" w:eastAsia="Arial" w:hAnsi="Arial"/>
                <w:sz w:val="18"/>
                <w:szCs w:val="18"/>
                <w:color w:val="auto"/>
                <w:w w:val="97"/>
              </w:rPr>
              <w:t>Legion Partners, LLC</w:t>
            </w: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Legion Partners Holdings, LLC</w:t>
            </w:r>
          </w:p>
        </w:tc>
        <w:tc>
          <w:tcPr>
            <w:tcW w:w="100" w:type="dxa"/>
            <w:vAlign w:val="bottom"/>
          </w:tcPr>
          <w:p>
            <w:pPr>
              <w:spacing w:after="0"/>
              <w:rPr>
                <w:sz w:val="24"/>
                <w:szCs w:val="24"/>
                <w:color w:val="auto"/>
              </w:rPr>
            </w:pPr>
          </w:p>
        </w:tc>
      </w:tr>
      <w:tr>
        <w:trPr>
          <w:trHeight w:val="230"/>
        </w:trPr>
        <w:tc>
          <w:tcPr>
            <w:tcW w:w="66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Managing Member</w:t>
            </w:r>
          </w:p>
        </w:tc>
        <w:tc>
          <w:tcPr>
            <w:tcW w:w="100" w:type="dxa"/>
            <w:vAlign w:val="bottom"/>
          </w:tcPr>
          <w:p>
            <w:pPr>
              <w:spacing w:after="0"/>
              <w:rPr>
                <w:sz w:val="20"/>
                <w:szCs w:val="20"/>
                <w:color w:val="auto"/>
              </w:rPr>
            </w:pPr>
          </w:p>
        </w:tc>
      </w:tr>
      <w:tr>
        <w:trPr>
          <w:trHeight w:val="432"/>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c>
          <w:tcPr>
            <w:tcW w:w="100" w:type="dxa"/>
            <w:vAlign w:val="bottom"/>
          </w:tcPr>
          <w:p>
            <w:pPr>
              <w:spacing w:after="0"/>
              <w:rPr>
                <w:sz w:val="24"/>
                <w:szCs w:val="24"/>
                <w:color w:val="auto"/>
              </w:rPr>
            </w:pPr>
          </w:p>
        </w:tc>
      </w:tr>
      <w:tr>
        <w:trPr>
          <w:trHeight w:val="195"/>
        </w:trPr>
        <w:tc>
          <w:tcPr>
            <w:tcW w:w="6620" w:type="dxa"/>
            <w:vAlign w:val="bottom"/>
          </w:tcPr>
          <w:p>
            <w:pPr>
              <w:spacing w:after="0"/>
              <w:rPr>
                <w:sz w:val="16"/>
                <w:szCs w:val="16"/>
                <w:color w:val="auto"/>
              </w:rPr>
            </w:pPr>
          </w:p>
        </w:tc>
        <w:tc>
          <w:tcPr>
            <w:tcW w:w="10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00" w:type="dxa"/>
            <w:vAlign w:val="bottom"/>
          </w:tcPr>
          <w:p>
            <w:pPr>
              <w:ind w:left="20"/>
              <w:spacing w:after="0" w:line="195" w:lineRule="exact"/>
              <w:rPr>
                <w:sz w:val="20"/>
                <w:szCs w:val="20"/>
                <w:color w:val="auto"/>
              </w:rPr>
            </w:pPr>
            <w:r>
              <w:rPr>
                <w:rFonts w:ascii="Arial" w:cs="Arial" w:eastAsia="Arial" w:hAnsi="Arial"/>
                <w:sz w:val="18"/>
                <w:szCs w:val="18"/>
                <w:color w:val="auto"/>
              </w:rPr>
              <w:t>Christopher S. Kiper</w:t>
            </w:r>
          </w:p>
        </w:tc>
        <w:tc>
          <w:tcPr>
            <w:tcW w:w="100" w:type="dxa"/>
            <w:vAlign w:val="bottom"/>
          </w:tcPr>
          <w:p>
            <w:pPr>
              <w:spacing w:after="0"/>
              <w:rPr>
                <w:sz w:val="16"/>
                <w:szCs w:val="16"/>
                <w:color w:val="auto"/>
              </w:rPr>
            </w:pPr>
          </w:p>
        </w:tc>
      </w:tr>
      <w:tr>
        <w:trPr>
          <w:trHeight w:val="230"/>
        </w:trPr>
        <w:tc>
          <w:tcPr>
            <w:tcW w:w="66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ind w:left="20"/>
              <w:spacing w:after="0"/>
              <w:rPr>
                <w:sz w:val="20"/>
                <w:szCs w:val="20"/>
                <w:color w:val="auto"/>
              </w:rPr>
            </w:pPr>
            <w:r>
              <w:rPr>
                <w:rFonts w:ascii="Arial" w:cs="Arial" w:eastAsia="Arial" w:hAnsi="Arial"/>
                <w:sz w:val="18"/>
                <w:szCs w:val="18"/>
                <w:color w:val="auto"/>
              </w:rPr>
              <w:t>Managing Member</w:t>
            </w:r>
          </w:p>
        </w:tc>
        <w:tc>
          <w:tcPr>
            <w:tcW w:w="100" w:type="dxa"/>
            <w:vAlign w:val="bottom"/>
          </w:tcPr>
          <w:p>
            <w:pPr>
              <w:spacing w:after="0"/>
              <w:rPr>
                <w:sz w:val="20"/>
                <w:szCs w:val="20"/>
                <w:color w:val="auto"/>
              </w:rPr>
            </w:pPr>
          </w:p>
        </w:tc>
      </w:tr>
      <w:tr>
        <w:trPr>
          <w:trHeight w:val="432"/>
        </w:trPr>
        <w:tc>
          <w:tcPr>
            <w:tcW w:w="11320" w:type="dxa"/>
            <w:vAlign w:val="bottom"/>
            <w:gridSpan w:val="3"/>
          </w:tcPr>
          <w:p>
            <w:pPr>
              <w:ind w:left="5940"/>
              <w:spacing w:after="0"/>
              <w:rPr>
                <w:sz w:val="20"/>
                <w:szCs w:val="20"/>
                <w:color w:val="auto"/>
              </w:rPr>
            </w:pPr>
            <w:r>
              <w:rPr>
                <w:rFonts w:ascii="Arial" w:cs="Arial" w:eastAsia="Arial" w:hAnsi="Arial"/>
                <w:sz w:val="18"/>
                <w:szCs w:val="18"/>
                <w:color w:val="auto"/>
              </w:rPr>
              <w:t>Legion Partners Asset Management, LLC</w:t>
            </w:r>
          </w:p>
        </w:tc>
        <w:tc>
          <w:tcPr>
            <w:tcW w:w="100" w:type="dxa"/>
            <w:vAlign w:val="bottom"/>
          </w:tcPr>
          <w:p>
            <w:pPr>
              <w:spacing w:after="0"/>
              <w:rPr>
                <w:sz w:val="24"/>
                <w:szCs w:val="24"/>
                <w:color w:val="auto"/>
              </w:rPr>
            </w:pPr>
          </w:p>
        </w:tc>
      </w:tr>
      <w:tr>
        <w:trPr>
          <w:trHeight w:val="432"/>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c>
          <w:tcPr>
            <w:tcW w:w="100" w:type="dxa"/>
            <w:vAlign w:val="bottom"/>
          </w:tcPr>
          <w:p>
            <w:pPr>
              <w:spacing w:after="0"/>
              <w:rPr>
                <w:sz w:val="24"/>
                <w:szCs w:val="24"/>
                <w:color w:val="auto"/>
              </w:rPr>
            </w:pPr>
          </w:p>
        </w:tc>
      </w:tr>
      <w:tr>
        <w:trPr>
          <w:trHeight w:val="195"/>
        </w:trPr>
        <w:tc>
          <w:tcPr>
            <w:tcW w:w="6620" w:type="dxa"/>
            <w:vAlign w:val="bottom"/>
          </w:tcPr>
          <w:p>
            <w:pPr>
              <w:spacing w:after="0"/>
              <w:rPr>
                <w:sz w:val="16"/>
                <w:szCs w:val="16"/>
                <w:color w:val="auto"/>
              </w:rPr>
            </w:pPr>
          </w:p>
        </w:tc>
        <w:tc>
          <w:tcPr>
            <w:tcW w:w="10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00" w:type="dxa"/>
            <w:vAlign w:val="bottom"/>
          </w:tcPr>
          <w:p>
            <w:pPr>
              <w:ind w:left="20"/>
              <w:spacing w:after="0" w:line="195" w:lineRule="exact"/>
              <w:rPr>
                <w:sz w:val="20"/>
                <w:szCs w:val="20"/>
                <w:color w:val="auto"/>
              </w:rPr>
            </w:pPr>
            <w:r>
              <w:rPr>
                <w:rFonts w:ascii="Arial" w:cs="Arial" w:eastAsia="Arial" w:hAnsi="Arial"/>
                <w:sz w:val="18"/>
                <w:szCs w:val="18"/>
                <w:color w:val="auto"/>
              </w:rPr>
              <w:t>Christopher S. Kiper</w:t>
            </w:r>
          </w:p>
        </w:tc>
        <w:tc>
          <w:tcPr>
            <w:tcW w:w="100" w:type="dxa"/>
            <w:vAlign w:val="bottom"/>
          </w:tcPr>
          <w:p>
            <w:pPr>
              <w:spacing w:after="0"/>
              <w:rPr>
                <w:sz w:val="16"/>
                <w:szCs w:val="16"/>
                <w:color w:val="auto"/>
              </w:rPr>
            </w:pPr>
          </w:p>
        </w:tc>
      </w:tr>
      <w:tr>
        <w:trPr>
          <w:trHeight w:val="230"/>
        </w:trPr>
        <w:tc>
          <w:tcPr>
            <w:tcW w:w="66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ind w:left="20"/>
              <w:spacing w:after="0"/>
              <w:rPr>
                <w:sz w:val="20"/>
                <w:szCs w:val="20"/>
                <w:color w:val="auto"/>
              </w:rPr>
            </w:pPr>
            <w:r>
              <w:rPr>
                <w:rFonts w:ascii="Arial" w:cs="Arial" w:eastAsia="Arial" w:hAnsi="Arial"/>
                <w:sz w:val="18"/>
                <w:szCs w:val="18"/>
                <w:color w:val="auto"/>
              </w:rPr>
              <w:t>Managing Director</w:t>
            </w:r>
          </w:p>
        </w:tc>
        <w:tc>
          <w:tcPr>
            <w:tcW w:w="100" w:type="dxa"/>
            <w:vAlign w:val="bottom"/>
          </w:tcPr>
          <w:p>
            <w:pPr>
              <w:spacing w:after="0"/>
              <w:rPr>
                <w:sz w:val="20"/>
                <w:szCs w:val="20"/>
                <w:color w:val="auto"/>
              </w:rPr>
            </w:pPr>
          </w:p>
        </w:tc>
      </w:tr>
      <w:tr>
        <w:trPr>
          <w:trHeight w:val="540"/>
        </w:trPr>
        <w:tc>
          <w:tcPr>
            <w:tcW w:w="6620" w:type="dxa"/>
            <w:vAlign w:val="bottom"/>
            <w:tcBorders>
              <w:bottom w:val="single" w:sz="8" w:color="auto"/>
            </w:tcBorders>
          </w:tcPr>
          <w:p>
            <w:pPr>
              <w:ind w:left="5620"/>
              <w:spacing w:after="0"/>
              <w:rPr>
                <w:sz w:val="20"/>
                <w:szCs w:val="20"/>
                <w:color w:val="auto"/>
              </w:rPr>
            </w:pPr>
            <w:r>
              <w:rPr>
                <w:rFonts w:ascii="Arial" w:cs="Arial" w:eastAsia="Arial" w:hAnsi="Arial"/>
                <w:sz w:val="18"/>
                <w:szCs w:val="18"/>
                <w:color w:val="auto"/>
              </w:rPr>
              <w:t>13</w:t>
            </w:r>
          </w:p>
        </w:tc>
        <w:tc>
          <w:tcPr>
            <w:tcW w:w="10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13" w:name="page14"/>
    <w:bookmarkEnd w:id="13"/>
    <w:p>
      <w:pPr>
        <w:spacing w:after="0"/>
        <w:rPr>
          <w:sz w:val="20"/>
          <w:szCs w:val="20"/>
          <w:color w:val="auto"/>
        </w:rPr>
      </w:pPr>
      <w:r>
        <w:rPr>
          <w:rFonts w:ascii="Arial" w:cs="Arial" w:eastAsia="Arial" w:hAnsi="Arial"/>
          <w:sz w:val="22"/>
          <w:szCs w:val="22"/>
          <w:color w:val="auto"/>
        </w:rPr>
        <w:t>CUSIP NO. 629337106</w:t>
      </w:r>
    </w:p>
    <w:p>
      <w:pPr>
        <w:spacing w:after="0" w:line="105" w:lineRule="exact"/>
        <w:rPr>
          <w:sz w:val="20"/>
          <w:szCs w:val="20"/>
          <w:color w:val="auto"/>
        </w:rPr>
      </w:pPr>
    </w:p>
    <w:p>
      <w:pPr>
        <w:jc w:val="right"/>
        <w:ind w:right="3100"/>
        <w:spacing w:after="0"/>
        <w:rPr>
          <w:sz w:val="20"/>
          <w:szCs w:val="20"/>
          <w:color w:val="auto"/>
        </w:rPr>
      </w:pPr>
      <w:r>
        <w:rPr>
          <w:rFonts w:ascii="Arial" w:cs="Arial" w:eastAsia="Arial" w:hAnsi="Arial"/>
          <w:sz w:val="18"/>
          <w:szCs w:val="18"/>
          <w:color w:val="auto"/>
        </w:rPr>
        <w:t>Legion Partners Holdings, LLC</w:t>
      </w:r>
    </w:p>
    <w:p>
      <w:pPr>
        <w:spacing w:after="0" w:line="225" w:lineRule="exact"/>
        <w:rPr>
          <w:sz w:val="20"/>
          <w:szCs w:val="20"/>
          <w:color w:val="auto"/>
        </w:rPr>
      </w:pPr>
    </w:p>
    <w:tbl>
      <w:tblPr>
        <w:tblLayout w:type="fixed"/>
        <w:tblInd w:w="594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r>
      <w:tr>
        <w:trPr>
          <w:trHeight w:val="195"/>
        </w:trPr>
        <w:tc>
          <w:tcPr>
            <w:tcW w:w="680" w:type="dxa"/>
            <w:vAlign w:val="bottom"/>
          </w:tcPr>
          <w:p>
            <w:pPr>
              <w:spacing w:after="0"/>
              <w:rPr>
                <w:sz w:val="16"/>
                <w:szCs w:val="16"/>
                <w:color w:val="auto"/>
              </w:rPr>
            </w:pPr>
          </w:p>
        </w:tc>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40" w:type="dxa"/>
            <w:vAlign w:val="bottom"/>
          </w:tcPr>
          <w:p>
            <w:pPr>
              <w:ind w:left="260"/>
              <w:spacing w:after="0" w:line="195" w:lineRule="exact"/>
              <w:rPr>
                <w:sz w:val="20"/>
                <w:szCs w:val="20"/>
                <w:color w:val="auto"/>
              </w:rPr>
            </w:pPr>
            <w:r>
              <w:rPr>
                <w:rFonts w:ascii="Arial" w:cs="Arial" w:eastAsia="Arial" w:hAnsi="Arial"/>
                <w:sz w:val="18"/>
                <w:szCs w:val="18"/>
                <w:color w:val="auto"/>
              </w:rPr>
              <w:t>Christopher S. Kiper</w:t>
            </w:r>
          </w:p>
        </w:tc>
      </w:tr>
      <w:tr>
        <w:trPr>
          <w:trHeight w:val="230"/>
        </w:trPr>
        <w:tc>
          <w:tcPr>
            <w:tcW w:w="68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260"/>
              <w:spacing w:after="0"/>
              <w:rPr>
                <w:sz w:val="20"/>
                <w:szCs w:val="20"/>
                <w:color w:val="auto"/>
              </w:rPr>
            </w:pPr>
            <w:r>
              <w:rPr>
                <w:rFonts w:ascii="Arial" w:cs="Arial" w:eastAsia="Arial" w:hAnsi="Arial"/>
                <w:sz w:val="18"/>
                <w:szCs w:val="18"/>
                <w:color w:val="auto"/>
              </w:rPr>
              <w:t>Managing Member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Christopher S. Kiper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Christopher S. Kiper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-130810</wp:posOffset>
            </wp:positionV>
            <wp:extent cx="34131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Raymond White</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Raymond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-130810</wp:posOffset>
            </wp:positionV>
            <wp:extent cx="34131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6" w:right="339" w:bottom="1440" w:gutter="0" w:footer="0" w:header="0"/>
        </w:sectPr>
      </w:pPr>
    </w:p>
    <w:bookmarkStart w:id="14" w:name="page15"/>
    <w:bookmarkEnd w:id="14"/>
    <w:p>
      <w:pPr>
        <w:spacing w:after="0"/>
        <w:rPr>
          <w:sz w:val="20"/>
          <w:szCs w:val="20"/>
          <w:color w:val="auto"/>
        </w:rPr>
      </w:pPr>
      <w:r>
        <w:rPr>
          <w:rFonts w:ascii="Arial" w:cs="Arial" w:eastAsia="Arial" w:hAnsi="Arial"/>
          <w:sz w:val="22"/>
          <w:szCs w:val="22"/>
          <w:color w:val="auto"/>
        </w:rPr>
        <w:t>CUSIP NO. 629337106</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Transactions in the Securities of the Issuer During the Past Sixty Days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Nature of Transaction</w:t>
            </w:r>
          </w:p>
        </w:tc>
        <w:tc>
          <w:tcPr>
            <w:tcW w:w="920" w:type="dxa"/>
            <w:vAlign w:val="bottom"/>
          </w:tcPr>
          <w:p>
            <w:pPr>
              <w:spacing w:after="0"/>
              <w:rPr>
                <w:sz w:val="17"/>
                <w:szCs w:val="17"/>
                <w:color w:val="auto"/>
              </w:rPr>
            </w:pPr>
          </w:p>
        </w:tc>
        <w:tc>
          <w:tcPr>
            <w:tcW w:w="1360" w:type="dxa"/>
            <w:vAlign w:val="bottom"/>
            <w:gridSpan w:val="3"/>
          </w:tcPr>
          <w:p>
            <w:pPr>
              <w:jc w:val="center"/>
              <w:ind w:right="650"/>
              <w:spacing w:after="0"/>
              <w:rPr>
                <w:sz w:val="20"/>
                <w:szCs w:val="20"/>
                <w:color w:val="auto"/>
              </w:rPr>
            </w:pPr>
            <w:r>
              <w:rPr>
                <w:rFonts w:ascii="Arial" w:cs="Arial" w:eastAsia="Arial" w:hAnsi="Arial"/>
                <w:sz w:val="18"/>
                <w:szCs w:val="18"/>
                <w:color w:val="auto"/>
                <w:w w:val="92"/>
              </w:rPr>
              <w:t>Date of</w:t>
            </w:r>
          </w:p>
        </w:tc>
        <w:tc>
          <w:tcPr>
            <w:tcW w:w="3660" w:type="dxa"/>
            <w:vAlign w:val="bottom"/>
            <w:gridSpan w:val="5"/>
          </w:tcPr>
          <w:p>
            <w:pPr>
              <w:ind w:left="640"/>
              <w:spacing w:after="0"/>
              <w:rPr>
                <w:sz w:val="20"/>
                <w:szCs w:val="20"/>
                <w:color w:val="auto"/>
              </w:rPr>
            </w:pPr>
            <w:r>
              <w:rPr>
                <w:rFonts w:ascii="Arial" w:cs="Arial" w:eastAsia="Arial" w:hAnsi="Arial"/>
                <w:sz w:val="18"/>
                <w:szCs w:val="18"/>
                <w:color w:val="auto"/>
              </w:rPr>
              <w:t>Amount of Securities Purchased</w:t>
            </w:r>
          </w:p>
        </w:tc>
        <w:tc>
          <w:tcPr>
            <w:tcW w:w="2420" w:type="dxa"/>
            <w:vAlign w:val="bottom"/>
            <w:gridSpan w:val="3"/>
          </w:tcPr>
          <w:p>
            <w:pPr>
              <w:jc w:val="center"/>
              <w:ind w:right="440"/>
              <w:spacing w:after="0"/>
              <w:rPr>
                <w:sz w:val="20"/>
                <w:szCs w:val="20"/>
                <w:color w:val="auto"/>
              </w:rPr>
            </w:pPr>
            <w:r>
              <w:rPr>
                <w:rFonts w:ascii="Arial" w:cs="Arial" w:eastAsia="Arial" w:hAnsi="Arial"/>
                <w:sz w:val="18"/>
                <w:szCs w:val="18"/>
                <w:color w:val="auto"/>
                <w:w w:val="91"/>
              </w:rPr>
              <w:t xml:space="preserve">Price </w:t>
            </w:r>
            <w:r>
              <w:rPr>
                <w:rFonts w:ascii="Arial" w:cs="Arial" w:eastAsia="Arial" w:hAnsi="Arial"/>
                <w:sz w:val="18"/>
                <w:szCs w:val="18"/>
                <w:u w:val="single" w:color="auto"/>
                <w:color w:val="auto"/>
                <w:w w:val="91"/>
              </w:rPr>
              <w:t>($</w:t>
            </w:r>
            <w:r>
              <w:rPr>
                <w:rFonts w:ascii="Arial" w:cs="Arial" w:eastAsia="Arial" w:hAnsi="Arial"/>
                <w:sz w:val="18"/>
                <w:szCs w:val="18"/>
                <w:color w:val="auto"/>
                <w:w w:val="91"/>
              </w:rPr>
              <w:t>)</w:t>
            </w:r>
          </w:p>
        </w:tc>
      </w:tr>
      <w:tr>
        <w:trPr>
          <w:trHeight w:val="196"/>
        </w:trPr>
        <w:tc>
          <w:tcPr>
            <w:tcW w:w="66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gridSpan w:val="3"/>
          </w:tcPr>
          <w:p>
            <w:pPr>
              <w:jc w:val="center"/>
              <w:ind w:right="630"/>
              <w:spacing w:after="0" w:line="196" w:lineRule="exact"/>
              <w:rPr>
                <w:sz w:val="20"/>
                <w:szCs w:val="20"/>
                <w:color w:val="auto"/>
              </w:rPr>
            </w:pPr>
            <w:r>
              <w:rPr>
                <w:rFonts w:ascii="Arial" w:cs="Arial" w:eastAsia="Arial" w:hAnsi="Arial"/>
                <w:sz w:val="18"/>
                <w:szCs w:val="18"/>
                <w:color w:val="auto"/>
                <w:w w:val="84"/>
              </w:rPr>
              <w:t>Purchase</w:t>
            </w:r>
          </w:p>
        </w:tc>
        <w:tc>
          <w:tcPr>
            <w:tcW w:w="14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80" w:type="dxa"/>
            <w:vAlign w:val="bottom"/>
            <w:gridSpan w:val="6"/>
          </w:tcPr>
          <w:p>
            <w:pPr>
              <w:jc w:val="center"/>
              <w:ind w:right="2180"/>
              <w:spacing w:after="0"/>
              <w:rPr>
                <w:sz w:val="20"/>
                <w:szCs w:val="20"/>
                <w:color w:val="auto"/>
              </w:rPr>
            </w:pPr>
            <w:r>
              <w:rPr>
                <w:rFonts w:ascii="Arial" w:cs="Arial" w:eastAsia="Arial" w:hAnsi="Arial"/>
                <w:sz w:val="18"/>
                <w:szCs w:val="18"/>
                <w:b w:val="1"/>
                <w:bCs w:val="1"/>
                <w:color w:val="auto"/>
                <w:w w:val="97"/>
              </w:rPr>
              <w:t>LEGION PARTNERS, L.P. I</w:t>
            </w: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7"/>
        </w:trPr>
        <w:tc>
          <w:tcPr>
            <w:tcW w:w="6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30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280" w:type="dxa"/>
            <w:vAlign w:val="bottom"/>
            <w:gridSpan w:val="4"/>
            <w:shd w:val="clear" w:color="auto" w:fill="CCEEFF"/>
          </w:tcPr>
          <w:p>
            <w:pPr>
              <w:jc w:val="center"/>
              <w:ind w:left="110"/>
              <w:spacing w:after="0"/>
              <w:rPr>
                <w:sz w:val="20"/>
                <w:szCs w:val="20"/>
                <w:color w:val="auto"/>
              </w:rPr>
            </w:pPr>
            <w:r>
              <w:rPr>
                <w:rFonts w:ascii="Arial" w:cs="Arial" w:eastAsia="Arial" w:hAnsi="Arial"/>
                <w:sz w:val="18"/>
                <w:szCs w:val="18"/>
                <w:color w:val="auto"/>
                <w:w w:val="89"/>
              </w:rPr>
              <w:t>9/24/2019</w:t>
            </w:r>
          </w:p>
        </w:tc>
        <w:tc>
          <w:tcPr>
            <w:tcW w:w="2960" w:type="dxa"/>
            <w:vAlign w:val="bottom"/>
            <w:gridSpan w:val="4"/>
            <w:shd w:val="clear" w:color="auto" w:fill="CCEEFF"/>
          </w:tcPr>
          <w:p>
            <w:pPr>
              <w:jc w:val="center"/>
              <w:ind w:left="570"/>
              <w:spacing w:after="0"/>
              <w:rPr>
                <w:sz w:val="20"/>
                <w:szCs w:val="20"/>
                <w:color w:val="auto"/>
              </w:rPr>
            </w:pPr>
            <w:r>
              <w:rPr>
                <w:rFonts w:ascii="Arial" w:cs="Arial" w:eastAsia="Arial" w:hAnsi="Arial"/>
                <w:sz w:val="18"/>
                <w:szCs w:val="18"/>
                <w:color w:val="auto"/>
                <w:w w:val="90"/>
              </w:rPr>
              <w:t>93,546</w:t>
            </w:r>
          </w:p>
        </w:tc>
        <w:tc>
          <w:tcPr>
            <w:tcW w:w="7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left="590"/>
              <w:spacing w:after="0"/>
              <w:rPr>
                <w:sz w:val="20"/>
                <w:szCs w:val="20"/>
                <w:color w:val="auto"/>
              </w:rPr>
            </w:pPr>
            <w:r>
              <w:rPr>
                <w:rFonts w:ascii="Arial" w:cs="Arial" w:eastAsia="Arial" w:hAnsi="Arial"/>
                <w:sz w:val="18"/>
                <w:szCs w:val="18"/>
                <w:color w:val="auto"/>
                <w:w w:val="90"/>
              </w:rPr>
              <w:t>7.0662</w:t>
            </w:r>
          </w:p>
        </w:tc>
        <w:tc>
          <w:tcPr>
            <w:tcW w:w="1120" w:type="dxa"/>
            <w:vAlign w:val="bottom"/>
            <w:shd w:val="clear" w:color="auto" w:fill="CCEEFF"/>
          </w:tcPr>
          <w:p>
            <w:pPr>
              <w:spacing w:after="0"/>
              <w:rPr>
                <w:sz w:val="18"/>
                <w:szCs w:val="18"/>
                <w:color w:val="auto"/>
              </w:rPr>
            </w:pPr>
          </w:p>
        </w:tc>
      </w:tr>
      <w:tr>
        <w:trPr>
          <w:trHeight w:val="216"/>
        </w:trPr>
        <w:tc>
          <w:tcPr>
            <w:tcW w:w="3060" w:type="dxa"/>
            <w:vAlign w:val="bottom"/>
            <w:gridSpan w:val="3"/>
          </w:tcPr>
          <w:p>
            <w:pPr>
              <w:ind w:left="100"/>
              <w:spacing w:after="0"/>
              <w:rPr>
                <w:sz w:val="20"/>
                <w:szCs w:val="20"/>
                <w:color w:val="auto"/>
              </w:rPr>
            </w:pPr>
            <w:r>
              <w:rPr>
                <w:rFonts w:ascii="Arial" w:cs="Arial" w:eastAsia="Arial" w:hAnsi="Arial"/>
                <w:sz w:val="18"/>
                <w:szCs w:val="18"/>
                <w:color w:val="auto"/>
              </w:rPr>
              <w:t>Purchase of Common Stock</w:t>
            </w:r>
          </w:p>
        </w:tc>
        <w:tc>
          <w:tcPr>
            <w:tcW w:w="2280" w:type="dxa"/>
            <w:vAlign w:val="bottom"/>
            <w:gridSpan w:val="4"/>
          </w:tcPr>
          <w:p>
            <w:pPr>
              <w:jc w:val="center"/>
              <w:ind w:left="110"/>
              <w:spacing w:after="0"/>
              <w:rPr>
                <w:sz w:val="20"/>
                <w:szCs w:val="20"/>
                <w:color w:val="auto"/>
              </w:rPr>
            </w:pPr>
            <w:r>
              <w:rPr>
                <w:rFonts w:ascii="Arial" w:cs="Arial" w:eastAsia="Arial" w:hAnsi="Arial"/>
                <w:sz w:val="18"/>
                <w:szCs w:val="18"/>
                <w:color w:val="auto"/>
                <w:w w:val="89"/>
              </w:rPr>
              <w:t>9/26/2019</w:t>
            </w:r>
          </w:p>
        </w:tc>
        <w:tc>
          <w:tcPr>
            <w:tcW w:w="2960" w:type="dxa"/>
            <w:vAlign w:val="bottom"/>
            <w:gridSpan w:val="4"/>
          </w:tcPr>
          <w:p>
            <w:pPr>
              <w:jc w:val="center"/>
              <w:ind w:left="570"/>
              <w:spacing w:after="0"/>
              <w:rPr>
                <w:sz w:val="20"/>
                <w:szCs w:val="20"/>
                <w:color w:val="auto"/>
              </w:rPr>
            </w:pPr>
            <w:r>
              <w:rPr>
                <w:rFonts w:ascii="Arial" w:cs="Arial" w:eastAsia="Arial" w:hAnsi="Arial"/>
                <w:sz w:val="18"/>
                <w:szCs w:val="18"/>
                <w:color w:val="auto"/>
                <w:w w:val="90"/>
              </w:rPr>
              <w:t>26,050</w:t>
            </w:r>
          </w:p>
        </w:tc>
        <w:tc>
          <w:tcPr>
            <w:tcW w:w="700" w:type="dxa"/>
            <w:vAlign w:val="bottom"/>
          </w:tcPr>
          <w:p>
            <w:pPr>
              <w:spacing w:after="0"/>
              <w:rPr>
                <w:sz w:val="18"/>
                <w:szCs w:val="18"/>
                <w:color w:val="auto"/>
              </w:rPr>
            </w:pPr>
          </w:p>
        </w:tc>
        <w:tc>
          <w:tcPr>
            <w:tcW w:w="1300" w:type="dxa"/>
            <w:vAlign w:val="bottom"/>
            <w:gridSpan w:val="2"/>
          </w:tcPr>
          <w:p>
            <w:pPr>
              <w:jc w:val="center"/>
              <w:ind w:left="590"/>
              <w:spacing w:after="0"/>
              <w:rPr>
                <w:sz w:val="20"/>
                <w:szCs w:val="20"/>
                <w:color w:val="auto"/>
              </w:rPr>
            </w:pPr>
            <w:r>
              <w:rPr>
                <w:rFonts w:ascii="Arial" w:cs="Arial" w:eastAsia="Arial" w:hAnsi="Arial"/>
                <w:sz w:val="18"/>
                <w:szCs w:val="18"/>
                <w:color w:val="auto"/>
                <w:w w:val="90"/>
              </w:rPr>
              <w:t>7.1000</w:t>
            </w:r>
          </w:p>
        </w:tc>
        <w:tc>
          <w:tcPr>
            <w:tcW w:w="1120" w:type="dxa"/>
            <w:vAlign w:val="bottom"/>
          </w:tcPr>
          <w:p>
            <w:pPr>
              <w:spacing w:after="0"/>
              <w:rPr>
                <w:sz w:val="18"/>
                <w:szCs w:val="18"/>
                <w:color w:val="auto"/>
              </w:rPr>
            </w:pPr>
          </w:p>
        </w:tc>
      </w:tr>
      <w:tr>
        <w:trPr>
          <w:trHeight w:val="216"/>
        </w:trPr>
        <w:tc>
          <w:tcPr>
            <w:tcW w:w="30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280" w:type="dxa"/>
            <w:vAlign w:val="bottom"/>
            <w:gridSpan w:val="4"/>
            <w:shd w:val="clear" w:color="auto" w:fill="CCEEFF"/>
          </w:tcPr>
          <w:p>
            <w:pPr>
              <w:jc w:val="center"/>
              <w:ind w:left="110"/>
              <w:spacing w:after="0"/>
              <w:rPr>
                <w:sz w:val="20"/>
                <w:szCs w:val="20"/>
                <w:color w:val="auto"/>
              </w:rPr>
            </w:pPr>
            <w:r>
              <w:rPr>
                <w:rFonts w:ascii="Arial" w:cs="Arial" w:eastAsia="Arial" w:hAnsi="Arial"/>
                <w:sz w:val="18"/>
                <w:szCs w:val="18"/>
                <w:color w:val="auto"/>
                <w:w w:val="89"/>
              </w:rPr>
              <w:t>9/30/2019</w:t>
            </w:r>
          </w:p>
        </w:tc>
        <w:tc>
          <w:tcPr>
            <w:tcW w:w="2960" w:type="dxa"/>
            <w:vAlign w:val="bottom"/>
            <w:gridSpan w:val="4"/>
            <w:shd w:val="clear" w:color="auto" w:fill="CCEEFF"/>
          </w:tcPr>
          <w:p>
            <w:pPr>
              <w:jc w:val="center"/>
              <w:ind w:left="570"/>
              <w:spacing w:after="0"/>
              <w:rPr>
                <w:sz w:val="20"/>
                <w:szCs w:val="20"/>
                <w:color w:val="auto"/>
              </w:rPr>
            </w:pPr>
            <w:r>
              <w:rPr>
                <w:rFonts w:ascii="Arial" w:cs="Arial" w:eastAsia="Arial" w:hAnsi="Arial"/>
                <w:sz w:val="18"/>
                <w:szCs w:val="18"/>
                <w:color w:val="auto"/>
                <w:w w:val="90"/>
              </w:rPr>
              <w:t>20,702</w:t>
            </w:r>
          </w:p>
        </w:tc>
        <w:tc>
          <w:tcPr>
            <w:tcW w:w="7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left="590"/>
              <w:spacing w:after="0"/>
              <w:rPr>
                <w:sz w:val="20"/>
                <w:szCs w:val="20"/>
                <w:color w:val="auto"/>
              </w:rPr>
            </w:pPr>
            <w:r>
              <w:rPr>
                <w:rFonts w:ascii="Arial" w:cs="Arial" w:eastAsia="Arial" w:hAnsi="Arial"/>
                <w:sz w:val="18"/>
                <w:szCs w:val="18"/>
                <w:color w:val="auto"/>
                <w:w w:val="90"/>
              </w:rPr>
              <w:t>7.0936</w:t>
            </w:r>
          </w:p>
        </w:tc>
        <w:tc>
          <w:tcPr>
            <w:tcW w:w="1120" w:type="dxa"/>
            <w:vAlign w:val="bottom"/>
            <w:shd w:val="clear" w:color="auto" w:fill="CCEEFF"/>
          </w:tcPr>
          <w:p>
            <w:pPr>
              <w:spacing w:after="0"/>
              <w:rPr>
                <w:sz w:val="18"/>
                <w:szCs w:val="18"/>
                <w:color w:val="auto"/>
              </w:rPr>
            </w:pPr>
          </w:p>
        </w:tc>
      </w:tr>
      <w:tr>
        <w:trPr>
          <w:trHeight w:val="216"/>
        </w:trPr>
        <w:tc>
          <w:tcPr>
            <w:tcW w:w="3060" w:type="dxa"/>
            <w:vAlign w:val="bottom"/>
            <w:gridSpan w:val="3"/>
          </w:tcPr>
          <w:p>
            <w:pPr>
              <w:ind w:left="100"/>
              <w:spacing w:after="0"/>
              <w:rPr>
                <w:sz w:val="20"/>
                <w:szCs w:val="20"/>
                <w:color w:val="auto"/>
              </w:rPr>
            </w:pPr>
            <w:r>
              <w:rPr>
                <w:rFonts w:ascii="Arial" w:cs="Arial" w:eastAsia="Arial" w:hAnsi="Arial"/>
                <w:sz w:val="18"/>
                <w:szCs w:val="18"/>
                <w:color w:val="auto"/>
              </w:rPr>
              <w:t>Purchase of Common Stock</w:t>
            </w:r>
          </w:p>
        </w:tc>
        <w:tc>
          <w:tcPr>
            <w:tcW w:w="2280" w:type="dxa"/>
            <w:vAlign w:val="bottom"/>
            <w:gridSpan w:val="4"/>
          </w:tcPr>
          <w:p>
            <w:pPr>
              <w:jc w:val="center"/>
              <w:ind w:left="90"/>
              <w:spacing w:after="0"/>
              <w:rPr>
                <w:sz w:val="20"/>
                <w:szCs w:val="20"/>
                <w:color w:val="auto"/>
              </w:rPr>
            </w:pPr>
            <w:r>
              <w:rPr>
                <w:rFonts w:ascii="Arial" w:cs="Arial" w:eastAsia="Arial" w:hAnsi="Arial"/>
                <w:sz w:val="18"/>
                <w:szCs w:val="18"/>
                <w:color w:val="auto"/>
                <w:w w:val="90"/>
              </w:rPr>
              <w:t>10/01/2019</w:t>
            </w:r>
          </w:p>
        </w:tc>
        <w:tc>
          <w:tcPr>
            <w:tcW w:w="2960" w:type="dxa"/>
            <w:vAlign w:val="bottom"/>
            <w:gridSpan w:val="4"/>
          </w:tcPr>
          <w:p>
            <w:pPr>
              <w:jc w:val="center"/>
              <w:ind w:left="570"/>
              <w:spacing w:after="0"/>
              <w:rPr>
                <w:sz w:val="20"/>
                <w:szCs w:val="20"/>
                <w:color w:val="auto"/>
              </w:rPr>
            </w:pPr>
            <w:r>
              <w:rPr>
                <w:rFonts w:ascii="Arial" w:cs="Arial" w:eastAsia="Arial" w:hAnsi="Arial"/>
                <w:sz w:val="18"/>
                <w:szCs w:val="18"/>
                <w:color w:val="auto"/>
                <w:w w:val="89"/>
              </w:rPr>
              <w:t>156,116</w:t>
            </w:r>
          </w:p>
        </w:tc>
        <w:tc>
          <w:tcPr>
            <w:tcW w:w="700" w:type="dxa"/>
            <w:vAlign w:val="bottom"/>
          </w:tcPr>
          <w:p>
            <w:pPr>
              <w:spacing w:after="0"/>
              <w:rPr>
                <w:sz w:val="18"/>
                <w:szCs w:val="18"/>
                <w:color w:val="auto"/>
              </w:rPr>
            </w:pPr>
          </w:p>
        </w:tc>
        <w:tc>
          <w:tcPr>
            <w:tcW w:w="1300" w:type="dxa"/>
            <w:vAlign w:val="bottom"/>
            <w:gridSpan w:val="2"/>
          </w:tcPr>
          <w:p>
            <w:pPr>
              <w:jc w:val="center"/>
              <w:ind w:left="590"/>
              <w:spacing w:after="0"/>
              <w:rPr>
                <w:sz w:val="20"/>
                <w:szCs w:val="20"/>
                <w:color w:val="auto"/>
              </w:rPr>
            </w:pPr>
            <w:r>
              <w:rPr>
                <w:rFonts w:ascii="Arial" w:cs="Arial" w:eastAsia="Arial" w:hAnsi="Arial"/>
                <w:sz w:val="18"/>
                <w:szCs w:val="18"/>
                <w:color w:val="auto"/>
                <w:w w:val="90"/>
              </w:rPr>
              <w:t>7.0443</w:t>
            </w:r>
          </w:p>
        </w:tc>
        <w:tc>
          <w:tcPr>
            <w:tcW w:w="1120" w:type="dxa"/>
            <w:vAlign w:val="bottom"/>
          </w:tcPr>
          <w:p>
            <w:pPr>
              <w:spacing w:after="0"/>
              <w:rPr>
                <w:sz w:val="18"/>
                <w:szCs w:val="18"/>
                <w:color w:val="auto"/>
              </w:rPr>
            </w:pPr>
          </w:p>
        </w:tc>
      </w:tr>
      <w:tr>
        <w:trPr>
          <w:trHeight w:val="216"/>
        </w:trPr>
        <w:tc>
          <w:tcPr>
            <w:tcW w:w="30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280" w:type="dxa"/>
            <w:vAlign w:val="bottom"/>
            <w:gridSpan w:val="4"/>
            <w:shd w:val="clear" w:color="auto" w:fill="CCEEFF"/>
          </w:tcPr>
          <w:p>
            <w:pPr>
              <w:jc w:val="center"/>
              <w:ind w:left="90"/>
              <w:spacing w:after="0"/>
              <w:rPr>
                <w:sz w:val="20"/>
                <w:szCs w:val="20"/>
                <w:color w:val="auto"/>
              </w:rPr>
            </w:pPr>
            <w:r>
              <w:rPr>
                <w:rFonts w:ascii="Arial" w:cs="Arial" w:eastAsia="Arial" w:hAnsi="Arial"/>
                <w:sz w:val="18"/>
                <w:szCs w:val="18"/>
                <w:color w:val="auto"/>
                <w:w w:val="90"/>
              </w:rPr>
              <w:t>10/02/2019</w:t>
            </w:r>
          </w:p>
        </w:tc>
        <w:tc>
          <w:tcPr>
            <w:tcW w:w="2960" w:type="dxa"/>
            <w:vAlign w:val="bottom"/>
            <w:gridSpan w:val="4"/>
            <w:shd w:val="clear" w:color="auto" w:fill="CCEEFF"/>
          </w:tcPr>
          <w:p>
            <w:pPr>
              <w:jc w:val="center"/>
              <w:ind w:left="570"/>
              <w:spacing w:after="0"/>
              <w:rPr>
                <w:sz w:val="20"/>
                <w:szCs w:val="20"/>
                <w:color w:val="auto"/>
              </w:rPr>
            </w:pPr>
            <w:r>
              <w:rPr>
                <w:rFonts w:ascii="Arial" w:cs="Arial" w:eastAsia="Arial" w:hAnsi="Arial"/>
                <w:sz w:val="18"/>
                <w:szCs w:val="18"/>
                <w:color w:val="auto"/>
                <w:w w:val="90"/>
              </w:rPr>
              <w:t>59,500</w:t>
            </w:r>
          </w:p>
        </w:tc>
        <w:tc>
          <w:tcPr>
            <w:tcW w:w="7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left="590"/>
              <w:spacing w:after="0"/>
              <w:rPr>
                <w:sz w:val="20"/>
                <w:szCs w:val="20"/>
                <w:color w:val="auto"/>
              </w:rPr>
            </w:pPr>
            <w:r>
              <w:rPr>
                <w:rFonts w:ascii="Arial" w:cs="Arial" w:eastAsia="Arial" w:hAnsi="Arial"/>
                <w:sz w:val="18"/>
                <w:szCs w:val="18"/>
                <w:color w:val="auto"/>
                <w:w w:val="90"/>
              </w:rPr>
              <w:t>6.7428</w:t>
            </w:r>
          </w:p>
        </w:tc>
        <w:tc>
          <w:tcPr>
            <w:tcW w:w="1120" w:type="dxa"/>
            <w:vAlign w:val="bottom"/>
            <w:shd w:val="clear" w:color="auto" w:fill="CCEEFF"/>
          </w:tcPr>
          <w:p>
            <w:pPr>
              <w:spacing w:after="0"/>
              <w:rPr>
                <w:sz w:val="18"/>
                <w:szCs w:val="18"/>
                <w:color w:val="auto"/>
              </w:rPr>
            </w:pPr>
          </w:p>
        </w:tc>
      </w:tr>
      <w:tr>
        <w:trPr>
          <w:trHeight w:val="608"/>
        </w:trPr>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20" w:type="dxa"/>
            <w:vAlign w:val="bottom"/>
            <w:gridSpan w:val="8"/>
          </w:tcPr>
          <w:p>
            <w:pPr>
              <w:jc w:val="center"/>
              <w:ind w:right="1560"/>
              <w:spacing w:after="0"/>
              <w:rPr>
                <w:sz w:val="20"/>
                <w:szCs w:val="20"/>
                <w:color w:val="auto"/>
              </w:rPr>
            </w:pPr>
            <w:r>
              <w:rPr>
                <w:rFonts w:ascii="Arial" w:cs="Arial" w:eastAsia="Arial" w:hAnsi="Arial"/>
                <w:sz w:val="18"/>
                <w:szCs w:val="18"/>
                <w:b w:val="1"/>
                <w:bCs w:val="1"/>
                <w:color w:val="auto"/>
                <w:w w:val="99"/>
              </w:rPr>
              <w:t>LEGION PARTNERS, L.P. II</w:t>
            </w: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7"/>
        </w:trPr>
        <w:tc>
          <w:tcPr>
            <w:tcW w:w="6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30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280" w:type="dxa"/>
            <w:vAlign w:val="bottom"/>
            <w:gridSpan w:val="4"/>
            <w:shd w:val="clear" w:color="auto" w:fill="CCEEFF"/>
          </w:tcPr>
          <w:p>
            <w:pPr>
              <w:jc w:val="center"/>
              <w:ind w:left="110"/>
              <w:spacing w:after="0"/>
              <w:rPr>
                <w:sz w:val="20"/>
                <w:szCs w:val="20"/>
                <w:color w:val="auto"/>
              </w:rPr>
            </w:pPr>
            <w:r>
              <w:rPr>
                <w:rFonts w:ascii="Arial" w:cs="Arial" w:eastAsia="Arial" w:hAnsi="Arial"/>
                <w:sz w:val="18"/>
                <w:szCs w:val="18"/>
                <w:color w:val="auto"/>
                <w:w w:val="89"/>
              </w:rPr>
              <w:t>9/24/2019</w:t>
            </w:r>
          </w:p>
        </w:tc>
        <w:tc>
          <w:tcPr>
            <w:tcW w:w="2960" w:type="dxa"/>
            <w:vAlign w:val="bottom"/>
            <w:gridSpan w:val="4"/>
            <w:shd w:val="clear" w:color="auto" w:fill="CCEEFF"/>
          </w:tcPr>
          <w:p>
            <w:pPr>
              <w:jc w:val="center"/>
              <w:ind w:left="550"/>
              <w:spacing w:after="0"/>
              <w:rPr>
                <w:sz w:val="20"/>
                <w:szCs w:val="20"/>
                <w:color w:val="auto"/>
              </w:rPr>
            </w:pPr>
            <w:r>
              <w:rPr>
                <w:rFonts w:ascii="Arial" w:cs="Arial" w:eastAsia="Arial" w:hAnsi="Arial"/>
                <w:sz w:val="18"/>
                <w:szCs w:val="18"/>
                <w:color w:val="auto"/>
                <w:w w:val="88"/>
              </w:rPr>
              <w:t>1,046</w:t>
            </w:r>
          </w:p>
        </w:tc>
        <w:tc>
          <w:tcPr>
            <w:tcW w:w="7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left="590"/>
              <w:spacing w:after="0"/>
              <w:rPr>
                <w:sz w:val="20"/>
                <w:szCs w:val="20"/>
                <w:color w:val="auto"/>
              </w:rPr>
            </w:pPr>
            <w:r>
              <w:rPr>
                <w:rFonts w:ascii="Arial" w:cs="Arial" w:eastAsia="Arial" w:hAnsi="Arial"/>
                <w:sz w:val="18"/>
                <w:szCs w:val="18"/>
                <w:color w:val="auto"/>
                <w:w w:val="90"/>
              </w:rPr>
              <w:t>7.0662</w:t>
            </w:r>
          </w:p>
        </w:tc>
        <w:tc>
          <w:tcPr>
            <w:tcW w:w="1120" w:type="dxa"/>
            <w:vAlign w:val="bottom"/>
            <w:shd w:val="clear" w:color="auto" w:fill="CCEEFF"/>
          </w:tcPr>
          <w:p>
            <w:pPr>
              <w:spacing w:after="0"/>
              <w:rPr>
                <w:sz w:val="18"/>
                <w:szCs w:val="18"/>
                <w:color w:val="auto"/>
              </w:rPr>
            </w:pPr>
          </w:p>
        </w:tc>
      </w:tr>
      <w:tr>
        <w:trPr>
          <w:trHeight w:val="216"/>
        </w:trPr>
        <w:tc>
          <w:tcPr>
            <w:tcW w:w="3060" w:type="dxa"/>
            <w:vAlign w:val="bottom"/>
            <w:gridSpan w:val="3"/>
          </w:tcPr>
          <w:p>
            <w:pPr>
              <w:ind w:left="100"/>
              <w:spacing w:after="0"/>
              <w:rPr>
                <w:sz w:val="20"/>
                <w:szCs w:val="20"/>
                <w:color w:val="auto"/>
              </w:rPr>
            </w:pPr>
            <w:r>
              <w:rPr>
                <w:rFonts w:ascii="Arial" w:cs="Arial" w:eastAsia="Arial" w:hAnsi="Arial"/>
                <w:sz w:val="18"/>
                <w:szCs w:val="18"/>
                <w:color w:val="auto"/>
              </w:rPr>
              <w:t>Purchase of Common Stock</w:t>
            </w:r>
          </w:p>
        </w:tc>
        <w:tc>
          <w:tcPr>
            <w:tcW w:w="2280" w:type="dxa"/>
            <w:vAlign w:val="bottom"/>
            <w:gridSpan w:val="4"/>
          </w:tcPr>
          <w:p>
            <w:pPr>
              <w:jc w:val="center"/>
              <w:ind w:left="110"/>
              <w:spacing w:after="0"/>
              <w:rPr>
                <w:sz w:val="20"/>
                <w:szCs w:val="20"/>
                <w:color w:val="auto"/>
              </w:rPr>
            </w:pPr>
            <w:r>
              <w:rPr>
                <w:rFonts w:ascii="Arial" w:cs="Arial" w:eastAsia="Arial" w:hAnsi="Arial"/>
                <w:sz w:val="18"/>
                <w:szCs w:val="18"/>
                <w:color w:val="auto"/>
                <w:w w:val="89"/>
              </w:rPr>
              <w:t>9/26/2019</w:t>
            </w:r>
          </w:p>
        </w:tc>
        <w:tc>
          <w:tcPr>
            <w:tcW w:w="2960" w:type="dxa"/>
            <w:vAlign w:val="bottom"/>
            <w:gridSpan w:val="4"/>
          </w:tcPr>
          <w:p>
            <w:pPr>
              <w:jc w:val="center"/>
              <w:ind w:left="570"/>
              <w:spacing w:after="0"/>
              <w:rPr>
                <w:sz w:val="20"/>
                <w:szCs w:val="20"/>
                <w:color w:val="auto"/>
              </w:rPr>
            </w:pPr>
            <w:r>
              <w:rPr>
                <w:rFonts w:ascii="Arial" w:cs="Arial" w:eastAsia="Arial" w:hAnsi="Arial"/>
                <w:sz w:val="18"/>
                <w:szCs w:val="18"/>
                <w:color w:val="auto"/>
                <w:w w:val="86"/>
              </w:rPr>
              <w:t>291</w:t>
            </w:r>
          </w:p>
        </w:tc>
        <w:tc>
          <w:tcPr>
            <w:tcW w:w="700" w:type="dxa"/>
            <w:vAlign w:val="bottom"/>
          </w:tcPr>
          <w:p>
            <w:pPr>
              <w:spacing w:after="0"/>
              <w:rPr>
                <w:sz w:val="18"/>
                <w:szCs w:val="18"/>
                <w:color w:val="auto"/>
              </w:rPr>
            </w:pPr>
          </w:p>
        </w:tc>
        <w:tc>
          <w:tcPr>
            <w:tcW w:w="1300" w:type="dxa"/>
            <w:vAlign w:val="bottom"/>
            <w:gridSpan w:val="2"/>
          </w:tcPr>
          <w:p>
            <w:pPr>
              <w:jc w:val="center"/>
              <w:ind w:left="590"/>
              <w:spacing w:after="0"/>
              <w:rPr>
                <w:sz w:val="20"/>
                <w:szCs w:val="20"/>
                <w:color w:val="auto"/>
              </w:rPr>
            </w:pPr>
            <w:r>
              <w:rPr>
                <w:rFonts w:ascii="Arial" w:cs="Arial" w:eastAsia="Arial" w:hAnsi="Arial"/>
                <w:sz w:val="18"/>
                <w:szCs w:val="18"/>
                <w:color w:val="auto"/>
                <w:w w:val="90"/>
              </w:rPr>
              <w:t>7.1000</w:t>
            </w:r>
          </w:p>
        </w:tc>
        <w:tc>
          <w:tcPr>
            <w:tcW w:w="1120" w:type="dxa"/>
            <w:vAlign w:val="bottom"/>
          </w:tcPr>
          <w:p>
            <w:pPr>
              <w:spacing w:after="0"/>
              <w:rPr>
                <w:sz w:val="18"/>
                <w:szCs w:val="18"/>
                <w:color w:val="auto"/>
              </w:rPr>
            </w:pPr>
          </w:p>
        </w:tc>
      </w:tr>
      <w:tr>
        <w:trPr>
          <w:trHeight w:val="216"/>
        </w:trPr>
        <w:tc>
          <w:tcPr>
            <w:tcW w:w="30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280" w:type="dxa"/>
            <w:vAlign w:val="bottom"/>
            <w:gridSpan w:val="4"/>
            <w:shd w:val="clear" w:color="auto" w:fill="CCEEFF"/>
          </w:tcPr>
          <w:p>
            <w:pPr>
              <w:jc w:val="center"/>
              <w:ind w:left="110"/>
              <w:spacing w:after="0"/>
              <w:rPr>
                <w:sz w:val="20"/>
                <w:szCs w:val="20"/>
                <w:color w:val="auto"/>
              </w:rPr>
            </w:pPr>
            <w:r>
              <w:rPr>
                <w:rFonts w:ascii="Arial" w:cs="Arial" w:eastAsia="Arial" w:hAnsi="Arial"/>
                <w:sz w:val="18"/>
                <w:szCs w:val="18"/>
                <w:color w:val="auto"/>
                <w:w w:val="89"/>
              </w:rPr>
              <w:t>9/30/2019</w:t>
            </w:r>
          </w:p>
        </w:tc>
        <w:tc>
          <w:tcPr>
            <w:tcW w:w="2960" w:type="dxa"/>
            <w:vAlign w:val="bottom"/>
            <w:gridSpan w:val="4"/>
            <w:shd w:val="clear" w:color="auto" w:fill="CCEEFF"/>
          </w:tcPr>
          <w:p>
            <w:pPr>
              <w:jc w:val="center"/>
              <w:ind w:left="570"/>
              <w:spacing w:after="0"/>
              <w:rPr>
                <w:sz w:val="20"/>
                <w:szCs w:val="20"/>
                <w:color w:val="auto"/>
              </w:rPr>
            </w:pPr>
            <w:r>
              <w:rPr>
                <w:rFonts w:ascii="Arial" w:cs="Arial" w:eastAsia="Arial" w:hAnsi="Arial"/>
                <w:sz w:val="18"/>
                <w:szCs w:val="18"/>
                <w:color w:val="auto"/>
                <w:w w:val="86"/>
              </w:rPr>
              <w:t>231</w:t>
            </w:r>
          </w:p>
        </w:tc>
        <w:tc>
          <w:tcPr>
            <w:tcW w:w="7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left="590"/>
              <w:spacing w:after="0"/>
              <w:rPr>
                <w:sz w:val="20"/>
                <w:szCs w:val="20"/>
                <w:color w:val="auto"/>
              </w:rPr>
            </w:pPr>
            <w:r>
              <w:rPr>
                <w:rFonts w:ascii="Arial" w:cs="Arial" w:eastAsia="Arial" w:hAnsi="Arial"/>
                <w:sz w:val="18"/>
                <w:szCs w:val="18"/>
                <w:color w:val="auto"/>
                <w:w w:val="90"/>
              </w:rPr>
              <w:t>7.0936</w:t>
            </w:r>
          </w:p>
        </w:tc>
        <w:tc>
          <w:tcPr>
            <w:tcW w:w="1120" w:type="dxa"/>
            <w:vAlign w:val="bottom"/>
            <w:shd w:val="clear" w:color="auto" w:fill="CCEEFF"/>
          </w:tcPr>
          <w:p>
            <w:pPr>
              <w:spacing w:after="0"/>
              <w:rPr>
                <w:sz w:val="18"/>
                <w:szCs w:val="18"/>
                <w:color w:val="auto"/>
              </w:rPr>
            </w:pPr>
          </w:p>
        </w:tc>
      </w:tr>
    </w:tbl>
    <w:p>
      <w:pPr>
        <w:spacing w:after="0" w:line="1" w:lineRule="exact"/>
        <w:rPr>
          <w:sz w:val="20"/>
          <w:szCs w:val="20"/>
          <w:color w:val="auto"/>
        </w:rPr>
      </w:pPr>
    </w:p>
    <w:sectPr>
      <w:pgSz w:w="11900" w:h="16838" w:orient="portrait"/>
      <w:cols w:equalWidth="0" w:num="1">
        <w:col w:w="11420"/>
      </w:cols>
      <w:pgMar w:left="240" w:top="2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1"/>
      <w:numFmt w:val="decimal"/>
      <w:start w:val="14"/>
    </w:lvl>
  </w:abstractNum>
  <w:abstractNum w:abstractNumId="3">
    <w:nsid w:val="41B71EFB"/>
    <w:multiLevelType w:val="hybridMultilevel"/>
    <w:lvl w:ilvl="0">
      <w:lvlJc w:val="left"/>
      <w:lvlText w:val="%1"/>
      <w:numFmt w:val="decimal"/>
      <w:start w:val="14"/>
    </w:lvl>
  </w:abstractNum>
  <w:abstractNum w:abstractNumId="4">
    <w:nsid w:val="79E2A9E3"/>
    <w:multiLevelType w:val="hybridMultilevel"/>
    <w:lvl w:ilvl="0">
      <w:lvlJc w:val="left"/>
      <w:lvlText w:val="%1"/>
      <w:numFmt w:val="decimal"/>
      <w:start w:val="14"/>
    </w:lvl>
  </w:abstractNum>
  <w:abstractNum w:abstractNumId="5">
    <w:nsid w:val="7545E146"/>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6">
    <w:nsid w:val="515F007C"/>
    <w:multiLevelType w:val="hybridMultilevel"/>
    <w:lvl w:ilvl="0">
      <w:lvlJc w:val="left"/>
      <w:lvlText w:val="%1"/>
      <w:numFmt w:val="upperLetter"/>
      <w:start w:val="1"/>
    </w:lvl>
    <w:lvl w:ilvl="1">
      <w:lvlJc w:val="left"/>
      <w:lvlText w:val="(%2)"/>
      <w:numFmt w:val="lowerLetter"/>
      <w:start w:val="2"/>
    </w:lvl>
    <w:lvl w:ilvl="2">
      <w:lvlJc w:val="left"/>
      <w:lvlText w:val="%3."/>
      <w:numFmt w:val="decimal"/>
      <w:start w:val="2"/>
    </w:lvl>
  </w:abstractNum>
  <w:abstractNum w:abstractNumId="7">
    <w:nsid w:val="5BD062C2"/>
    <w:multiLevelType w:val="hybridMultilevel"/>
    <w:lvl w:ilvl="0">
      <w:lvlJc w:val="left"/>
      <w:lvlText w:val="%1."/>
      <w:numFmt w:val="upperLetter"/>
      <w:start w:val="3"/>
    </w:lvl>
    <w:lvl w:ilvl="1">
      <w:lvlJc w:val="left"/>
      <w:lvlText w:val="(%2)"/>
      <w:numFmt w:val="lowerLetter"/>
      <w:start w:val="1"/>
    </w:lvl>
    <w:lvl w:ilvl="2">
      <w:lvlJc w:val="left"/>
      <w:lvlText w:val="%3."/>
      <w:numFmt w:val="decimal"/>
      <w:start w:val="2"/>
    </w:lvl>
  </w:abstractNum>
  <w:abstractNum w:abstractNumId="8">
    <w:nsid w:val="12200854"/>
    <w:multiLevelType w:val="hybridMultilevel"/>
    <w:lvl w:ilvl="0">
      <w:lvlJc w:val="left"/>
      <w:lvlText w:val="%1"/>
      <w:numFmt w:val="upperLetter"/>
      <w:start w:val="1"/>
    </w:lvl>
    <w:lvl w:ilvl="1">
      <w:lvlJc w:val="left"/>
      <w:lvlText w:val="(%2)"/>
      <w:numFmt w:val="lowerLetter"/>
      <w:start w:val="2"/>
    </w:lvl>
    <w:lvl w:ilvl="2">
      <w:lvlJc w:val="left"/>
      <w:lvlText w:val="%3."/>
      <w:numFmt w:val="decimal"/>
      <w:start w:val="2"/>
    </w:lvl>
  </w:abstractNum>
  <w:abstractNum w:abstractNumId="9">
    <w:nsid w:val="4DB127F8"/>
    <w:multiLevelType w:val="hybridMultilevel"/>
    <w:lvl w:ilvl="0">
      <w:lvlJc w:val="left"/>
      <w:lvlText w:val="%1."/>
      <w:numFmt w:val="upperLetter"/>
      <w:start w:val="6"/>
    </w:lvl>
    <w:lvl w:ilvl="1">
      <w:lvlJc w:val="left"/>
      <w:lvlText w:val="(%2)"/>
      <w:numFmt w:val="lowerLetter"/>
      <w:start w:val="1"/>
    </w:lvl>
    <w:lvl w:ilvl="2">
      <w:lvlJc w:val="left"/>
      <w:lvlText w:val="%3."/>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2019-12-04T21:40:38Z</dcterms:created>
  <dcterms:modified xsi:type="dcterms:W3CDTF">2019-12-04T21:40:38Z</dcterms:modified>
</cp:coreProperties>
</file>