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142875</wp:posOffset>
            </wp:positionH>
            <wp:positionV relativeFrom="page">
              <wp:posOffset>107315</wp:posOffset>
            </wp:positionV>
            <wp:extent cx="72758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5830" cy="34290"/>
                    </a:xfrm>
                    <a:prstGeom prst="rect">
                      <a:avLst/>
                    </a:prstGeom>
                    <a:noFill/>
                  </pic:spPr>
                </pic:pic>
              </a:graphicData>
            </a:graphic>
          </wp:anchor>
        </w:drawing>
        <w:t>UNITED STATES</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64"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FORM 10-Q</w:t>
      </w:r>
    </w:p>
    <w:p>
      <w:pPr>
        <w:spacing w:after="0" w:line="216" w:lineRule="exact"/>
        <w:rPr>
          <w:sz w:val="24"/>
          <w:szCs w:val="24"/>
          <w:color w:val="auto"/>
        </w:rPr>
      </w:pPr>
    </w:p>
    <w:p>
      <w:pPr>
        <w:ind w:left="4380" w:right="4000" w:hanging="4296"/>
        <w:spacing w:after="0" w:line="566" w:lineRule="auto"/>
        <w:tabs>
          <w:tab w:leader="none" w:pos="236"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QUARTERLY REPORT PURSUANT TO SECTION 13 OR 15(d) OF THE SECURITIES EXCHANGE ACT OF 1934 For the quarterly period ended </w:t>
      </w:r>
      <w:r>
        <w:rPr>
          <w:rFonts w:ascii="Arial" w:cs="Arial" w:eastAsia="Arial" w:hAnsi="Arial"/>
          <w:sz w:val="14"/>
          <w:szCs w:val="14"/>
          <w:b w:val="1"/>
          <w:bCs w:val="1"/>
          <w:u w:val="single" w:color="auto"/>
          <w:color w:val="auto"/>
        </w:rPr>
        <w:t>June 30, 2007</w:t>
      </w:r>
    </w:p>
    <w:p>
      <w:pPr>
        <w:ind w:left="5640"/>
        <w:spacing w:after="0"/>
        <w:rPr>
          <w:rFonts w:ascii="Arial" w:cs="Arial" w:eastAsia="Arial" w:hAnsi="Arial"/>
          <w:sz w:val="14"/>
          <w:szCs w:val="14"/>
          <w:color w:val="auto"/>
        </w:rPr>
      </w:pPr>
      <w:r>
        <w:rPr>
          <w:rFonts w:ascii="Arial" w:cs="Arial" w:eastAsia="Arial" w:hAnsi="Arial"/>
          <w:sz w:val="15"/>
          <w:szCs w:val="15"/>
          <w:color w:val="auto"/>
        </w:rPr>
        <w:t>OR</w:t>
      </w:r>
    </w:p>
    <w:p>
      <w:pPr>
        <w:spacing w:after="0" w:line="208" w:lineRule="exact"/>
        <w:rPr>
          <w:sz w:val="24"/>
          <w:szCs w:val="24"/>
          <w:color w:val="auto"/>
        </w:rPr>
      </w:pPr>
    </w:p>
    <w:p>
      <w:pPr>
        <w:ind w:left="80"/>
        <w:spacing w:after="0"/>
        <w:rPr>
          <w:sz w:val="20"/>
          <w:szCs w:val="20"/>
          <w:color w:val="auto"/>
        </w:rPr>
      </w:pPr>
      <w:r>
        <w:rPr>
          <w:rFonts w:ascii="Arial" w:cs="Arial" w:eastAsia="Arial" w:hAnsi="Arial"/>
          <w:sz w:val="15"/>
          <w:szCs w:val="15"/>
          <w:color w:val="auto"/>
        </w:rPr>
        <w:t>o TRANSITION REPORT PURSUANT TO SECTION 13 OR 15(d) OF THE SECURITIES EXCHANGE ACT OF 1934</w:t>
      </w:r>
    </w:p>
    <w:p>
      <w:pPr>
        <w:spacing w:after="0" w:line="208" w:lineRule="exact"/>
        <w:rPr>
          <w:sz w:val="24"/>
          <w:szCs w:val="24"/>
          <w:color w:val="auto"/>
        </w:rPr>
      </w:pPr>
    </w:p>
    <w:p>
      <w:pPr>
        <w:ind w:left="4060"/>
        <w:spacing w:after="0"/>
        <w:rPr>
          <w:sz w:val="20"/>
          <w:szCs w:val="20"/>
          <w:color w:val="auto"/>
        </w:rPr>
      </w:pPr>
      <w:r>
        <w:rPr>
          <w:rFonts w:ascii="Arial" w:cs="Arial" w:eastAsia="Arial" w:hAnsi="Arial"/>
          <w:sz w:val="15"/>
          <w:szCs w:val="15"/>
          <w:color w:val="auto"/>
        </w:rPr>
        <w:t>For the transition period from _________ to _________</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3406775</wp:posOffset>
            </wp:positionH>
            <wp:positionV relativeFrom="paragraph">
              <wp:posOffset>138430</wp:posOffset>
            </wp:positionV>
            <wp:extent cx="468630" cy="461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8630" cy="461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tbl>
      <w:tblPr>
        <w:tblLayout w:type="fixed"/>
        <w:tblInd w:w="0" w:type="dxa"/>
        <w:tblCellMar>
          <w:top w:w="0" w:type="dxa"/>
          <w:left w:w="0" w:type="dxa"/>
          <w:bottom w:w="0" w:type="dxa"/>
          <w:right w:w="0" w:type="dxa"/>
        </w:tblCellMar>
      </w:tblPr>
      <w:tr>
        <w:trPr>
          <w:trHeight w:val="438"/>
        </w:trPr>
        <w:tc>
          <w:tcPr>
            <w:tcW w:w="2900" w:type="dxa"/>
            <w:vAlign w:val="bottom"/>
          </w:tcPr>
          <w:p>
            <w:pPr>
              <w:spacing w:after="0"/>
              <w:rPr>
                <w:sz w:val="24"/>
                <w:szCs w:val="24"/>
                <w:color w:val="auto"/>
              </w:rPr>
            </w:pPr>
          </w:p>
        </w:tc>
        <w:tc>
          <w:tcPr>
            <w:tcW w:w="4860" w:type="dxa"/>
            <w:vAlign w:val="bottom"/>
          </w:tcPr>
          <w:p>
            <w:pPr>
              <w:jc w:val="center"/>
              <w:ind w:left="736"/>
              <w:spacing w:after="0"/>
              <w:rPr>
                <w:sz w:val="20"/>
                <w:szCs w:val="20"/>
                <w:color w:val="auto"/>
              </w:rPr>
            </w:pPr>
            <w:r>
              <w:rPr>
                <w:rFonts w:ascii="Arial" w:cs="Arial" w:eastAsia="Arial" w:hAnsi="Arial"/>
                <w:sz w:val="36"/>
                <w:szCs w:val="36"/>
                <w:b w:val="1"/>
                <w:bCs w:val="1"/>
                <w:color w:val="auto"/>
                <w:w w:val="95"/>
              </w:rPr>
              <w:t>NN, Inc.</w:t>
            </w:r>
          </w:p>
        </w:tc>
      </w:tr>
      <w:tr>
        <w:trPr>
          <w:trHeight w:val="189"/>
        </w:trPr>
        <w:tc>
          <w:tcPr>
            <w:tcW w:w="2900" w:type="dxa"/>
            <w:vAlign w:val="bottom"/>
          </w:tcPr>
          <w:p>
            <w:pPr>
              <w:spacing w:after="0"/>
              <w:rPr>
                <w:sz w:val="16"/>
                <w:szCs w:val="16"/>
                <w:color w:val="auto"/>
              </w:rPr>
            </w:pPr>
          </w:p>
        </w:tc>
        <w:tc>
          <w:tcPr>
            <w:tcW w:w="4860" w:type="dxa"/>
            <w:vAlign w:val="bottom"/>
          </w:tcPr>
          <w:p>
            <w:pPr>
              <w:jc w:val="center"/>
              <w:ind w:left="736"/>
              <w:spacing w:after="0"/>
              <w:rPr>
                <w:sz w:val="20"/>
                <w:szCs w:val="20"/>
                <w:color w:val="auto"/>
              </w:rPr>
            </w:pPr>
            <w:r>
              <w:rPr>
                <w:rFonts w:ascii="Arial" w:cs="Arial" w:eastAsia="Arial" w:hAnsi="Arial"/>
                <w:sz w:val="15"/>
                <w:szCs w:val="15"/>
                <w:color w:val="auto"/>
                <w:w w:val="90"/>
              </w:rPr>
              <w:t>(Exact name of registrant as specified in its charter)</w:t>
            </w:r>
          </w:p>
        </w:tc>
      </w:tr>
      <w:tr>
        <w:trPr>
          <w:trHeight w:val="370"/>
        </w:trPr>
        <w:tc>
          <w:tcPr>
            <w:tcW w:w="2900" w:type="dxa"/>
            <w:vAlign w:val="bottom"/>
          </w:tcPr>
          <w:p>
            <w:pPr>
              <w:spacing w:after="0"/>
              <w:rPr>
                <w:sz w:val="20"/>
                <w:szCs w:val="20"/>
                <w:color w:val="auto"/>
              </w:rPr>
            </w:pPr>
            <w:r>
              <w:rPr>
                <w:rFonts w:ascii="Arial" w:cs="Arial" w:eastAsia="Arial" w:hAnsi="Arial"/>
                <w:sz w:val="15"/>
                <w:szCs w:val="15"/>
                <w:b w:val="1"/>
                <w:bCs w:val="1"/>
                <w:color w:val="auto"/>
              </w:rPr>
              <w:t>Delaware</w:t>
            </w:r>
          </w:p>
        </w:tc>
        <w:tc>
          <w:tcPr>
            <w:tcW w:w="4860" w:type="dxa"/>
            <w:vAlign w:val="bottom"/>
          </w:tcPr>
          <w:p>
            <w:pPr>
              <w:jc w:val="right"/>
              <w:ind w:right="416"/>
              <w:spacing w:after="0"/>
              <w:rPr>
                <w:sz w:val="20"/>
                <w:szCs w:val="20"/>
                <w:color w:val="auto"/>
              </w:rPr>
            </w:pPr>
            <w:r>
              <w:rPr>
                <w:rFonts w:ascii="Arial" w:cs="Arial" w:eastAsia="Arial" w:hAnsi="Arial"/>
                <w:sz w:val="15"/>
                <w:szCs w:val="15"/>
                <w:b w:val="1"/>
                <w:bCs w:val="1"/>
                <w:color w:val="auto"/>
              </w:rPr>
              <w:t>62-1096725</w:t>
            </w:r>
          </w:p>
        </w:tc>
      </w:tr>
      <w:tr>
        <w:trPr>
          <w:trHeight w:val="179"/>
        </w:trPr>
        <w:tc>
          <w:tcPr>
            <w:tcW w:w="2900" w:type="dxa"/>
            <w:vAlign w:val="bottom"/>
          </w:tcPr>
          <w:p>
            <w:pPr>
              <w:spacing w:after="0"/>
              <w:rPr>
                <w:sz w:val="20"/>
                <w:szCs w:val="20"/>
                <w:color w:val="auto"/>
              </w:rPr>
            </w:pPr>
            <w:r>
              <w:rPr>
                <w:rFonts w:ascii="Arial" w:cs="Arial" w:eastAsia="Arial" w:hAnsi="Arial"/>
                <w:sz w:val="15"/>
                <w:szCs w:val="15"/>
                <w:color w:val="auto"/>
              </w:rPr>
              <w:t>(State or other jurisdiction of</w:t>
            </w:r>
          </w:p>
        </w:tc>
        <w:tc>
          <w:tcPr>
            <w:tcW w:w="4860" w:type="dxa"/>
            <w:vAlign w:val="bottom"/>
          </w:tcPr>
          <w:p>
            <w:pPr>
              <w:jc w:val="right"/>
              <w:ind w:right="156"/>
              <w:spacing w:after="0"/>
              <w:rPr>
                <w:sz w:val="20"/>
                <w:szCs w:val="20"/>
                <w:color w:val="auto"/>
              </w:rPr>
            </w:pPr>
            <w:r>
              <w:rPr>
                <w:rFonts w:ascii="Arial" w:cs="Arial" w:eastAsia="Arial" w:hAnsi="Arial"/>
                <w:sz w:val="15"/>
                <w:szCs w:val="15"/>
                <w:color w:val="auto"/>
              </w:rPr>
              <w:t>(I.R.S. Employer</w:t>
            </w:r>
          </w:p>
        </w:tc>
      </w:tr>
      <w:tr>
        <w:trPr>
          <w:trHeight w:val="189"/>
        </w:trPr>
        <w:tc>
          <w:tcPr>
            <w:tcW w:w="2900" w:type="dxa"/>
            <w:vAlign w:val="bottom"/>
          </w:tcPr>
          <w:p>
            <w:pPr>
              <w:spacing w:after="0"/>
              <w:rPr>
                <w:sz w:val="20"/>
                <w:szCs w:val="20"/>
                <w:color w:val="auto"/>
              </w:rPr>
            </w:pPr>
            <w:r>
              <w:rPr>
                <w:rFonts w:ascii="Arial" w:cs="Arial" w:eastAsia="Arial" w:hAnsi="Arial"/>
                <w:sz w:val="15"/>
                <w:szCs w:val="15"/>
                <w:color w:val="auto"/>
              </w:rPr>
              <w:t>incorporation or organization)</w:t>
            </w:r>
          </w:p>
        </w:tc>
        <w:tc>
          <w:tcPr>
            <w:tcW w:w="4860" w:type="dxa"/>
            <w:vAlign w:val="bottom"/>
          </w:tcPr>
          <w:p>
            <w:pPr>
              <w:jc w:val="right"/>
              <w:spacing w:after="0"/>
              <w:rPr>
                <w:sz w:val="20"/>
                <w:szCs w:val="20"/>
                <w:color w:val="auto"/>
              </w:rPr>
            </w:pPr>
            <w:r>
              <w:rPr>
                <w:rFonts w:ascii="Arial" w:cs="Arial" w:eastAsia="Arial" w:hAnsi="Arial"/>
                <w:sz w:val="15"/>
                <w:szCs w:val="15"/>
                <w:color w:val="auto"/>
              </w:rPr>
              <w:t>Identification Number)</w:t>
            </w:r>
          </w:p>
        </w:tc>
      </w:tr>
      <w:tr>
        <w:trPr>
          <w:trHeight w:val="366"/>
        </w:trPr>
        <w:tc>
          <w:tcPr>
            <w:tcW w:w="2900" w:type="dxa"/>
            <w:vAlign w:val="bottom"/>
          </w:tcPr>
          <w:p>
            <w:pPr>
              <w:spacing w:after="0"/>
              <w:rPr>
                <w:sz w:val="24"/>
                <w:szCs w:val="24"/>
                <w:color w:val="auto"/>
              </w:rPr>
            </w:pPr>
          </w:p>
        </w:tc>
        <w:tc>
          <w:tcPr>
            <w:tcW w:w="4860" w:type="dxa"/>
            <w:vAlign w:val="bottom"/>
          </w:tcPr>
          <w:p>
            <w:pPr>
              <w:jc w:val="center"/>
              <w:ind w:left="716"/>
              <w:spacing w:after="0"/>
              <w:rPr>
                <w:sz w:val="20"/>
                <w:szCs w:val="20"/>
                <w:color w:val="auto"/>
              </w:rPr>
            </w:pPr>
            <w:r>
              <w:rPr>
                <w:rFonts w:ascii="Arial" w:cs="Arial" w:eastAsia="Arial" w:hAnsi="Arial"/>
                <w:sz w:val="15"/>
                <w:szCs w:val="15"/>
                <w:b w:val="1"/>
                <w:bCs w:val="1"/>
                <w:color w:val="auto"/>
                <w:w w:val="90"/>
              </w:rPr>
              <w:t>2000 Waters Edge Drive</w:t>
            </w:r>
          </w:p>
        </w:tc>
      </w:tr>
      <w:tr>
        <w:trPr>
          <w:trHeight w:val="179"/>
        </w:trPr>
        <w:tc>
          <w:tcPr>
            <w:tcW w:w="2900" w:type="dxa"/>
            <w:vAlign w:val="bottom"/>
          </w:tcPr>
          <w:p>
            <w:pPr>
              <w:spacing w:after="0"/>
              <w:rPr>
                <w:sz w:val="15"/>
                <w:szCs w:val="15"/>
                <w:color w:val="auto"/>
              </w:rPr>
            </w:pPr>
          </w:p>
        </w:tc>
        <w:tc>
          <w:tcPr>
            <w:tcW w:w="4860" w:type="dxa"/>
            <w:vAlign w:val="bottom"/>
          </w:tcPr>
          <w:p>
            <w:pPr>
              <w:jc w:val="center"/>
              <w:ind w:left="736"/>
              <w:spacing w:after="0"/>
              <w:rPr>
                <w:sz w:val="20"/>
                <w:szCs w:val="20"/>
                <w:color w:val="auto"/>
              </w:rPr>
            </w:pPr>
            <w:r>
              <w:rPr>
                <w:rFonts w:ascii="Arial" w:cs="Arial" w:eastAsia="Arial" w:hAnsi="Arial"/>
                <w:sz w:val="15"/>
                <w:szCs w:val="15"/>
                <w:b w:val="1"/>
                <w:bCs w:val="1"/>
                <w:color w:val="auto"/>
                <w:w w:val="90"/>
              </w:rPr>
              <w:t>Building C, Suite 12</w:t>
            </w:r>
          </w:p>
        </w:tc>
      </w:tr>
      <w:tr>
        <w:trPr>
          <w:trHeight w:val="183"/>
        </w:trPr>
        <w:tc>
          <w:tcPr>
            <w:tcW w:w="2900" w:type="dxa"/>
            <w:vAlign w:val="bottom"/>
          </w:tcPr>
          <w:p>
            <w:pPr>
              <w:spacing w:after="0"/>
              <w:rPr>
                <w:sz w:val="15"/>
                <w:szCs w:val="15"/>
                <w:color w:val="auto"/>
              </w:rPr>
            </w:pPr>
          </w:p>
        </w:tc>
        <w:tc>
          <w:tcPr>
            <w:tcW w:w="4860" w:type="dxa"/>
            <w:vAlign w:val="bottom"/>
          </w:tcPr>
          <w:p>
            <w:pPr>
              <w:jc w:val="center"/>
              <w:ind w:left="716"/>
              <w:spacing w:after="0"/>
              <w:rPr>
                <w:sz w:val="20"/>
                <w:szCs w:val="20"/>
                <w:color w:val="auto"/>
              </w:rPr>
            </w:pPr>
            <w:r>
              <w:rPr>
                <w:rFonts w:ascii="Arial" w:cs="Arial" w:eastAsia="Arial" w:hAnsi="Arial"/>
                <w:sz w:val="15"/>
                <w:szCs w:val="15"/>
                <w:b w:val="1"/>
                <w:bCs w:val="1"/>
                <w:color w:val="auto"/>
                <w:w w:val="87"/>
              </w:rPr>
              <w:t>Johnson City, Tennessee 37604</w:t>
            </w:r>
          </w:p>
        </w:tc>
      </w:tr>
      <w:tr>
        <w:trPr>
          <w:trHeight w:val="189"/>
        </w:trPr>
        <w:tc>
          <w:tcPr>
            <w:tcW w:w="2900" w:type="dxa"/>
            <w:vAlign w:val="bottom"/>
          </w:tcPr>
          <w:p>
            <w:pPr>
              <w:spacing w:after="0"/>
              <w:rPr>
                <w:sz w:val="16"/>
                <w:szCs w:val="16"/>
                <w:color w:val="auto"/>
              </w:rPr>
            </w:pPr>
          </w:p>
        </w:tc>
        <w:tc>
          <w:tcPr>
            <w:tcW w:w="4860" w:type="dxa"/>
            <w:vAlign w:val="bottom"/>
          </w:tcPr>
          <w:p>
            <w:pPr>
              <w:jc w:val="center"/>
              <w:ind w:left="756"/>
              <w:spacing w:after="0"/>
              <w:rPr>
                <w:sz w:val="20"/>
                <w:szCs w:val="20"/>
                <w:color w:val="auto"/>
              </w:rPr>
            </w:pPr>
            <w:r>
              <w:rPr>
                <w:rFonts w:ascii="Arial" w:cs="Arial" w:eastAsia="Arial" w:hAnsi="Arial"/>
                <w:sz w:val="15"/>
                <w:szCs w:val="15"/>
                <w:color w:val="auto"/>
                <w:w w:val="92"/>
              </w:rPr>
              <w:t>(Address of principal executive offices, including zip code)</w:t>
            </w:r>
          </w:p>
        </w:tc>
      </w:tr>
      <w:tr>
        <w:trPr>
          <w:trHeight w:val="370"/>
        </w:trPr>
        <w:tc>
          <w:tcPr>
            <w:tcW w:w="2900" w:type="dxa"/>
            <w:vAlign w:val="bottom"/>
          </w:tcPr>
          <w:p>
            <w:pPr>
              <w:spacing w:after="0"/>
              <w:rPr>
                <w:sz w:val="24"/>
                <w:szCs w:val="24"/>
                <w:color w:val="auto"/>
              </w:rPr>
            </w:pPr>
          </w:p>
        </w:tc>
        <w:tc>
          <w:tcPr>
            <w:tcW w:w="4860" w:type="dxa"/>
            <w:vAlign w:val="bottom"/>
          </w:tcPr>
          <w:p>
            <w:pPr>
              <w:jc w:val="center"/>
              <w:ind w:left="756"/>
              <w:spacing w:after="0"/>
              <w:rPr>
                <w:sz w:val="20"/>
                <w:szCs w:val="20"/>
                <w:color w:val="auto"/>
              </w:rPr>
            </w:pPr>
            <w:r>
              <w:rPr>
                <w:rFonts w:ascii="Arial" w:cs="Arial" w:eastAsia="Arial" w:hAnsi="Arial"/>
                <w:sz w:val="15"/>
                <w:szCs w:val="15"/>
                <w:b w:val="1"/>
                <w:bCs w:val="1"/>
                <w:color w:val="auto"/>
                <w:w w:val="91"/>
              </w:rPr>
              <w:t>(423) 743-9151</w:t>
            </w:r>
          </w:p>
        </w:tc>
      </w:tr>
      <w:tr>
        <w:trPr>
          <w:trHeight w:val="189"/>
        </w:trPr>
        <w:tc>
          <w:tcPr>
            <w:tcW w:w="2900" w:type="dxa"/>
            <w:vAlign w:val="bottom"/>
          </w:tcPr>
          <w:p>
            <w:pPr>
              <w:spacing w:after="0"/>
              <w:rPr>
                <w:sz w:val="16"/>
                <w:szCs w:val="16"/>
                <w:color w:val="auto"/>
              </w:rPr>
            </w:pPr>
          </w:p>
        </w:tc>
        <w:tc>
          <w:tcPr>
            <w:tcW w:w="4860" w:type="dxa"/>
            <w:vAlign w:val="bottom"/>
          </w:tcPr>
          <w:p>
            <w:pPr>
              <w:jc w:val="center"/>
              <w:ind w:left="736"/>
              <w:spacing w:after="0"/>
              <w:rPr>
                <w:sz w:val="20"/>
                <w:szCs w:val="20"/>
                <w:color w:val="auto"/>
              </w:rPr>
            </w:pPr>
            <w:r>
              <w:rPr>
                <w:rFonts w:ascii="Arial" w:cs="Arial" w:eastAsia="Arial" w:hAnsi="Arial"/>
                <w:sz w:val="15"/>
                <w:szCs w:val="15"/>
                <w:color w:val="auto"/>
                <w:w w:val="89"/>
              </w:rPr>
              <w:t>(Registrant’s telephone number, including area code)</w:t>
            </w:r>
          </w:p>
        </w:tc>
      </w:tr>
    </w:tbl>
    <w:p>
      <w:pPr>
        <w:spacing w:after="0" w:line="393" w:lineRule="exact"/>
        <w:rPr>
          <w:sz w:val="24"/>
          <w:szCs w:val="24"/>
          <w:color w:val="auto"/>
        </w:rPr>
      </w:pPr>
    </w:p>
    <w:p>
      <w:pPr>
        <w:spacing w:after="0" w:line="26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7" w:lineRule="exact"/>
        <w:rPr>
          <w:sz w:val="24"/>
          <w:szCs w:val="24"/>
          <w:color w:val="auto"/>
        </w:rPr>
      </w:pPr>
    </w:p>
    <w:p>
      <w:pPr>
        <w:ind w:right="80"/>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20" w:top="477" w:right="259" w:bottom="1440" w:gutter="0" w:footer="0" w:header="0"/>
        </w:sectPr>
      </w:pP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Non-accelerated filer o</w:t>
      </w:r>
    </w:p>
    <w:p>
      <w:pPr>
        <w:spacing w:after="0" w:line="200" w:lineRule="exact"/>
        <w:rPr>
          <w:sz w:val="24"/>
          <w:szCs w:val="24"/>
          <w:color w:val="auto"/>
        </w:rPr>
      </w:pPr>
    </w:p>
    <w:p>
      <w:pPr>
        <w:sectPr>
          <w:pgSz w:w="11900" w:h="16838" w:orient="portrait"/>
          <w:cols w:equalWidth="0" w:num="3">
            <w:col w:w="3120" w:space="720"/>
            <w:col w:w="1980" w:space="720"/>
            <w:col w:w="4880"/>
          </w:cols>
          <w:pgMar w:left="220" w:top="477" w:right="259" w:bottom="1440" w:gutter="0" w:footer="0" w:header="0"/>
          <w:type w:val="continuous"/>
        </w:sectPr>
      </w:pPr>
    </w:p>
    <w:p>
      <w:pPr>
        <w:spacing w:after="0" w:line="21" w:lineRule="exact"/>
        <w:rPr>
          <w:sz w:val="24"/>
          <w:szCs w:val="24"/>
          <w:color w:val="auto"/>
        </w:rPr>
      </w:pPr>
    </w:p>
    <w:p>
      <w:pPr>
        <w:spacing w:after="0"/>
        <w:tabs>
          <w:tab w:leader="none" w:pos="69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Yes oNo x</w:t>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As of July 8th, 2007, there were 16,863,082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7583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20"/>
          </w:cols>
          <w:pgMar w:left="220" w:top="477" w:right="259" w:bottom="1440" w:gutter="0" w:footer="0" w:header="0"/>
          <w:type w:val="continuous"/>
        </w:sectPr>
      </w:pPr>
    </w:p>
    <w:bookmarkStart w:id="1" w:name="page2"/>
    <w:bookmarkEnd w:id="1"/>
    <w:p>
      <w:pPr>
        <w:ind w:left="5460"/>
        <w:spacing w:after="0"/>
        <w:rPr>
          <w:sz w:val="20"/>
          <w:szCs w:val="20"/>
          <w:color w:val="auto"/>
        </w:rPr>
      </w:pPr>
      <w:r>
        <w:rPr>
          <w:rFonts w:ascii="Arial" w:cs="Arial" w:eastAsia="Arial" w:hAnsi="Arial"/>
          <w:sz w:val="15"/>
          <w:szCs w:val="15"/>
          <w:b w:val="1"/>
          <w:bCs w:val="1"/>
          <w:color w:val="auto"/>
        </w:rPr>
        <w:t>NN, Inc.</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15"/>
          <w:szCs w:val="15"/>
          <w:b w:val="1"/>
          <w:bCs w:val="1"/>
          <w:color w:val="auto"/>
        </w:rPr>
        <w:t>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Part I. Financial Information</w:t>
            </w:r>
          </w:p>
        </w:tc>
        <w:tc>
          <w:tcPr>
            <w:tcW w:w="2460" w:type="dxa"/>
            <w:vAlign w:val="bottom"/>
            <w:gridSpan w:val="2"/>
          </w:tcPr>
          <w:p>
            <w:pPr>
              <w:jc w:val="right"/>
              <w:spacing w:after="0"/>
              <w:rPr>
                <w:sz w:val="20"/>
                <w:szCs w:val="20"/>
                <w:color w:val="auto"/>
              </w:rPr>
            </w:pPr>
            <w:r>
              <w:rPr>
                <w:rFonts w:ascii="Arial" w:cs="Arial" w:eastAsia="Arial" w:hAnsi="Arial"/>
                <w:sz w:val="15"/>
                <w:szCs w:val="15"/>
                <w:color w:val="auto"/>
              </w:rPr>
              <w:t>Page No.</w:t>
            </w:r>
          </w:p>
        </w:tc>
        <w:tc>
          <w:tcPr>
            <w:tcW w:w="0" w:type="dxa"/>
            <w:vAlign w:val="bottom"/>
          </w:tcPr>
          <w:p>
            <w:pPr>
              <w:spacing w:after="0"/>
              <w:rPr>
                <w:sz w:val="1"/>
                <w:szCs w:val="1"/>
                <w:color w:val="auto"/>
              </w:rPr>
            </w:pPr>
          </w:p>
        </w:tc>
      </w:tr>
      <w:tr>
        <w:trPr>
          <w:trHeight w:val="192"/>
        </w:trPr>
        <w:tc>
          <w:tcPr>
            <w:tcW w:w="9000" w:type="dxa"/>
            <w:vAlign w:val="bottom"/>
            <w:gridSpan w:val="3"/>
            <w:vMerge w:val="continue"/>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660" w:type="dxa"/>
            <w:vAlign w:val="bottom"/>
          </w:tcPr>
          <w:p>
            <w:pPr>
              <w:spacing w:after="0"/>
              <w:rPr>
                <w:sz w:val="20"/>
                <w:szCs w:val="20"/>
                <w:color w:val="auto"/>
              </w:rPr>
            </w:pPr>
            <w:r>
              <w:rPr>
                <w:rFonts w:ascii="Arial" w:cs="Arial" w:eastAsia="Arial" w:hAnsi="Arial"/>
                <w:sz w:val="15"/>
                <w:szCs w:val="15"/>
                <w:color w:val="auto"/>
              </w:rPr>
              <w:t>Item 1.</w:t>
            </w:r>
          </w:p>
        </w:tc>
        <w:tc>
          <w:tcPr>
            <w:tcW w:w="40" w:type="dxa"/>
            <w:vAlign w:val="bottom"/>
          </w:tcPr>
          <w:p>
            <w:pPr>
              <w:spacing w:after="0"/>
              <w:rPr>
                <w:sz w:val="24"/>
                <w:szCs w:val="24"/>
                <w:color w:val="auto"/>
              </w:rPr>
            </w:pPr>
          </w:p>
        </w:tc>
        <w:tc>
          <w:tcPr>
            <w:tcW w:w="8300" w:type="dxa"/>
            <w:vAlign w:val="bottom"/>
          </w:tcPr>
          <w:p>
            <w:pPr>
              <w:ind w:left="80"/>
              <w:spacing w:after="0"/>
              <w:rPr>
                <w:sz w:val="20"/>
                <w:szCs w:val="20"/>
                <w:color w:val="auto"/>
              </w:rPr>
            </w:pPr>
            <w:r>
              <w:rPr>
                <w:rFonts w:ascii="Arial" w:cs="Arial" w:eastAsia="Arial" w:hAnsi="Arial"/>
                <w:sz w:val="15"/>
                <w:szCs w:val="15"/>
                <w:color w:val="auto"/>
              </w:rPr>
              <w:t>Financial Statements:</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00" w:type="dxa"/>
            <w:vAlign w:val="bottom"/>
          </w:tcPr>
          <w:p>
            <w:pPr>
              <w:ind w:left="120"/>
              <w:spacing w:after="0"/>
              <w:rPr>
                <w:sz w:val="20"/>
                <w:szCs w:val="20"/>
                <w:color w:val="auto"/>
              </w:rPr>
            </w:pPr>
            <w:r>
              <w:rPr>
                <w:rFonts w:ascii="Arial" w:cs="Arial" w:eastAsia="Arial" w:hAnsi="Arial"/>
                <w:sz w:val="15"/>
                <w:szCs w:val="15"/>
                <w:color w:val="auto"/>
                <w:w w:val="89"/>
              </w:rPr>
              <w:t>Consolidated Statements of Income and Comprehensive Income for the three and six months ended June 30, 2007 and 2006 (unaudited)</w:t>
            </w:r>
          </w:p>
        </w:tc>
        <w:tc>
          <w:tcPr>
            <w:tcW w:w="2460" w:type="dxa"/>
            <w:vAlign w:val="bottom"/>
            <w:gridSpan w:val="2"/>
          </w:tcPr>
          <w:p>
            <w:pPr>
              <w:jc w:val="right"/>
              <w:ind w:right="305"/>
              <w:spacing w:after="0"/>
              <w:rPr>
                <w:sz w:val="20"/>
                <w:szCs w:val="20"/>
                <w:color w:val="auto"/>
              </w:rPr>
            </w:pPr>
            <w:r>
              <w:rPr>
                <w:rFonts w:ascii="Arial" w:cs="Arial" w:eastAsia="Arial" w:hAnsi="Arial"/>
                <w:sz w:val="15"/>
                <w:szCs w:val="15"/>
                <w:color w:val="auto"/>
                <w:w w:val="89"/>
              </w:rPr>
              <w:t>...................................................  2</w:t>
            </w:r>
          </w:p>
        </w:tc>
        <w:tc>
          <w:tcPr>
            <w:tcW w:w="0" w:type="dxa"/>
            <w:vAlign w:val="bottom"/>
          </w:tcPr>
          <w:p>
            <w:pPr>
              <w:spacing w:after="0"/>
              <w:rPr>
                <w:sz w:val="1"/>
                <w:szCs w:val="1"/>
                <w:color w:val="auto"/>
              </w:rPr>
            </w:pPr>
          </w:p>
        </w:tc>
      </w:tr>
      <w:tr>
        <w:trPr>
          <w:trHeight w:val="380"/>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00" w:type="dxa"/>
            <w:vAlign w:val="bottom"/>
          </w:tcPr>
          <w:p>
            <w:pPr>
              <w:ind w:left="120"/>
              <w:spacing w:after="0"/>
              <w:rPr>
                <w:sz w:val="20"/>
                <w:szCs w:val="20"/>
                <w:color w:val="auto"/>
              </w:rPr>
            </w:pPr>
            <w:r>
              <w:rPr>
                <w:rFonts w:ascii="Arial" w:cs="Arial" w:eastAsia="Arial" w:hAnsi="Arial"/>
                <w:sz w:val="15"/>
                <w:szCs w:val="15"/>
                <w:color w:val="auto"/>
                <w:w w:val="70"/>
              </w:rPr>
              <w:t>Condensed Consolidated Balance Sheets at June 30, 2007and December 31, 2006 (unaudited)...............................................................................................................................</w:t>
            </w:r>
          </w:p>
        </w:tc>
        <w:tc>
          <w:tcPr>
            <w:tcW w:w="2460" w:type="dxa"/>
            <w:vAlign w:val="bottom"/>
            <w:gridSpan w:val="2"/>
          </w:tcPr>
          <w:p>
            <w:pPr>
              <w:jc w:val="right"/>
              <w:ind w:right="25"/>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80"/>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00" w:type="dxa"/>
            <w:vAlign w:val="bottom"/>
          </w:tcPr>
          <w:p>
            <w:pPr>
              <w:ind w:left="120"/>
              <w:spacing w:after="0"/>
              <w:rPr>
                <w:sz w:val="20"/>
                <w:szCs w:val="20"/>
                <w:color w:val="auto"/>
              </w:rPr>
            </w:pPr>
            <w:r>
              <w:rPr>
                <w:rFonts w:ascii="Arial" w:cs="Arial" w:eastAsia="Arial" w:hAnsi="Arial"/>
                <w:sz w:val="15"/>
                <w:szCs w:val="15"/>
                <w:color w:val="auto"/>
                <w:w w:val="71"/>
              </w:rPr>
              <w:t>Consolidated Statements of Changes in Stockholders’ Equity for the six months ended June 30, 2007 (unaudited) ...........................................................................................</w:t>
            </w:r>
          </w:p>
        </w:tc>
        <w:tc>
          <w:tcPr>
            <w:tcW w:w="2460" w:type="dxa"/>
            <w:vAlign w:val="bottom"/>
            <w:gridSpan w:val="2"/>
          </w:tcPr>
          <w:p>
            <w:pPr>
              <w:jc w:val="right"/>
              <w:ind w:right="205"/>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80"/>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00" w:type="dxa"/>
            <w:vAlign w:val="bottom"/>
          </w:tcPr>
          <w:p>
            <w:pPr>
              <w:ind w:left="120"/>
              <w:spacing w:after="0"/>
              <w:rPr>
                <w:sz w:val="20"/>
                <w:szCs w:val="20"/>
                <w:color w:val="auto"/>
              </w:rPr>
            </w:pPr>
            <w:r>
              <w:rPr>
                <w:rFonts w:ascii="Arial" w:cs="Arial" w:eastAsia="Arial" w:hAnsi="Arial"/>
                <w:sz w:val="15"/>
                <w:szCs w:val="15"/>
                <w:color w:val="auto"/>
                <w:w w:val="70"/>
              </w:rPr>
              <w:t>Consolidated Statements of Cash Flows for the six months ended June 30, 2007 and 2006 (unaudited) ................................................................................................................</w:t>
            </w:r>
          </w:p>
        </w:tc>
        <w:tc>
          <w:tcPr>
            <w:tcW w:w="2460" w:type="dxa"/>
            <w:vAlign w:val="bottom"/>
            <w:gridSpan w:val="2"/>
          </w:tcPr>
          <w:p>
            <w:pPr>
              <w:jc w:val="right"/>
              <w:ind w:right="105"/>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370"/>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20" w:type="dxa"/>
            <w:vAlign w:val="bottom"/>
            <w:gridSpan w:val="2"/>
          </w:tcPr>
          <w:p>
            <w:pPr>
              <w:ind w:left="120"/>
              <w:spacing w:after="0"/>
              <w:rPr>
                <w:sz w:val="20"/>
                <w:szCs w:val="20"/>
                <w:color w:val="auto"/>
              </w:rPr>
            </w:pPr>
            <w:r>
              <w:rPr>
                <w:rFonts w:ascii="Arial" w:cs="Arial" w:eastAsia="Arial" w:hAnsi="Arial"/>
                <w:sz w:val="15"/>
                <w:szCs w:val="15"/>
                <w:color w:val="auto"/>
                <w:w w:val="85"/>
              </w:rPr>
              <w:t>Notes to Consolidated Financial Statements (unaudited) ...............................................................................................................................................................................................</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300" w:type="dxa"/>
            <w:vAlign w:val="bottom"/>
          </w:tcPr>
          <w:p>
            <w:pPr>
              <w:ind w:left="120"/>
              <w:spacing w:after="0"/>
              <w:rPr>
                <w:sz w:val="20"/>
                <w:szCs w:val="20"/>
                <w:color w:val="auto"/>
              </w:rPr>
            </w:pPr>
            <w:r>
              <w:rPr>
                <w:rFonts w:ascii="Arial" w:cs="Arial" w:eastAsia="Arial" w:hAnsi="Arial"/>
                <w:sz w:val="15"/>
                <w:szCs w:val="15"/>
                <w:color w:val="auto"/>
              </w:rPr>
              <w:t>6</w:t>
            </w: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660" w:type="dxa"/>
            <w:vAlign w:val="bottom"/>
          </w:tcPr>
          <w:p>
            <w:pPr>
              <w:spacing w:after="0"/>
              <w:rPr>
                <w:sz w:val="20"/>
                <w:szCs w:val="20"/>
                <w:color w:val="auto"/>
              </w:rPr>
            </w:pPr>
            <w:r>
              <w:rPr>
                <w:rFonts w:ascii="Arial" w:cs="Arial" w:eastAsia="Arial" w:hAnsi="Arial"/>
                <w:sz w:val="15"/>
                <w:szCs w:val="15"/>
                <w:color w:val="auto"/>
              </w:rPr>
              <w:t>Item 2.</w:t>
            </w:r>
          </w:p>
        </w:tc>
        <w:tc>
          <w:tcPr>
            <w:tcW w:w="10260" w:type="dxa"/>
            <w:vAlign w:val="bottom"/>
            <w:gridSpan w:val="3"/>
          </w:tcPr>
          <w:p>
            <w:pPr>
              <w:jc w:val="right"/>
              <w:spacing w:after="0"/>
              <w:rPr>
                <w:sz w:val="20"/>
                <w:szCs w:val="20"/>
                <w:color w:val="auto"/>
              </w:rPr>
            </w:pPr>
            <w:r>
              <w:rPr>
                <w:rFonts w:ascii="Arial" w:cs="Arial" w:eastAsia="Arial" w:hAnsi="Arial"/>
                <w:sz w:val="15"/>
                <w:szCs w:val="15"/>
                <w:color w:val="auto"/>
                <w:w w:val="87"/>
              </w:rPr>
              <w:t>Management's Discussion and Analysis of Financial Condition and Results of Operations .........................................................................................................................................</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Arial" w:cs="Arial" w:eastAsia="Arial" w:hAnsi="Arial"/>
                <w:sz w:val="15"/>
                <w:szCs w:val="15"/>
                <w:color w:val="auto"/>
              </w:rPr>
              <w:t>15</w:t>
            </w:r>
          </w:p>
        </w:tc>
        <w:tc>
          <w:tcPr>
            <w:tcW w:w="4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660" w:type="dxa"/>
            <w:vAlign w:val="bottom"/>
          </w:tcPr>
          <w:p>
            <w:pPr>
              <w:spacing w:after="0"/>
              <w:rPr>
                <w:sz w:val="20"/>
                <w:szCs w:val="20"/>
                <w:color w:val="auto"/>
              </w:rPr>
            </w:pPr>
            <w:r>
              <w:rPr>
                <w:rFonts w:ascii="Arial" w:cs="Arial" w:eastAsia="Arial" w:hAnsi="Arial"/>
                <w:sz w:val="15"/>
                <w:szCs w:val="15"/>
                <w:color w:val="auto"/>
              </w:rPr>
              <w:t>Item 3.</w:t>
            </w:r>
          </w:p>
        </w:tc>
        <w:tc>
          <w:tcPr>
            <w:tcW w:w="40" w:type="dxa"/>
            <w:vAlign w:val="bottom"/>
          </w:tcPr>
          <w:p>
            <w:pPr>
              <w:spacing w:after="0"/>
              <w:rPr>
                <w:sz w:val="24"/>
                <w:szCs w:val="24"/>
                <w:color w:val="auto"/>
              </w:rPr>
            </w:pPr>
          </w:p>
        </w:tc>
        <w:tc>
          <w:tcPr>
            <w:tcW w:w="8300" w:type="dxa"/>
            <w:vAlign w:val="bottom"/>
          </w:tcPr>
          <w:p>
            <w:pPr>
              <w:ind w:left="80"/>
              <w:spacing w:after="0"/>
              <w:rPr>
                <w:sz w:val="20"/>
                <w:szCs w:val="20"/>
                <w:color w:val="auto"/>
              </w:rPr>
            </w:pPr>
            <w:r>
              <w:rPr>
                <w:rFonts w:ascii="Arial" w:cs="Arial" w:eastAsia="Arial" w:hAnsi="Arial"/>
                <w:sz w:val="15"/>
                <w:szCs w:val="15"/>
                <w:color w:val="auto"/>
              </w:rPr>
              <w:t>Quantitative and Qualitative Disclosures about Market</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 w:type="dxa"/>
            <w:vAlign w:val="bottom"/>
            <w:gridSpan w:val="2"/>
          </w:tcPr>
          <w:p>
            <w:pPr>
              <w:spacing w:after="0"/>
              <w:rPr>
                <w:sz w:val="20"/>
                <w:szCs w:val="20"/>
                <w:color w:val="auto"/>
              </w:rPr>
            </w:pPr>
            <w:r>
              <w:rPr>
                <w:rFonts w:ascii="Arial" w:cs="Arial" w:eastAsia="Arial" w:hAnsi="Arial"/>
                <w:sz w:val="1"/>
                <w:szCs w:val="1"/>
                <w:color w:val="auto"/>
              </w:rPr>
              <w:t>Risk .............................................................................................................................................................................................</w:t>
            </w:r>
          </w:p>
        </w:tc>
        <w:tc>
          <w:tcPr>
            <w:tcW w:w="8300" w:type="dxa"/>
            <w:vAlign w:val="bottom"/>
          </w:tcPr>
          <w:p>
            <w:pPr>
              <w:ind w:left="6780"/>
              <w:spacing w:after="0"/>
              <w:rPr>
                <w:sz w:val="20"/>
                <w:szCs w:val="20"/>
                <w:color w:val="auto"/>
              </w:rPr>
            </w:pPr>
            <w:r>
              <w:rPr>
                <w:rFonts w:ascii="Arial" w:cs="Arial" w:eastAsia="Arial" w:hAnsi="Arial"/>
                <w:sz w:val="15"/>
                <w:szCs w:val="15"/>
                <w:color w:val="auto"/>
              </w:rPr>
              <w:t>21</w:t>
            </w: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660" w:type="dxa"/>
            <w:vAlign w:val="bottom"/>
          </w:tcPr>
          <w:p>
            <w:pPr>
              <w:spacing w:after="0"/>
              <w:rPr>
                <w:sz w:val="20"/>
                <w:szCs w:val="20"/>
                <w:color w:val="auto"/>
              </w:rPr>
            </w:pPr>
            <w:r>
              <w:rPr>
                <w:rFonts w:ascii="Arial" w:cs="Arial" w:eastAsia="Arial" w:hAnsi="Arial"/>
                <w:sz w:val="15"/>
                <w:szCs w:val="15"/>
                <w:color w:val="auto"/>
              </w:rPr>
              <w:t>Item 4.</w:t>
            </w:r>
          </w:p>
        </w:tc>
        <w:tc>
          <w:tcPr>
            <w:tcW w:w="40" w:type="dxa"/>
            <w:vAlign w:val="bottom"/>
          </w:tcPr>
          <w:p>
            <w:pPr>
              <w:spacing w:after="0"/>
              <w:rPr>
                <w:sz w:val="24"/>
                <w:szCs w:val="24"/>
                <w:color w:val="auto"/>
              </w:rPr>
            </w:pPr>
          </w:p>
        </w:tc>
        <w:tc>
          <w:tcPr>
            <w:tcW w:w="8300" w:type="dxa"/>
            <w:vAlign w:val="bottom"/>
          </w:tcPr>
          <w:p>
            <w:pPr>
              <w:ind w:left="80"/>
              <w:spacing w:after="0"/>
              <w:rPr>
                <w:sz w:val="20"/>
                <w:szCs w:val="20"/>
                <w:color w:val="auto"/>
              </w:rPr>
            </w:pPr>
            <w:r>
              <w:rPr>
                <w:rFonts w:ascii="Arial" w:cs="Arial" w:eastAsia="Arial" w:hAnsi="Arial"/>
                <w:sz w:val="15"/>
                <w:szCs w:val="15"/>
                <w:color w:val="auto"/>
              </w:rPr>
              <w:t>Controls and</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 w:type="dxa"/>
            <w:vAlign w:val="bottom"/>
            <w:gridSpan w:val="2"/>
          </w:tcPr>
          <w:p>
            <w:pPr>
              <w:spacing w:after="0"/>
              <w:rPr>
                <w:sz w:val="20"/>
                <w:szCs w:val="20"/>
                <w:color w:val="auto"/>
              </w:rPr>
            </w:pPr>
            <w:r>
              <w:rPr>
                <w:rFonts w:ascii="Arial" w:cs="Arial" w:eastAsia="Arial" w:hAnsi="Arial"/>
                <w:sz w:val="15"/>
                <w:szCs w:val="15"/>
                <w:color w:val="auto"/>
                <w:w w:val="88"/>
              </w:rPr>
              <w:t>Procedures</w:t>
            </w:r>
          </w:p>
        </w:tc>
        <w:tc>
          <w:tcPr>
            <w:tcW w:w="8300" w:type="dxa"/>
            <w:vAlign w:val="bottom"/>
          </w:tcPr>
          <w:p>
            <w:pPr>
              <w:spacing w:after="0"/>
              <w:rPr>
                <w:sz w:val="20"/>
                <w:szCs w:val="20"/>
                <w:color w:val="auto"/>
              </w:rPr>
            </w:pPr>
            <w:r>
              <w:rPr>
                <w:rFonts w:ascii="Arial" w:cs="Arial" w:eastAsia="Arial" w:hAnsi="Arial"/>
                <w:sz w:val="15"/>
                <w:szCs w:val="15"/>
                <w:color w:val="auto"/>
                <w:w w:val="78"/>
              </w:rPr>
              <w:t>............................................................................................................................................................................................................................................................</w:t>
            </w:r>
          </w:p>
        </w:tc>
        <w:tc>
          <w:tcPr>
            <w:tcW w:w="1920" w:type="dxa"/>
            <w:vAlign w:val="bottom"/>
          </w:tcPr>
          <w:p>
            <w:pPr>
              <w:jc w:val="right"/>
              <w:ind w:right="526"/>
              <w:spacing w:after="0"/>
              <w:rPr>
                <w:sz w:val="20"/>
                <w:szCs w:val="20"/>
                <w:color w:val="auto"/>
              </w:rPr>
            </w:pPr>
            <w:r>
              <w:rPr>
                <w:rFonts w:ascii="Arial" w:cs="Arial" w:eastAsia="Arial" w:hAnsi="Arial"/>
                <w:sz w:val="15"/>
                <w:szCs w:val="15"/>
                <w:color w:val="auto"/>
              </w:rPr>
              <w:t>21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9000" w:type="dxa"/>
            <w:vAlign w:val="bottom"/>
            <w:gridSpan w:val="3"/>
          </w:tcPr>
          <w:p>
            <w:pPr>
              <w:spacing w:after="0"/>
              <w:rPr>
                <w:sz w:val="20"/>
                <w:szCs w:val="20"/>
                <w:color w:val="auto"/>
              </w:rPr>
            </w:pPr>
            <w:r>
              <w:rPr>
                <w:rFonts w:ascii="Arial" w:cs="Arial" w:eastAsia="Arial" w:hAnsi="Arial"/>
                <w:sz w:val="15"/>
                <w:szCs w:val="15"/>
                <w:b w:val="1"/>
                <w:bCs w:val="1"/>
                <w:color w:val="auto"/>
              </w:rPr>
              <w:t>Part II. Other Information</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60" w:type="dxa"/>
            <w:vAlign w:val="bottom"/>
          </w:tcPr>
          <w:p>
            <w:pPr>
              <w:spacing w:after="0"/>
              <w:rPr>
                <w:sz w:val="20"/>
                <w:szCs w:val="20"/>
                <w:color w:val="auto"/>
              </w:rPr>
            </w:pPr>
            <w:r>
              <w:rPr>
                <w:rFonts w:ascii="Arial" w:cs="Arial" w:eastAsia="Arial" w:hAnsi="Arial"/>
                <w:sz w:val="15"/>
                <w:szCs w:val="15"/>
                <w:color w:val="auto"/>
              </w:rPr>
              <w:t>Item 1.</w:t>
            </w:r>
          </w:p>
        </w:tc>
        <w:tc>
          <w:tcPr>
            <w:tcW w:w="40" w:type="dxa"/>
            <w:vAlign w:val="bottom"/>
          </w:tcPr>
          <w:p>
            <w:pPr>
              <w:spacing w:after="0"/>
              <w:rPr>
                <w:sz w:val="24"/>
                <w:szCs w:val="24"/>
                <w:color w:val="auto"/>
              </w:rPr>
            </w:pPr>
          </w:p>
        </w:tc>
        <w:tc>
          <w:tcPr>
            <w:tcW w:w="10220" w:type="dxa"/>
            <w:vAlign w:val="bottom"/>
            <w:gridSpan w:val="2"/>
          </w:tcPr>
          <w:p>
            <w:pPr>
              <w:ind w:left="120"/>
              <w:spacing w:after="0"/>
              <w:rPr>
                <w:sz w:val="20"/>
                <w:szCs w:val="20"/>
                <w:color w:val="auto"/>
              </w:rPr>
            </w:pPr>
            <w:r>
              <w:rPr>
                <w:rFonts w:ascii="Arial" w:cs="Arial" w:eastAsia="Arial" w:hAnsi="Arial"/>
                <w:sz w:val="15"/>
                <w:szCs w:val="15"/>
                <w:color w:val="auto"/>
                <w:w w:val="83"/>
              </w:rPr>
              <w:t>Legal Proceedings...................................................................................................................................................................................................................................................................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20"/>
                <w:szCs w:val="20"/>
                <w:color w:val="auto"/>
              </w:rPr>
            </w:pPr>
            <w:r>
              <w:rPr>
                <w:rFonts w:ascii="Arial" w:cs="Arial" w:eastAsia="Arial" w:hAnsi="Arial"/>
                <w:sz w:val="15"/>
                <w:szCs w:val="15"/>
                <w:color w:val="auto"/>
              </w:rPr>
              <w:t>22</w:t>
            </w:r>
          </w:p>
        </w:tc>
        <w:tc>
          <w:tcPr>
            <w:tcW w:w="4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5"/>
        </w:trPr>
        <w:tc>
          <w:tcPr>
            <w:tcW w:w="660" w:type="dxa"/>
            <w:vAlign w:val="bottom"/>
          </w:tcPr>
          <w:p>
            <w:pPr>
              <w:spacing w:after="0"/>
              <w:rPr>
                <w:sz w:val="20"/>
                <w:szCs w:val="20"/>
                <w:color w:val="auto"/>
              </w:rPr>
            </w:pPr>
            <w:r>
              <w:rPr>
                <w:rFonts w:ascii="Arial" w:cs="Arial" w:eastAsia="Arial" w:hAnsi="Arial"/>
                <w:sz w:val="15"/>
                <w:szCs w:val="15"/>
                <w:color w:val="auto"/>
              </w:rPr>
              <w:t>Item</w:t>
            </w:r>
          </w:p>
        </w:tc>
        <w:tc>
          <w:tcPr>
            <w:tcW w:w="40" w:type="dxa"/>
            <w:vAlign w:val="bottom"/>
          </w:tcPr>
          <w:p>
            <w:pPr>
              <w:spacing w:after="0"/>
              <w:rPr>
                <w:sz w:val="24"/>
                <w:szCs w:val="24"/>
                <w:color w:val="auto"/>
              </w:rPr>
            </w:pPr>
          </w:p>
        </w:tc>
        <w:tc>
          <w:tcPr>
            <w:tcW w:w="8300" w:type="dxa"/>
            <w:vAlign w:val="bottom"/>
          </w:tcPr>
          <w:p>
            <w:pPr>
              <w:ind w:left="3040"/>
              <w:spacing w:after="0"/>
              <w:rPr>
                <w:sz w:val="20"/>
                <w:szCs w:val="20"/>
                <w:color w:val="auto"/>
              </w:rPr>
            </w:pPr>
            <w:r>
              <w:rPr>
                <w:rFonts w:ascii="Arial" w:cs="Arial" w:eastAsia="Arial" w:hAnsi="Arial"/>
                <w:sz w:val="15"/>
                <w:szCs w:val="15"/>
                <w:color w:val="auto"/>
              </w:rPr>
              <w:t>1A.</w:t>
            </w:r>
          </w:p>
        </w:tc>
        <w:tc>
          <w:tcPr>
            <w:tcW w:w="1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Risk</w:t>
            </w:r>
          </w:p>
        </w:tc>
        <w:tc>
          <w:tcPr>
            <w:tcW w:w="0" w:type="dxa"/>
            <w:vAlign w:val="bottom"/>
          </w:tcPr>
          <w:p>
            <w:pPr>
              <w:spacing w:after="0"/>
              <w:rPr>
                <w:sz w:val="1"/>
                <w:szCs w:val="1"/>
                <w:color w:val="auto"/>
              </w:rPr>
            </w:pPr>
          </w:p>
        </w:tc>
      </w:tr>
      <w:tr>
        <w:trPr>
          <w:trHeight w:val="189"/>
        </w:trPr>
        <w:tc>
          <w:tcPr>
            <w:tcW w:w="700" w:type="dxa"/>
            <w:vAlign w:val="bottom"/>
            <w:gridSpan w:val="2"/>
          </w:tcPr>
          <w:p>
            <w:pPr>
              <w:spacing w:after="0"/>
              <w:rPr>
                <w:sz w:val="20"/>
                <w:szCs w:val="20"/>
                <w:color w:val="auto"/>
              </w:rPr>
            </w:pPr>
            <w:r>
              <w:rPr>
                <w:rFonts w:ascii="Arial" w:cs="Arial" w:eastAsia="Arial" w:hAnsi="Arial"/>
                <w:sz w:val="1"/>
                <w:szCs w:val="1"/>
                <w:color w:val="auto"/>
                <w:w w:val="86"/>
              </w:rPr>
              <w:t>Factors .............................................................................................................................................................................................................................................................................</w:t>
            </w:r>
          </w:p>
        </w:tc>
        <w:tc>
          <w:tcPr>
            <w:tcW w:w="8300" w:type="dxa"/>
            <w:vAlign w:val="bottom"/>
          </w:tcPr>
          <w:p>
            <w:pPr>
              <w:spacing w:after="0"/>
              <w:rPr>
                <w:sz w:val="16"/>
                <w:szCs w:val="16"/>
                <w:color w:val="auto"/>
              </w:rPr>
            </w:pPr>
          </w:p>
        </w:tc>
        <w:tc>
          <w:tcPr>
            <w:tcW w:w="1920" w:type="dxa"/>
            <w:vAlign w:val="bottom"/>
          </w:tcPr>
          <w:p>
            <w:pPr>
              <w:jc w:val="right"/>
              <w:ind w:right="86"/>
              <w:spacing w:after="0"/>
              <w:rPr>
                <w:sz w:val="20"/>
                <w:szCs w:val="20"/>
                <w:color w:val="auto"/>
              </w:rPr>
            </w:pPr>
            <w:r>
              <w:rPr>
                <w:rFonts w:ascii="Arial" w:cs="Arial" w:eastAsia="Arial" w:hAnsi="Arial"/>
                <w:sz w:val="15"/>
                <w:szCs w:val="15"/>
                <w:color w:val="auto"/>
              </w:rPr>
              <w:t>22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0"/>
                <w:szCs w:val="20"/>
                <w:color w:val="auto"/>
              </w:rPr>
            </w:pPr>
            <w:r>
              <w:rPr>
                <w:rFonts w:ascii="Arial" w:cs="Arial" w:eastAsia="Arial" w:hAnsi="Arial"/>
                <w:sz w:val="15"/>
                <w:szCs w:val="15"/>
                <w:color w:val="auto"/>
              </w:rPr>
              <w:t>Item 2.</w:t>
            </w:r>
          </w:p>
        </w:tc>
        <w:tc>
          <w:tcPr>
            <w:tcW w:w="40" w:type="dxa"/>
            <w:vAlign w:val="bottom"/>
          </w:tcPr>
          <w:p>
            <w:pPr>
              <w:spacing w:after="0"/>
              <w:rPr>
                <w:sz w:val="24"/>
                <w:szCs w:val="24"/>
                <w:color w:val="auto"/>
              </w:rPr>
            </w:pPr>
          </w:p>
        </w:tc>
        <w:tc>
          <w:tcPr>
            <w:tcW w:w="8300" w:type="dxa"/>
            <w:vAlign w:val="bottom"/>
          </w:tcPr>
          <w:p>
            <w:pPr>
              <w:ind w:left="80"/>
              <w:spacing w:after="0"/>
              <w:rPr>
                <w:sz w:val="20"/>
                <w:szCs w:val="20"/>
                <w:color w:val="auto"/>
              </w:rPr>
            </w:pPr>
            <w:r>
              <w:rPr>
                <w:rFonts w:ascii="Arial" w:cs="Arial" w:eastAsia="Arial" w:hAnsi="Arial"/>
                <w:sz w:val="13"/>
                <w:szCs w:val="13"/>
                <w:color w:val="auto"/>
                <w:w w:val="80"/>
              </w:rPr>
              <w:t>Unregistered Sales of Equity Securities and Use of Proceeds .......................................................................................................................................................................................</w:t>
            </w:r>
          </w:p>
        </w:tc>
        <w:tc>
          <w:tcPr>
            <w:tcW w:w="2460" w:type="dxa"/>
            <w:vAlign w:val="bottom"/>
            <w:gridSpan w:val="2"/>
          </w:tcPr>
          <w:p>
            <w:pPr>
              <w:jc w:val="right"/>
              <w:ind w:right="105"/>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380"/>
        </w:trPr>
        <w:tc>
          <w:tcPr>
            <w:tcW w:w="660" w:type="dxa"/>
            <w:vAlign w:val="bottom"/>
          </w:tcPr>
          <w:p>
            <w:pPr>
              <w:spacing w:after="0"/>
              <w:rPr>
                <w:sz w:val="20"/>
                <w:szCs w:val="20"/>
                <w:color w:val="auto"/>
              </w:rPr>
            </w:pPr>
            <w:r>
              <w:rPr>
                <w:rFonts w:ascii="Arial" w:cs="Arial" w:eastAsia="Arial" w:hAnsi="Arial"/>
                <w:sz w:val="15"/>
                <w:szCs w:val="15"/>
                <w:color w:val="auto"/>
              </w:rPr>
              <w:t>Item 3.</w:t>
            </w:r>
          </w:p>
        </w:tc>
        <w:tc>
          <w:tcPr>
            <w:tcW w:w="40" w:type="dxa"/>
            <w:vAlign w:val="bottom"/>
          </w:tcPr>
          <w:p>
            <w:pPr>
              <w:spacing w:after="0"/>
              <w:rPr>
                <w:sz w:val="24"/>
                <w:szCs w:val="24"/>
                <w:color w:val="auto"/>
              </w:rPr>
            </w:pPr>
          </w:p>
        </w:tc>
        <w:tc>
          <w:tcPr>
            <w:tcW w:w="8300" w:type="dxa"/>
            <w:vAlign w:val="bottom"/>
          </w:tcPr>
          <w:p>
            <w:pPr>
              <w:ind w:left="80"/>
              <w:spacing w:after="0"/>
              <w:rPr>
                <w:sz w:val="20"/>
                <w:szCs w:val="20"/>
                <w:color w:val="auto"/>
              </w:rPr>
            </w:pPr>
            <w:r>
              <w:rPr>
                <w:rFonts w:ascii="Arial" w:cs="Arial" w:eastAsia="Arial" w:hAnsi="Arial"/>
                <w:sz w:val="13"/>
                <w:szCs w:val="13"/>
                <w:color w:val="auto"/>
                <w:w w:val="79"/>
              </w:rPr>
              <w:t>Defaults Upon Senior Securities ........................................................................................................................................................................................................................................</w:t>
            </w:r>
          </w:p>
        </w:tc>
        <w:tc>
          <w:tcPr>
            <w:tcW w:w="246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380"/>
        </w:trPr>
        <w:tc>
          <w:tcPr>
            <w:tcW w:w="660" w:type="dxa"/>
            <w:vAlign w:val="bottom"/>
          </w:tcPr>
          <w:p>
            <w:pPr>
              <w:spacing w:after="0"/>
              <w:rPr>
                <w:sz w:val="20"/>
                <w:szCs w:val="20"/>
                <w:color w:val="auto"/>
              </w:rPr>
            </w:pPr>
            <w:r>
              <w:rPr>
                <w:rFonts w:ascii="Arial" w:cs="Arial" w:eastAsia="Arial" w:hAnsi="Arial"/>
                <w:sz w:val="15"/>
                <w:szCs w:val="15"/>
                <w:color w:val="auto"/>
              </w:rPr>
              <w:t>Item 4.</w:t>
            </w:r>
          </w:p>
        </w:tc>
        <w:tc>
          <w:tcPr>
            <w:tcW w:w="40" w:type="dxa"/>
            <w:vAlign w:val="bottom"/>
          </w:tcPr>
          <w:p>
            <w:pPr>
              <w:spacing w:after="0"/>
              <w:rPr>
                <w:sz w:val="24"/>
                <w:szCs w:val="24"/>
                <w:color w:val="auto"/>
              </w:rPr>
            </w:pPr>
          </w:p>
        </w:tc>
        <w:tc>
          <w:tcPr>
            <w:tcW w:w="8300" w:type="dxa"/>
            <w:vAlign w:val="bottom"/>
          </w:tcPr>
          <w:p>
            <w:pPr>
              <w:ind w:left="80"/>
              <w:spacing w:after="0"/>
              <w:rPr>
                <w:sz w:val="20"/>
                <w:szCs w:val="20"/>
                <w:color w:val="auto"/>
              </w:rPr>
            </w:pPr>
            <w:r>
              <w:rPr>
                <w:rFonts w:ascii="Arial" w:cs="Arial" w:eastAsia="Arial" w:hAnsi="Arial"/>
                <w:sz w:val="15"/>
                <w:szCs w:val="15"/>
                <w:color w:val="auto"/>
                <w:w w:val="70"/>
              </w:rPr>
              <w:t>Submission of Matters to a Vote of Security Holders ....................................................................................................................................................................................................</w:t>
            </w:r>
          </w:p>
        </w:tc>
        <w:tc>
          <w:tcPr>
            <w:tcW w:w="2460" w:type="dxa"/>
            <w:vAlign w:val="bottom"/>
            <w:gridSpan w:val="2"/>
          </w:tcPr>
          <w:p>
            <w:pPr>
              <w:jc w:val="right"/>
              <w:ind w:right="65"/>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376"/>
        </w:trPr>
        <w:tc>
          <w:tcPr>
            <w:tcW w:w="660" w:type="dxa"/>
            <w:vAlign w:val="bottom"/>
          </w:tcPr>
          <w:p>
            <w:pPr>
              <w:spacing w:after="0"/>
              <w:rPr>
                <w:sz w:val="20"/>
                <w:szCs w:val="20"/>
                <w:color w:val="auto"/>
              </w:rPr>
            </w:pPr>
            <w:r>
              <w:rPr>
                <w:rFonts w:ascii="Arial" w:cs="Arial" w:eastAsia="Arial" w:hAnsi="Arial"/>
                <w:sz w:val="15"/>
                <w:szCs w:val="15"/>
                <w:color w:val="auto"/>
              </w:rPr>
              <w:t>Item 5.</w:t>
            </w:r>
          </w:p>
        </w:tc>
        <w:tc>
          <w:tcPr>
            <w:tcW w:w="40" w:type="dxa"/>
            <w:vAlign w:val="bottom"/>
          </w:tcPr>
          <w:p>
            <w:pPr>
              <w:spacing w:after="0"/>
              <w:rPr>
                <w:sz w:val="24"/>
                <w:szCs w:val="24"/>
                <w:color w:val="auto"/>
              </w:rPr>
            </w:pPr>
          </w:p>
        </w:tc>
        <w:tc>
          <w:tcPr>
            <w:tcW w:w="10220" w:type="dxa"/>
            <w:vAlign w:val="bottom"/>
            <w:gridSpan w:val="2"/>
          </w:tcPr>
          <w:p>
            <w:pPr>
              <w:ind w:left="80"/>
              <w:spacing w:after="0"/>
              <w:rPr>
                <w:sz w:val="20"/>
                <w:szCs w:val="20"/>
                <w:color w:val="auto"/>
              </w:rPr>
            </w:pPr>
            <w:r>
              <w:rPr>
                <w:rFonts w:ascii="Arial" w:cs="Arial" w:eastAsia="Arial" w:hAnsi="Arial"/>
                <w:sz w:val="15"/>
                <w:szCs w:val="15"/>
                <w:color w:val="auto"/>
                <w:w w:val="85"/>
              </w:rPr>
              <w:t>Other Information ................................................................................................................................................................................................................................................................</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0" w:type="dxa"/>
            <w:vAlign w:val="bottom"/>
          </w:tcPr>
          <w:p>
            <w:pPr>
              <w:ind w:left="40"/>
              <w:spacing w:after="0"/>
              <w:rPr>
                <w:sz w:val="20"/>
                <w:szCs w:val="20"/>
                <w:color w:val="auto"/>
              </w:rPr>
            </w:pPr>
            <w:r>
              <w:rPr>
                <w:rFonts w:ascii="Arial" w:cs="Arial" w:eastAsia="Arial" w:hAnsi="Arial"/>
                <w:sz w:val="15"/>
                <w:szCs w:val="15"/>
                <w:color w:val="auto"/>
              </w:rPr>
              <w:t>23</w:t>
            </w:r>
          </w:p>
        </w:tc>
        <w:tc>
          <w:tcPr>
            <w:tcW w:w="4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660" w:type="dxa"/>
            <w:vAlign w:val="bottom"/>
          </w:tcPr>
          <w:p>
            <w:pPr>
              <w:spacing w:after="0"/>
              <w:rPr>
                <w:sz w:val="20"/>
                <w:szCs w:val="20"/>
                <w:color w:val="auto"/>
              </w:rPr>
            </w:pPr>
            <w:r>
              <w:rPr>
                <w:rFonts w:ascii="Arial" w:cs="Arial" w:eastAsia="Arial" w:hAnsi="Arial"/>
                <w:sz w:val="15"/>
                <w:szCs w:val="15"/>
                <w:color w:val="auto"/>
              </w:rPr>
              <w:t>Item 6.</w:t>
            </w:r>
          </w:p>
        </w:tc>
        <w:tc>
          <w:tcPr>
            <w:tcW w:w="40" w:type="dxa"/>
            <w:vAlign w:val="bottom"/>
          </w:tcPr>
          <w:p>
            <w:pPr>
              <w:spacing w:after="0"/>
              <w:rPr>
                <w:sz w:val="24"/>
                <w:szCs w:val="24"/>
                <w:color w:val="auto"/>
              </w:rPr>
            </w:pPr>
          </w:p>
        </w:tc>
        <w:tc>
          <w:tcPr>
            <w:tcW w:w="10220" w:type="dxa"/>
            <w:vAlign w:val="bottom"/>
            <w:gridSpan w:val="2"/>
          </w:tcPr>
          <w:p>
            <w:pPr>
              <w:ind w:left="80"/>
              <w:spacing w:after="0"/>
              <w:rPr>
                <w:sz w:val="20"/>
                <w:szCs w:val="20"/>
                <w:color w:val="auto"/>
              </w:rPr>
            </w:pPr>
            <w:r>
              <w:rPr>
                <w:rFonts w:ascii="Arial" w:cs="Arial" w:eastAsia="Arial" w:hAnsi="Arial"/>
                <w:sz w:val="15"/>
                <w:szCs w:val="15"/>
                <w:color w:val="auto"/>
                <w:w w:val="84"/>
              </w:rPr>
              <w:t>Exhibits .................................................................................................................................................................................................................................................................................</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20"/>
                <w:szCs w:val="20"/>
                <w:color w:val="auto"/>
              </w:rPr>
            </w:pPr>
            <w:r>
              <w:rPr>
                <w:rFonts w:ascii="Arial" w:cs="Arial" w:eastAsia="Arial" w:hAnsi="Arial"/>
                <w:sz w:val="15"/>
                <w:szCs w:val="15"/>
                <w:color w:val="auto"/>
              </w:rPr>
              <w:t>23</w:t>
            </w:r>
          </w:p>
        </w:tc>
        <w:tc>
          <w:tcPr>
            <w:tcW w:w="4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Signatures .................................................................................................................................................................................................................................................................................................</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5"/>
          <w:szCs w:val="15"/>
          <w:color w:val="auto"/>
        </w:rPr>
        <w:t>24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729" w:right="219" w:bottom="1440" w:gutter="0" w:footer="0" w:header="0"/>
        </w:sectPr>
      </w:pPr>
    </w:p>
    <w:bookmarkStart w:id="2" w:name="page3"/>
    <w:bookmarkEnd w:id="2"/>
    <w:p>
      <w:pPr>
        <w:ind w:left="1620"/>
        <w:spacing w:after="0"/>
        <w:rPr>
          <w:sz w:val="20"/>
          <w:szCs w:val="20"/>
          <w:color w:val="auto"/>
        </w:rPr>
      </w:pPr>
      <w:r>
        <w:rPr>
          <w:rFonts w:ascii="Arial" w:cs="Arial" w:eastAsia="Arial" w:hAnsi="Arial"/>
          <w:sz w:val="15"/>
          <w:szCs w:val="15"/>
          <w:b w:val="1"/>
          <w:bCs w:val="1"/>
          <w:color w:val="auto"/>
        </w:rPr>
        <w:t>PART I. FINANCIAL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60" w:type="dxa"/>
            <w:vAlign w:val="bottom"/>
          </w:tcPr>
          <w:p>
            <w:pPr>
              <w:ind w:left="540"/>
              <w:spacing w:after="0"/>
              <w:rPr>
                <w:sz w:val="20"/>
                <w:szCs w:val="20"/>
                <w:color w:val="auto"/>
              </w:rPr>
            </w:pPr>
            <w:r>
              <w:rPr>
                <w:rFonts w:ascii="Arial" w:cs="Arial" w:eastAsia="Arial" w:hAnsi="Arial"/>
                <w:sz w:val="15"/>
                <w:szCs w:val="15"/>
                <w:b w:val="1"/>
                <w:bCs w:val="1"/>
                <w:color w:val="auto"/>
              </w:rPr>
              <w:t>Item 1. Financial Statements</w:t>
            </w:r>
          </w:p>
        </w:tc>
        <w:tc>
          <w:tcPr>
            <w:tcW w:w="2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Pr>
          <w:p>
            <w:pPr>
              <w:jc w:val="center"/>
              <w:ind w:right="205"/>
              <w:spacing w:after="0"/>
              <w:rPr>
                <w:sz w:val="20"/>
                <w:szCs w:val="20"/>
                <w:color w:val="auto"/>
              </w:rPr>
            </w:pPr>
            <w:r>
              <w:rPr>
                <w:rFonts w:ascii="Arial" w:cs="Arial" w:eastAsia="Arial" w:hAnsi="Arial"/>
                <w:sz w:val="15"/>
                <w:szCs w:val="15"/>
                <w:b w:val="1"/>
                <w:bCs w:val="1"/>
                <w:color w:val="auto"/>
                <w:w w:val="96"/>
              </w:rPr>
              <w:t>NN, Inc.</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4660" w:type="dxa"/>
            <w:vAlign w:val="bottom"/>
            <w:gridSpan w:val="6"/>
          </w:tcPr>
          <w:p>
            <w:pPr>
              <w:jc w:val="center"/>
              <w:ind w:left="165"/>
              <w:spacing w:after="0"/>
              <w:rPr>
                <w:sz w:val="20"/>
                <w:szCs w:val="20"/>
                <w:color w:val="auto"/>
              </w:rPr>
            </w:pPr>
            <w:r>
              <w:rPr>
                <w:rFonts w:ascii="Arial" w:cs="Arial" w:eastAsia="Arial" w:hAnsi="Arial"/>
                <w:sz w:val="15"/>
                <w:szCs w:val="15"/>
                <w:b w:val="1"/>
                <w:bCs w:val="1"/>
                <w:color w:val="auto"/>
                <w:w w:val="88"/>
              </w:rPr>
              <w:t>Consolidated Statements of Income and Comprehensive Income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20" w:type="dxa"/>
            <w:vAlign w:val="bottom"/>
            <w:gridSpan w:val="2"/>
          </w:tcPr>
          <w:p>
            <w:pPr>
              <w:jc w:val="center"/>
              <w:ind w:left="1805"/>
              <w:spacing w:after="0"/>
              <w:rPr>
                <w:sz w:val="20"/>
                <w:szCs w:val="20"/>
                <w:color w:val="auto"/>
              </w:rPr>
            </w:pPr>
            <w:r>
              <w:rPr>
                <w:rFonts w:ascii="Arial" w:cs="Arial" w:eastAsia="Arial" w:hAnsi="Arial"/>
                <w:sz w:val="15"/>
                <w:szCs w:val="15"/>
                <w:b w:val="1"/>
                <w:bCs w:val="1"/>
                <w:color w:val="auto"/>
                <w:w w:val="93"/>
              </w:rPr>
              <w:t>(Unaudited)</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20" w:type="dxa"/>
            <w:vAlign w:val="bottom"/>
            <w:gridSpan w:val="4"/>
          </w:tcPr>
          <w:p>
            <w:pPr>
              <w:ind w:left="760"/>
              <w:spacing w:after="0"/>
              <w:rPr>
                <w:sz w:val="20"/>
                <w:szCs w:val="20"/>
                <w:color w:val="auto"/>
              </w:rPr>
            </w:pPr>
            <w:r>
              <w:rPr>
                <w:rFonts w:ascii="Arial" w:cs="Arial" w:eastAsia="Arial" w:hAnsi="Arial"/>
                <w:sz w:val="15"/>
                <w:szCs w:val="15"/>
                <w:b w:val="1"/>
                <w:bCs w:val="1"/>
                <w:color w:val="auto"/>
                <w:w w:val="90"/>
              </w:rPr>
              <w:t>Three Months Ended</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4"/>
          </w:tcPr>
          <w:p>
            <w:pPr>
              <w:ind w:left="780"/>
              <w:spacing w:after="0"/>
              <w:rPr>
                <w:sz w:val="20"/>
                <w:szCs w:val="20"/>
                <w:color w:val="auto"/>
              </w:rPr>
            </w:pPr>
            <w:r>
              <w:rPr>
                <w:rFonts w:ascii="Arial" w:cs="Arial" w:eastAsia="Arial" w:hAnsi="Arial"/>
                <w:sz w:val="15"/>
                <w:szCs w:val="15"/>
                <w:b w:val="1"/>
                <w:bCs w:val="1"/>
                <w:color w:val="auto"/>
                <w:w w:val="98"/>
              </w:rPr>
              <w:t>Six Months Ended</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3"/>
          </w:tcPr>
          <w:p>
            <w:pPr>
              <w:ind w:left="300"/>
              <w:spacing w:after="0"/>
              <w:rPr>
                <w:sz w:val="20"/>
                <w:szCs w:val="20"/>
                <w:color w:val="auto"/>
              </w:rPr>
            </w:pPr>
            <w:r>
              <w:rPr>
                <w:rFonts w:ascii="Arial" w:cs="Arial" w:eastAsia="Arial" w:hAnsi="Arial"/>
                <w:sz w:val="15"/>
                <w:szCs w:val="15"/>
                <w:b w:val="1"/>
                <w:bCs w:val="1"/>
                <w:color w:val="auto"/>
              </w:rPr>
              <w:t>June 30,</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3"/>
          </w:tcPr>
          <w:p>
            <w:pPr>
              <w:ind w:left="260"/>
              <w:spacing w:after="0"/>
              <w:rPr>
                <w:sz w:val="20"/>
                <w:szCs w:val="20"/>
                <w:color w:val="auto"/>
              </w:rPr>
            </w:pPr>
            <w:r>
              <w:rPr>
                <w:rFonts w:ascii="Arial" w:cs="Arial" w:eastAsia="Arial" w:hAnsi="Arial"/>
                <w:sz w:val="15"/>
                <w:szCs w:val="15"/>
                <w:b w:val="1"/>
                <w:bCs w:val="1"/>
                <w:color w:val="auto"/>
              </w:rPr>
              <w:t>June 30,</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3280" w:type="dxa"/>
            <w:vAlign w:val="bottom"/>
            <w:gridSpan w:val="2"/>
          </w:tcPr>
          <w:p>
            <w:pPr>
              <w:spacing w:after="0"/>
              <w:rPr>
                <w:sz w:val="20"/>
                <w:szCs w:val="20"/>
                <w:color w:val="auto"/>
              </w:rPr>
            </w:pPr>
            <w:r>
              <w:rPr>
                <w:rFonts w:ascii="Arial" w:cs="Arial" w:eastAsia="Arial" w:hAnsi="Arial"/>
                <w:sz w:val="15"/>
                <w:szCs w:val="15"/>
                <w:color w:val="auto"/>
              </w:rPr>
              <w:t>(Thousands of Dollars, Except Per Share Data)</w:t>
            </w:r>
          </w:p>
        </w:tc>
        <w:tc>
          <w:tcPr>
            <w:tcW w:w="3020" w:type="dxa"/>
            <w:vAlign w:val="bottom"/>
            <w:gridSpan w:val="2"/>
          </w:tcPr>
          <w:p>
            <w:pPr>
              <w:jc w:val="right"/>
              <w:spacing w:after="0"/>
              <w:rPr>
                <w:sz w:val="20"/>
                <w:szCs w:val="20"/>
                <w:color w:val="auto"/>
              </w:rPr>
            </w:pPr>
            <w:r>
              <w:rPr>
                <w:rFonts w:ascii="Arial" w:cs="Arial" w:eastAsia="Arial" w:hAnsi="Arial"/>
                <w:sz w:val="15"/>
                <w:szCs w:val="15"/>
                <w:b w:val="1"/>
                <w:bCs w:val="1"/>
                <w:color w:val="auto"/>
              </w:rPr>
              <w:t>2007</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83"/>
              </w:rPr>
              <w:t>2006</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2007</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2006</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3760" w:type="dxa"/>
            <w:vAlign w:val="bottom"/>
            <w:tcBorders>
              <w:top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$ 107,302</w:t>
            </w:r>
          </w:p>
        </w:tc>
        <w:tc>
          <w:tcPr>
            <w:tcW w:w="5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83,554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8"/>
              </w:rPr>
              <w:t>215,246</w:t>
            </w:r>
          </w:p>
        </w:tc>
        <w:tc>
          <w:tcPr>
            <w:tcW w:w="4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$ 169,571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spacing w:after="0" w:line="169" w:lineRule="exact"/>
              <w:rPr>
                <w:sz w:val="20"/>
                <w:szCs w:val="20"/>
                <w:color w:val="auto"/>
              </w:rPr>
            </w:pPr>
            <w:r>
              <w:rPr>
                <w:rFonts w:ascii="Arial" w:cs="Arial" w:eastAsia="Arial" w:hAnsi="Arial"/>
                <w:sz w:val="15"/>
                <w:szCs w:val="15"/>
                <w:color w:val="auto"/>
              </w:rPr>
              <w:t>Cost of products sold (exclusive of depreciation</w:t>
            </w:r>
          </w:p>
        </w:tc>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tcPr>
          <w:p>
            <w:pPr>
              <w:ind w:left="140"/>
              <w:spacing w:after="0"/>
              <w:rPr>
                <w:sz w:val="20"/>
                <w:szCs w:val="20"/>
                <w:color w:val="auto"/>
              </w:rPr>
            </w:pPr>
            <w:r>
              <w:rPr>
                <w:rFonts w:ascii="Arial" w:cs="Arial" w:eastAsia="Arial" w:hAnsi="Arial"/>
                <w:sz w:val="15"/>
                <w:szCs w:val="15"/>
                <w:color w:val="auto"/>
              </w:rPr>
              <w:t>and amortization shown separately below)</w:t>
            </w:r>
          </w:p>
        </w:tc>
        <w:tc>
          <w:tcPr>
            <w:tcW w:w="2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95"/>
              </w:rPr>
              <w:t>85,929</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64,905</w:t>
            </w:r>
          </w:p>
        </w:tc>
        <w:tc>
          <w:tcPr>
            <w:tcW w:w="84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w w:val="88"/>
              </w:rPr>
              <w:t>171,010</w:t>
            </w:r>
          </w:p>
        </w:tc>
        <w:tc>
          <w:tcPr>
            <w:tcW w:w="46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5"/>
                <w:szCs w:val="15"/>
                <w:color w:val="auto"/>
              </w:rPr>
              <w:t>130,904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2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9,558</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7,063</w:t>
            </w:r>
          </w:p>
        </w:tc>
        <w:tc>
          <w:tcPr>
            <w:tcW w:w="8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18,983</w:t>
            </w: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14,744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2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5,658</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4,425</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11,180</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impairment charges</w:t>
            </w:r>
          </w:p>
        </w:tc>
        <w:tc>
          <w:tcPr>
            <w:tcW w:w="2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15,269</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15,269</w:t>
            </w: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(Gain) loss on disposal of assets</w:t>
            </w:r>
          </w:p>
        </w:tc>
        <w:tc>
          <w:tcPr>
            <w:tcW w:w="2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2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shd w:val="clear" w:color="auto" w:fill="CCEEFF"/>
          </w:tcPr>
          <w:p>
            <w:pPr>
              <w:ind w:left="60"/>
              <w:spacing w:after="0"/>
              <w:rPr>
                <w:sz w:val="20"/>
                <w:szCs w:val="20"/>
                <w:color w:val="auto"/>
              </w:rPr>
            </w:pPr>
            <w:r>
              <w:rPr>
                <w:rFonts w:ascii="Arial" w:cs="Arial" w:eastAsia="Arial" w:hAnsi="Arial"/>
                <w:sz w:val="15"/>
                <w:szCs w:val="15"/>
                <w:color w:val="auto"/>
              </w:rPr>
              <w:t>Income (loss) from operations</w:t>
            </w:r>
          </w:p>
        </w:tc>
        <w:tc>
          <w:tcPr>
            <w:tcW w:w="2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2"/>
              </w:rPr>
              <w:t>(9,106)</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7,157</w:t>
            </w:r>
          </w:p>
        </w:tc>
        <w:tc>
          <w:tcPr>
            <w:tcW w:w="8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(1,185)</w:t>
            </w: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16,062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1,630</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1,021</w:t>
            </w:r>
          </w:p>
        </w:tc>
        <w:tc>
          <w:tcPr>
            <w:tcW w:w="8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3,325</w:t>
            </w: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2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2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w:t>
            </w:r>
          </w:p>
        </w:tc>
        <w:tc>
          <w:tcPr>
            <w:tcW w:w="2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for income taxes</w:t>
            </w:r>
          </w:p>
        </w:tc>
        <w:tc>
          <w:tcPr>
            <w:tcW w:w="3760" w:type="dxa"/>
            <w:vAlign w:val="bottom"/>
            <w:gridSpan w:val="4"/>
            <w:shd w:val="clear" w:color="auto" w:fill="CCEEFF"/>
          </w:tcPr>
          <w:p>
            <w:pPr>
              <w:jc w:val="right"/>
              <w:ind w:right="280"/>
              <w:spacing w:after="0"/>
              <w:rPr>
                <w:sz w:val="20"/>
                <w:szCs w:val="20"/>
                <w:color w:val="auto"/>
              </w:rPr>
            </w:pPr>
            <w:r>
              <w:rPr>
                <w:rFonts w:ascii="Arial" w:cs="Arial" w:eastAsia="Arial" w:hAnsi="Arial"/>
                <w:sz w:val="15"/>
                <w:szCs w:val="15"/>
                <w:color w:val="auto"/>
              </w:rPr>
              <w:t>(10,714)</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5,687</w:t>
            </w:r>
          </w:p>
        </w:tc>
        <w:tc>
          <w:tcPr>
            <w:tcW w:w="8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(4,513)</w:t>
            </w: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13,815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1,104</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2,234</w:t>
            </w:r>
          </w:p>
        </w:tc>
        <w:tc>
          <w:tcPr>
            <w:tcW w:w="84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3,550</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320" w:type="dxa"/>
            <w:vAlign w:val="bottom"/>
            <w:tcBorders>
              <w:top w:val="single" w:sz="8" w:color="auto"/>
            </w:tcBorders>
            <w:gridSpan w:val="2"/>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ind w:left="140"/>
              <w:spacing w:after="0"/>
              <w:rPr>
                <w:sz w:val="20"/>
                <w:szCs w:val="20"/>
                <w:color w:val="auto"/>
              </w:rPr>
            </w:pPr>
            <w:r>
              <w:rPr>
                <w:rFonts w:ascii="Arial" w:cs="Arial" w:eastAsia="Arial" w:hAnsi="Arial"/>
                <w:sz w:val="15"/>
                <w:szCs w:val="15"/>
                <w:color w:val="auto"/>
              </w:rPr>
              <w:t>Net income (loss)</w:t>
            </w:r>
          </w:p>
        </w:tc>
        <w:tc>
          <w:tcPr>
            <w:tcW w:w="3480" w:type="dxa"/>
            <w:vAlign w:val="bottom"/>
            <w:gridSpan w:val="3"/>
          </w:tcPr>
          <w:p>
            <w:pPr>
              <w:jc w:val="right"/>
              <w:spacing w:after="0"/>
              <w:rPr>
                <w:sz w:val="20"/>
                <w:szCs w:val="20"/>
                <w:color w:val="auto"/>
              </w:rPr>
            </w:pPr>
            <w:r>
              <w:rPr>
                <w:rFonts w:ascii="Arial" w:cs="Arial" w:eastAsia="Arial" w:hAnsi="Arial"/>
                <w:sz w:val="15"/>
                <w:szCs w:val="15"/>
                <w:color w:val="auto"/>
              </w:rPr>
              <w:t>(11,818)</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3,453</w:t>
            </w:r>
          </w:p>
        </w:tc>
        <w:tc>
          <w:tcPr>
            <w:tcW w:w="84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(8,063)</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8,715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2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Foreign currency translation gain</w:t>
            </w:r>
          </w:p>
        </w:tc>
        <w:tc>
          <w:tcPr>
            <w:tcW w:w="2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1,351</w:t>
            </w: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5,414</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3,427</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ind w:left="180"/>
              <w:spacing w:after="0"/>
              <w:rPr>
                <w:sz w:val="20"/>
                <w:szCs w:val="20"/>
                <w:color w:val="auto"/>
              </w:rPr>
            </w:pPr>
            <w:r>
              <w:rPr>
                <w:rFonts w:ascii="Arial" w:cs="Arial" w:eastAsia="Arial" w:hAnsi="Arial"/>
                <w:sz w:val="15"/>
                <w:szCs w:val="15"/>
                <w:color w:val="auto"/>
              </w:rPr>
              <w:t>Comprehensive income</w:t>
            </w:r>
          </w:p>
        </w:tc>
        <w:tc>
          <w:tcPr>
            <w:tcW w:w="3760" w:type="dxa"/>
            <w:vAlign w:val="bottom"/>
            <w:gridSpan w:val="4"/>
          </w:tcPr>
          <w:p>
            <w:pPr>
              <w:jc w:val="right"/>
              <w:ind w:right="280"/>
              <w:spacing w:after="0"/>
              <w:rPr>
                <w:sz w:val="20"/>
                <w:szCs w:val="20"/>
                <w:color w:val="auto"/>
              </w:rPr>
            </w:pPr>
            <w:r>
              <w:rPr>
                <w:rFonts w:ascii="Arial" w:cs="Arial" w:eastAsia="Arial" w:hAnsi="Arial"/>
                <w:sz w:val="15"/>
                <w:szCs w:val="15"/>
                <w:color w:val="auto"/>
              </w:rPr>
              <w:t>$ (10,467)</w:t>
            </w: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8,867</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(4,636)</w:t>
            </w:r>
          </w:p>
        </w:tc>
        <w:tc>
          <w:tcPr>
            <w:tcW w:w="4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$ 16,359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80" w:type="dxa"/>
            <w:vAlign w:val="bottom"/>
            <w:gridSpan w:val="2"/>
          </w:tcPr>
          <w:p>
            <w:pPr>
              <w:spacing w:after="0"/>
              <w:rPr>
                <w:sz w:val="15"/>
                <w:szCs w:val="15"/>
                <w:color w:val="auto"/>
              </w:rPr>
            </w:pPr>
          </w:p>
        </w:tc>
        <w:tc>
          <w:tcPr>
            <w:tcW w:w="2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Basic income (loss) per common share:</w:t>
            </w:r>
          </w:p>
        </w:tc>
        <w:tc>
          <w:tcPr>
            <w:tcW w:w="3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(0.70)</w:t>
            </w: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0.20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(0.48)</w:t>
            </w:r>
          </w:p>
        </w:tc>
        <w:tc>
          <w:tcPr>
            <w:tcW w:w="4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5"/>
                <w:szCs w:val="15"/>
                <w:color w:val="auto"/>
              </w:rPr>
              <w:t>Weighted average shares outstanding</w:t>
            </w:r>
          </w:p>
        </w:tc>
        <w:tc>
          <w:tcPr>
            <w:tcW w:w="2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95"/>
              </w:rPr>
              <w:t>16,815</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17,157</w:t>
            </w:r>
          </w:p>
        </w:tc>
        <w:tc>
          <w:tcPr>
            <w:tcW w:w="84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16,814</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17,153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80" w:type="dxa"/>
            <w:vAlign w:val="bottom"/>
            <w:gridSpan w:val="2"/>
          </w:tcPr>
          <w:p>
            <w:pPr>
              <w:spacing w:after="0"/>
              <w:rPr>
                <w:sz w:val="15"/>
                <w:szCs w:val="15"/>
                <w:color w:val="auto"/>
              </w:rPr>
            </w:pPr>
          </w:p>
        </w:tc>
        <w:tc>
          <w:tcPr>
            <w:tcW w:w="2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Diluted income (loss) per common share:</w:t>
            </w:r>
          </w:p>
        </w:tc>
        <w:tc>
          <w:tcPr>
            <w:tcW w:w="3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(0.69)</w:t>
            </w: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0.20</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(0.47)</w:t>
            </w:r>
          </w:p>
        </w:tc>
        <w:tc>
          <w:tcPr>
            <w:tcW w:w="4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5"/>
                <w:szCs w:val="15"/>
                <w:color w:val="auto"/>
              </w:rPr>
              <w:t>Weighted average shares outstanding</w:t>
            </w:r>
          </w:p>
        </w:tc>
        <w:tc>
          <w:tcPr>
            <w:tcW w:w="2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95"/>
              </w:rPr>
              <w:t>17,028</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17,369</w:t>
            </w:r>
          </w:p>
        </w:tc>
        <w:tc>
          <w:tcPr>
            <w:tcW w:w="84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17,031</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17,365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Cash dividends per common share</w:t>
            </w:r>
          </w:p>
        </w:tc>
        <w:tc>
          <w:tcPr>
            <w:tcW w:w="3020" w:type="dxa"/>
            <w:vAlign w:val="bottom"/>
            <w:gridSpan w:val="2"/>
          </w:tcPr>
          <w:p>
            <w:pPr>
              <w:ind w:left="2920"/>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0.08</w:t>
            </w: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0.08</w:t>
            </w:r>
          </w:p>
        </w:tc>
        <w:tc>
          <w:tcPr>
            <w:tcW w:w="840" w:type="dxa"/>
            <w:vAlign w:val="bottom"/>
          </w:tcPr>
          <w:p>
            <w:pPr>
              <w:ind w:left="780"/>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0.16</w:t>
            </w:r>
          </w:p>
        </w:tc>
        <w:tc>
          <w:tcPr>
            <w:tcW w:w="4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326"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NN,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380" w:type="dxa"/>
            <w:vAlign w:val="bottom"/>
          </w:tcPr>
          <w:p>
            <w:pPr>
              <w:jc w:val="center"/>
              <w:ind w:left="625"/>
              <w:spacing w:after="0"/>
              <w:rPr>
                <w:sz w:val="20"/>
                <w:szCs w:val="20"/>
                <w:color w:val="auto"/>
              </w:rPr>
            </w:pPr>
            <w:r>
              <w:rPr>
                <w:rFonts w:ascii="Arial" w:cs="Arial" w:eastAsia="Arial" w:hAnsi="Arial"/>
                <w:sz w:val="15"/>
                <w:szCs w:val="15"/>
                <w:b w:val="1"/>
                <w:bCs w:val="1"/>
                <w:color w:val="auto"/>
                <w:w w:val="86"/>
              </w:rPr>
              <w:t>June 30,</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December 31,</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rPr>
                <w:sz w:val="20"/>
                <w:szCs w:val="20"/>
                <w:color w:val="auto"/>
              </w:rPr>
            </w:pPr>
            <w:r>
              <w:rPr>
                <w:rFonts w:ascii="Arial" w:cs="Arial" w:eastAsia="Arial" w:hAnsi="Arial"/>
                <w:sz w:val="15"/>
                <w:szCs w:val="15"/>
                <w:color w:val="auto"/>
              </w:rPr>
              <w:t>(Thousands of Dollars)</w:t>
            </w:r>
          </w:p>
        </w:tc>
        <w:tc>
          <w:tcPr>
            <w:tcW w:w="4600" w:type="dxa"/>
            <w:vAlign w:val="bottom"/>
            <w:gridSpan w:val="2"/>
          </w:tcPr>
          <w:p>
            <w:pPr>
              <w:jc w:val="right"/>
              <w:ind w:right="125"/>
              <w:spacing w:after="0"/>
              <w:rPr>
                <w:sz w:val="20"/>
                <w:szCs w:val="20"/>
                <w:color w:val="auto"/>
              </w:rPr>
            </w:pPr>
            <w:r>
              <w:rPr>
                <w:rFonts w:ascii="Arial" w:cs="Arial" w:eastAsia="Arial" w:hAnsi="Arial"/>
                <w:sz w:val="15"/>
                <w:szCs w:val="15"/>
                <w:b w:val="1"/>
                <w:bCs w:val="1"/>
                <w:color w:val="auto"/>
              </w:rPr>
              <w:t>2007</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225"/>
              <w:spacing w:after="0"/>
              <w:rPr>
                <w:sz w:val="20"/>
                <w:szCs w:val="20"/>
                <w:color w:val="auto"/>
              </w:rPr>
            </w:pPr>
            <w:r>
              <w:rPr>
                <w:rFonts w:ascii="Arial" w:cs="Arial" w:eastAsia="Arial" w:hAnsi="Arial"/>
                <w:sz w:val="15"/>
                <w:szCs w:val="15"/>
                <w:b w:val="1"/>
                <w:bCs w:val="1"/>
                <w:color w:val="auto"/>
              </w:rPr>
              <w:t>2006</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32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Current assets:</w:t>
            </w:r>
          </w:p>
        </w:tc>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5"/>
                <w:szCs w:val="15"/>
                <w:color w:val="auto"/>
              </w:rPr>
              <w:t>Cash and cash equivalents</w:t>
            </w: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ind w:left="60"/>
              <w:spacing w:after="0"/>
              <w:rPr>
                <w:sz w:val="20"/>
                <w:szCs w:val="20"/>
                <w:color w:val="auto"/>
              </w:rPr>
            </w:pPr>
            <w:r>
              <w:rPr>
                <w:rFonts w:ascii="Arial" w:cs="Arial" w:eastAsia="Arial" w:hAnsi="Arial"/>
                <w:sz w:val="15"/>
                <w:szCs w:val="15"/>
                <w:color w:val="auto"/>
                <w:w w:val="90"/>
              </w:rPr>
              <w:t>Accounts receivable, net of allowances of $1,315 and $1,278,</w:t>
            </w:r>
          </w:p>
        </w:tc>
        <w:tc>
          <w:tcPr>
            <w:tcW w:w="4600" w:type="dxa"/>
            <w:vAlign w:val="bottom"/>
            <w:gridSpan w:val="2"/>
          </w:tcPr>
          <w:p>
            <w:pPr>
              <w:ind w:left="40"/>
              <w:spacing w:after="0"/>
              <w:rPr>
                <w:sz w:val="20"/>
                <w:szCs w:val="20"/>
                <w:color w:val="auto"/>
              </w:rPr>
            </w:pPr>
            <w:r>
              <w:rPr>
                <w:rFonts w:ascii="Arial" w:cs="Arial" w:eastAsia="Arial" w:hAnsi="Arial"/>
                <w:sz w:val="15"/>
                <w:szCs w:val="15"/>
                <w:color w:val="auto"/>
              </w:rPr>
              <w:t>respectively</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74,267</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63,442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5"/>
                <w:szCs w:val="15"/>
                <w:color w:val="auto"/>
              </w:rPr>
              <w:t>Inventories, net</w:t>
            </w: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45,273</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ind w:left="60"/>
              <w:spacing w:after="0"/>
              <w:rPr>
                <w:sz w:val="20"/>
                <w:szCs w:val="20"/>
                <w:color w:val="auto"/>
              </w:rPr>
            </w:pPr>
            <w:r>
              <w:rPr>
                <w:rFonts w:ascii="Arial" w:cs="Arial" w:eastAsia="Arial" w:hAnsi="Arial"/>
                <w:sz w:val="15"/>
                <w:szCs w:val="15"/>
                <w:color w:val="auto"/>
              </w:rPr>
              <w:t>Other current assets</w:t>
            </w:r>
          </w:p>
        </w:tc>
        <w:tc>
          <w:tcPr>
            <w:tcW w:w="32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8,448</w:t>
            </w:r>
          </w:p>
        </w:tc>
        <w:tc>
          <w:tcPr>
            <w:tcW w:w="4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assets</w:t>
            </w: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140,808</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125,864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152,369</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156,447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Goodwill, net</w:t>
            </w:r>
          </w:p>
        </w:tc>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36,523</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46,147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7,804</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Other assets</w:t>
            </w:r>
          </w:p>
        </w:tc>
        <w:tc>
          <w:tcPr>
            <w:tcW w:w="32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4,884</w:t>
            </w:r>
          </w:p>
        </w:tc>
        <w:tc>
          <w:tcPr>
            <w:tcW w:w="4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assets</w:t>
            </w:r>
          </w:p>
        </w:tc>
        <w:tc>
          <w:tcPr>
            <w:tcW w:w="3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342,388</w:t>
            </w: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342,701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Current liabilities:</w:t>
            </w:r>
          </w:p>
        </w:tc>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Accounts payable</w:t>
            </w: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49,782</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ind w:left="60"/>
              <w:spacing w:after="0"/>
              <w:rPr>
                <w:sz w:val="20"/>
                <w:szCs w:val="20"/>
                <w:color w:val="auto"/>
              </w:rPr>
            </w:pPr>
            <w:r>
              <w:rPr>
                <w:rFonts w:ascii="Arial" w:cs="Arial" w:eastAsia="Arial" w:hAnsi="Arial"/>
                <w:sz w:val="15"/>
                <w:szCs w:val="15"/>
                <w:color w:val="auto"/>
              </w:rPr>
              <w:t>Accrued salaries, wages and benefits</w:t>
            </w:r>
          </w:p>
        </w:tc>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14,886</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13,519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5"/>
                <w:szCs w:val="15"/>
                <w:color w:val="auto"/>
              </w:rPr>
              <w:t>Income taxes</w:t>
            </w: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ind w:left="60"/>
              <w:spacing w:after="0"/>
              <w:rPr>
                <w:sz w:val="20"/>
                <w:szCs w:val="20"/>
                <w:color w:val="auto"/>
              </w:rPr>
            </w:pPr>
            <w:r>
              <w:rPr>
                <w:rFonts w:ascii="Arial" w:cs="Arial" w:eastAsia="Arial" w:hAnsi="Arial"/>
                <w:sz w:val="15"/>
                <w:szCs w:val="15"/>
                <w:color w:val="auto"/>
              </w:rPr>
              <w:t>Current maturities of long-term debt</w:t>
            </w:r>
          </w:p>
        </w:tc>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9,054</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Other current liabilities</w:t>
            </w:r>
          </w:p>
        </w:tc>
        <w:tc>
          <w:tcPr>
            <w:tcW w:w="3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8,168</w:t>
            </w:r>
          </w:p>
        </w:tc>
        <w:tc>
          <w:tcPr>
            <w:tcW w:w="4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5"/>
                <w:szCs w:val="15"/>
                <w:color w:val="auto"/>
              </w:rPr>
              <w:t>Total current liabilities</w:t>
            </w:r>
          </w:p>
        </w:tc>
        <w:tc>
          <w:tcPr>
            <w:tcW w:w="3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82,720</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74,869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76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Non-current deferred tax liability</w:t>
            </w:r>
          </w:p>
        </w:tc>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16,926</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16,334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Long-term debt</w:t>
            </w: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97,493</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Related party debt</w:t>
            </w:r>
          </w:p>
        </w:tc>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2,667</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21,305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Accrued pension and other</w:t>
            </w:r>
          </w:p>
        </w:tc>
        <w:tc>
          <w:tcPr>
            <w:tcW w:w="3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16,685</w:t>
            </w:r>
          </w:p>
        </w:tc>
        <w:tc>
          <w:tcPr>
            <w:tcW w:w="4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ind w:left="180"/>
              <w:spacing w:after="0"/>
              <w:rPr>
                <w:sz w:val="20"/>
                <w:szCs w:val="20"/>
                <w:color w:val="auto"/>
              </w:rPr>
            </w:pPr>
            <w:r>
              <w:rPr>
                <w:rFonts w:ascii="Arial" w:cs="Arial" w:eastAsia="Arial" w:hAnsi="Arial"/>
                <w:sz w:val="15"/>
                <w:szCs w:val="15"/>
                <w:color w:val="auto"/>
              </w:rPr>
              <w:t>Total liabilities</w:t>
            </w:r>
          </w:p>
        </w:tc>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216,491</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2"/>
              </w:rPr>
              <w:t>209,532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76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32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125,897</w:t>
            </w:r>
          </w:p>
        </w:tc>
        <w:tc>
          <w:tcPr>
            <w:tcW w:w="4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133,169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76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32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342,388</w:t>
            </w:r>
          </w:p>
        </w:tc>
        <w:tc>
          <w:tcPr>
            <w:tcW w:w="440" w:type="dxa"/>
            <w:vAlign w:val="bottom"/>
          </w:tcPr>
          <w:p>
            <w:pPr>
              <w:spacing w:after="0"/>
              <w:rPr>
                <w:sz w:val="15"/>
                <w:szCs w:val="15"/>
                <w:color w:val="auto"/>
              </w:rPr>
            </w:pPr>
          </w:p>
        </w:tc>
        <w:tc>
          <w:tcPr>
            <w:tcW w:w="14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342,701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326"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NN,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b w:val="1"/>
                <w:bCs w:val="1"/>
                <w:color w:val="auto"/>
                <w:w w:val="90"/>
              </w:rPr>
              <w:t>Common Stock</w:t>
            </w:r>
          </w:p>
        </w:tc>
        <w:tc>
          <w:tcPr>
            <w:tcW w:w="10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4"/>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jc w:val="center"/>
              <w:ind w:right="225"/>
              <w:spacing w:after="0" w:line="164" w:lineRule="exact"/>
              <w:rPr>
                <w:sz w:val="20"/>
                <w:szCs w:val="20"/>
                <w:color w:val="auto"/>
              </w:rPr>
            </w:pPr>
            <w:r>
              <w:rPr>
                <w:rFonts w:ascii="Arial" w:cs="Arial" w:eastAsia="Arial" w:hAnsi="Arial"/>
                <w:sz w:val="15"/>
                <w:szCs w:val="15"/>
                <w:b w:val="1"/>
                <w:bCs w:val="1"/>
                <w:color w:val="auto"/>
                <w:w w:val="89"/>
              </w:rPr>
              <w:t>Accumulated</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160" w:type="dxa"/>
            <w:vAlign w:val="bottom"/>
          </w:tcPr>
          <w:p>
            <w:pPr>
              <w:jc w:val="right"/>
              <w:ind w:right="246"/>
              <w:spacing w:after="0"/>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320" w:type="dxa"/>
            <w:vAlign w:val="bottom"/>
          </w:tcPr>
          <w:p>
            <w:pPr>
              <w:spacing w:after="0"/>
              <w:rPr>
                <w:sz w:val="15"/>
                <w:szCs w:val="15"/>
                <w:color w:val="auto"/>
              </w:rPr>
            </w:pPr>
          </w:p>
        </w:tc>
        <w:tc>
          <w:tcPr>
            <w:tcW w:w="1620" w:type="dxa"/>
            <w:vAlign w:val="bottom"/>
          </w:tcPr>
          <w:p>
            <w:pPr>
              <w:jc w:val="center"/>
              <w:ind w:right="205"/>
              <w:spacing w:after="0"/>
              <w:rPr>
                <w:sz w:val="20"/>
                <w:szCs w:val="20"/>
                <w:color w:val="auto"/>
              </w:rPr>
            </w:pPr>
            <w:r>
              <w:rPr>
                <w:rFonts w:ascii="Arial" w:cs="Arial" w:eastAsia="Arial" w:hAnsi="Arial"/>
                <w:sz w:val="15"/>
                <w:szCs w:val="15"/>
                <w:b w:val="1"/>
                <w:bCs w:val="1"/>
                <w:color w:val="auto"/>
                <w:w w:val="94"/>
              </w:rPr>
              <w:t>Other</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jc w:val="right"/>
              <w:ind w:right="446"/>
              <w:spacing w:after="0"/>
              <w:rPr>
                <w:sz w:val="20"/>
                <w:szCs w:val="20"/>
                <w:color w:val="auto"/>
              </w:rPr>
            </w:pPr>
            <w:r>
              <w:rPr>
                <w:rFonts w:ascii="Arial" w:cs="Arial" w:eastAsia="Arial" w:hAnsi="Arial"/>
                <w:sz w:val="15"/>
                <w:szCs w:val="15"/>
                <w:b w:val="1"/>
                <w:bCs w:val="1"/>
                <w:color w:val="auto"/>
              </w:rPr>
              <w:t>of</w:t>
            </w: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Par</w:t>
            </w:r>
          </w:p>
        </w:tc>
        <w:tc>
          <w:tcPr>
            <w:tcW w:w="5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Paid in</w:t>
            </w:r>
          </w:p>
        </w:tc>
        <w:tc>
          <w:tcPr>
            <w:tcW w:w="1320" w:type="dxa"/>
            <w:vAlign w:val="bottom"/>
          </w:tcPr>
          <w:p>
            <w:pPr>
              <w:jc w:val="right"/>
              <w:ind w:right="385"/>
              <w:spacing w:after="0"/>
              <w:rPr>
                <w:sz w:val="20"/>
                <w:szCs w:val="20"/>
                <w:color w:val="auto"/>
              </w:rPr>
            </w:pPr>
            <w:r>
              <w:rPr>
                <w:rFonts w:ascii="Arial" w:cs="Arial" w:eastAsia="Arial" w:hAnsi="Arial"/>
                <w:sz w:val="15"/>
                <w:szCs w:val="15"/>
                <w:b w:val="1"/>
                <w:bCs w:val="1"/>
                <w:color w:val="auto"/>
              </w:rPr>
              <w:t>Retained</w:t>
            </w:r>
          </w:p>
        </w:tc>
        <w:tc>
          <w:tcPr>
            <w:tcW w:w="1620" w:type="dxa"/>
            <w:vAlign w:val="bottom"/>
          </w:tcPr>
          <w:p>
            <w:pPr>
              <w:jc w:val="center"/>
              <w:ind w:right="205"/>
              <w:spacing w:after="0"/>
              <w:rPr>
                <w:sz w:val="20"/>
                <w:szCs w:val="20"/>
                <w:color w:val="auto"/>
              </w:rPr>
            </w:pPr>
            <w:r>
              <w:rPr>
                <w:rFonts w:ascii="Arial" w:cs="Arial" w:eastAsia="Arial" w:hAnsi="Arial"/>
                <w:sz w:val="15"/>
                <w:szCs w:val="15"/>
                <w:b w:val="1"/>
                <w:bCs w:val="1"/>
                <w:color w:val="auto"/>
                <w:w w:val="87"/>
              </w:rPr>
              <w:t>Comprehensive</w:t>
            </w:r>
          </w:p>
        </w:tc>
        <w:tc>
          <w:tcPr>
            <w:tcW w:w="1220" w:type="dxa"/>
            <w:vAlign w:val="bottom"/>
            <w:gridSpan w:val="2"/>
          </w:tcPr>
          <w:p>
            <w:pPr>
              <w:ind w:left="380"/>
              <w:spacing w:after="0"/>
              <w:rPr>
                <w:sz w:val="20"/>
                <w:szCs w:val="20"/>
                <w:color w:val="auto"/>
              </w:rPr>
            </w:pPr>
            <w:r>
              <w:rPr>
                <w:rFonts w:ascii="Arial" w:cs="Arial" w:eastAsia="Arial" w:hAnsi="Arial"/>
                <w:sz w:val="15"/>
                <w:szCs w:val="15"/>
                <w:b w:val="1"/>
                <w:bCs w:val="1"/>
                <w:color w:val="auto"/>
              </w:rPr>
              <w:t>Total</w:t>
            </w:r>
          </w:p>
        </w:tc>
      </w:tr>
      <w:tr>
        <w:trPr>
          <w:trHeight w:val="196"/>
        </w:trPr>
        <w:tc>
          <w:tcPr>
            <w:tcW w:w="20" w:type="dxa"/>
            <w:vAlign w:val="bottom"/>
          </w:tcPr>
          <w:p>
            <w:pPr>
              <w:spacing w:after="0"/>
              <w:rPr>
                <w:sz w:val="17"/>
                <w:szCs w:val="17"/>
                <w:color w:val="auto"/>
              </w:rPr>
            </w:pP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(Thousands of Dollars and shares)</w:t>
            </w:r>
          </w:p>
        </w:tc>
        <w:tc>
          <w:tcPr>
            <w:tcW w:w="116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Shares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Value</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32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Earnings</w:t>
            </w:r>
          </w:p>
        </w:tc>
        <w:tc>
          <w:tcPr>
            <w:tcW w:w="16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b w:val="1"/>
                <w:bCs w:val="1"/>
                <w:color w:val="auto"/>
              </w:rPr>
              <w:t>Income</w:t>
            </w: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Balance, January 1, 2007</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16,842</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169</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$ 53,473</w:t>
            </w:r>
          </w:p>
        </w:tc>
        <w:tc>
          <w:tcPr>
            <w:tcW w:w="1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$ 64,178</w:t>
            </w:r>
          </w:p>
        </w:tc>
        <w:tc>
          <w:tcPr>
            <w:tcW w:w="162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$ 15,349</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$ 133,169</w:t>
            </w: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720" w:type="dxa"/>
            <w:vAlign w:val="bottom"/>
          </w:tcPr>
          <w:p>
            <w:pPr>
              <w:ind w:left="240"/>
              <w:spacing w:after="0"/>
              <w:rPr>
                <w:sz w:val="20"/>
                <w:szCs w:val="20"/>
                <w:color w:val="auto"/>
              </w:rPr>
            </w:pPr>
            <w:r>
              <w:rPr>
                <w:rFonts w:ascii="Arial" w:cs="Arial" w:eastAsia="Arial" w:hAnsi="Arial"/>
                <w:sz w:val="15"/>
                <w:szCs w:val="15"/>
                <w:color w:val="auto"/>
              </w:rPr>
              <w:t>Shares issued</w:t>
            </w:r>
          </w:p>
        </w:tc>
        <w:tc>
          <w:tcPr>
            <w:tcW w:w="1160" w:type="dxa"/>
            <w:vAlign w:val="bottom"/>
          </w:tcPr>
          <w:p>
            <w:pPr>
              <w:jc w:val="right"/>
              <w:spacing w:after="0"/>
              <w:rPr>
                <w:sz w:val="20"/>
                <w:szCs w:val="20"/>
                <w:color w:val="auto"/>
              </w:rPr>
            </w:pPr>
            <w:r>
              <w:rPr>
                <w:rFonts w:ascii="Arial" w:cs="Arial" w:eastAsia="Arial" w:hAnsi="Arial"/>
                <w:sz w:val="15"/>
                <w:szCs w:val="15"/>
                <w:color w:val="auto"/>
              </w:rPr>
              <w:t>24</w:t>
            </w:r>
          </w:p>
        </w:tc>
        <w:tc>
          <w:tcPr>
            <w:tcW w:w="640" w:type="dxa"/>
            <w:vAlign w:val="bottom"/>
          </w:tcPr>
          <w:p>
            <w:pPr>
              <w:spacing w:after="0"/>
              <w:rPr>
                <w:sz w:val="15"/>
                <w:szCs w:val="15"/>
                <w:color w:val="auto"/>
              </w:rPr>
            </w:pPr>
          </w:p>
        </w:tc>
        <w:tc>
          <w:tcPr>
            <w:tcW w:w="5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292</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292</w:t>
            </w: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7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(8,063)</w:t>
            </w:r>
          </w:p>
        </w:tc>
        <w:tc>
          <w:tcPr>
            <w:tcW w:w="162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(8,063)</w:t>
            </w:r>
          </w:p>
        </w:tc>
        <w:tc>
          <w:tcPr>
            <w:tcW w:w="2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3720" w:type="dxa"/>
            <w:vAlign w:val="bottom"/>
          </w:tcPr>
          <w:p>
            <w:pPr>
              <w:ind w:left="240"/>
              <w:spacing w:after="0" w:line="169" w:lineRule="exact"/>
              <w:rPr>
                <w:sz w:val="20"/>
                <w:szCs w:val="20"/>
                <w:color w:val="auto"/>
              </w:rPr>
            </w:pPr>
            <w:r>
              <w:rPr>
                <w:rFonts w:ascii="Arial" w:cs="Arial" w:eastAsia="Arial" w:hAnsi="Arial"/>
                <w:sz w:val="15"/>
                <w:szCs w:val="15"/>
                <w:color w:val="auto"/>
              </w:rPr>
              <w:t>Amortization of restricted stock</w:t>
            </w: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380"/>
              <w:spacing w:after="0"/>
              <w:rPr>
                <w:sz w:val="20"/>
                <w:szCs w:val="20"/>
                <w:color w:val="auto"/>
              </w:rPr>
            </w:pPr>
            <w:r>
              <w:rPr>
                <w:rFonts w:ascii="Arial" w:cs="Arial" w:eastAsia="Arial" w:hAnsi="Arial"/>
                <w:sz w:val="15"/>
                <w:szCs w:val="15"/>
                <w:color w:val="auto"/>
              </w:rPr>
              <w:t>award</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6"/>
                <w:szCs w:val="16"/>
                <w:color w:val="auto"/>
              </w:rPr>
            </w:pPr>
          </w:p>
        </w:tc>
        <w:tc>
          <w:tcPr>
            <w:tcW w:w="5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53</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53</w:t>
            </w: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Forfeiture of restricted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720" w:type="dxa"/>
            <w:vAlign w:val="bottom"/>
          </w:tcPr>
          <w:p>
            <w:pPr>
              <w:ind w:left="240"/>
              <w:spacing w:after="0"/>
              <w:rPr>
                <w:sz w:val="20"/>
                <w:szCs w:val="20"/>
                <w:color w:val="auto"/>
              </w:rPr>
            </w:pPr>
            <w:r>
              <w:rPr>
                <w:rFonts w:ascii="Arial" w:cs="Arial" w:eastAsia="Arial" w:hAnsi="Arial"/>
                <w:sz w:val="15"/>
                <w:szCs w:val="15"/>
                <w:color w:val="auto"/>
              </w:rPr>
              <w:t>Stock option expense</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5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315</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315</w:t>
            </w: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7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Dividends declared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(2,696)</w:t>
            </w:r>
          </w:p>
        </w:tc>
        <w:tc>
          <w:tcPr>
            <w:tcW w:w="162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(2,696)</w:t>
            </w:r>
          </w:p>
        </w:tc>
        <w:tc>
          <w:tcPr>
            <w:tcW w:w="2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3720" w:type="dxa"/>
            <w:vAlign w:val="bottom"/>
          </w:tcPr>
          <w:p>
            <w:pPr>
              <w:ind w:left="240"/>
              <w:spacing w:after="0" w:line="169" w:lineRule="exact"/>
              <w:rPr>
                <w:sz w:val="20"/>
                <w:szCs w:val="20"/>
                <w:color w:val="auto"/>
              </w:rPr>
            </w:pPr>
            <w:r>
              <w:rPr>
                <w:rFonts w:ascii="Arial" w:cs="Arial" w:eastAsia="Arial" w:hAnsi="Arial"/>
                <w:sz w:val="15"/>
                <w:szCs w:val="15"/>
                <w:color w:val="auto"/>
              </w:rPr>
              <w:t>Cumulative effect of adoption of</w:t>
            </w: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380"/>
              <w:spacing w:after="0"/>
              <w:rPr>
                <w:sz w:val="20"/>
                <w:szCs w:val="20"/>
                <w:color w:val="auto"/>
              </w:rPr>
            </w:pPr>
            <w:r>
              <w:rPr>
                <w:rFonts w:ascii="Arial" w:cs="Arial" w:eastAsia="Arial" w:hAnsi="Arial"/>
                <w:sz w:val="15"/>
                <w:szCs w:val="15"/>
                <w:color w:val="auto"/>
              </w:rPr>
              <w:t>FIN 48</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6"/>
                <w:szCs w:val="16"/>
                <w:color w:val="auto"/>
              </w:rPr>
            </w:pPr>
          </w:p>
        </w:tc>
        <w:tc>
          <w:tcPr>
            <w:tcW w:w="5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(600)</w:t>
            </w:r>
          </w:p>
        </w:tc>
        <w:tc>
          <w:tcPr>
            <w:tcW w:w="162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(600)</w:t>
            </w:r>
          </w:p>
        </w:tc>
      </w:tr>
      <w:tr>
        <w:trPr>
          <w:trHeight w:val="182"/>
        </w:trPr>
        <w:tc>
          <w:tcPr>
            <w:tcW w:w="20" w:type="dxa"/>
            <w:vAlign w:val="bottom"/>
          </w:tcPr>
          <w:p>
            <w:pPr>
              <w:spacing w:after="0"/>
              <w:rPr>
                <w:sz w:val="15"/>
                <w:szCs w:val="15"/>
                <w:color w:val="auto"/>
              </w:rPr>
            </w:pPr>
          </w:p>
        </w:tc>
        <w:tc>
          <w:tcPr>
            <w:tcW w:w="3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Cumulative translation gain</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rPr>
              <w:t>3,427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3,427</w:t>
            </w: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Balance, June 30, 2007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16,863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95"/>
              </w:rPr>
              <w:t>169</w:t>
            </w:r>
          </w:p>
        </w:tc>
        <w:tc>
          <w:tcPr>
            <w:tcW w:w="12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$ 54,133</w:t>
            </w:r>
          </w:p>
        </w:tc>
        <w:tc>
          <w:tcPr>
            <w:tcW w:w="13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$ 52,819</w:t>
            </w:r>
          </w:p>
        </w:tc>
        <w:tc>
          <w:tcPr>
            <w:tcW w:w="162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$ 18,776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$ 125,897</w:t>
            </w:r>
          </w:p>
        </w:tc>
        <w:tc>
          <w:tcPr>
            <w:tcW w:w="20" w:type="dxa"/>
            <w:vAlign w:val="bottom"/>
            <w:tcBorders>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326"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NN,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980" w:type="dxa"/>
            <w:vAlign w:val="bottom"/>
            <w:gridSpan w:val="3"/>
          </w:tcPr>
          <w:p>
            <w:pPr>
              <w:jc w:val="center"/>
              <w:ind w:left="665"/>
              <w:spacing w:after="0"/>
              <w:rPr>
                <w:sz w:val="20"/>
                <w:szCs w:val="20"/>
                <w:color w:val="auto"/>
              </w:rPr>
            </w:pPr>
            <w:r>
              <w:rPr>
                <w:rFonts w:ascii="Arial" w:cs="Arial" w:eastAsia="Arial" w:hAnsi="Arial"/>
                <w:sz w:val="15"/>
                <w:szCs w:val="15"/>
                <w:b w:val="1"/>
                <w:bCs w:val="1"/>
                <w:color w:val="auto"/>
                <w:w w:val="89"/>
              </w:rPr>
              <w:t>Six Months Ended</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980" w:type="dxa"/>
            <w:vAlign w:val="bottom"/>
            <w:gridSpan w:val="3"/>
          </w:tcPr>
          <w:p>
            <w:pPr>
              <w:jc w:val="center"/>
              <w:ind w:left="665"/>
              <w:spacing w:after="0"/>
              <w:rPr>
                <w:sz w:val="20"/>
                <w:szCs w:val="20"/>
                <w:color w:val="auto"/>
              </w:rPr>
            </w:pPr>
            <w:r>
              <w:rPr>
                <w:rFonts w:ascii="Arial" w:cs="Arial" w:eastAsia="Arial" w:hAnsi="Arial"/>
                <w:sz w:val="15"/>
                <w:szCs w:val="15"/>
                <w:b w:val="1"/>
                <w:bCs w:val="1"/>
                <w:color w:val="auto"/>
                <w:w w:val="86"/>
              </w:rPr>
              <w:t>June 30,</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740" w:type="dxa"/>
            <w:vAlign w:val="bottom"/>
            <w:gridSpan w:val="2"/>
          </w:tcPr>
          <w:p>
            <w:pPr>
              <w:spacing w:after="0"/>
              <w:rPr>
                <w:sz w:val="20"/>
                <w:szCs w:val="20"/>
                <w:color w:val="auto"/>
              </w:rPr>
            </w:pPr>
            <w:r>
              <w:rPr>
                <w:rFonts w:ascii="Arial" w:cs="Arial" w:eastAsia="Arial" w:hAnsi="Arial"/>
                <w:sz w:val="15"/>
                <w:szCs w:val="15"/>
                <w:color w:val="auto"/>
              </w:rPr>
              <w:t>(Thousands of Dollars)</w:t>
            </w:r>
          </w:p>
        </w:tc>
        <w:tc>
          <w:tcPr>
            <w:tcW w:w="1280" w:type="dxa"/>
            <w:vAlign w:val="bottom"/>
          </w:tcPr>
          <w:p>
            <w:pPr>
              <w:jc w:val="right"/>
              <w:ind w:right="405"/>
              <w:spacing w:after="0"/>
              <w:rPr>
                <w:sz w:val="20"/>
                <w:szCs w:val="20"/>
                <w:color w:val="auto"/>
              </w:rPr>
            </w:pPr>
            <w:r>
              <w:rPr>
                <w:rFonts w:ascii="Arial" w:cs="Arial" w:eastAsia="Arial" w:hAnsi="Arial"/>
                <w:sz w:val="15"/>
                <w:szCs w:val="15"/>
                <w:b w:val="1"/>
                <w:bCs w:val="1"/>
                <w:color w:val="auto"/>
              </w:rPr>
              <w:t>2007</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45"/>
              <w:spacing w:after="0"/>
              <w:rPr>
                <w:sz w:val="20"/>
                <w:szCs w:val="20"/>
                <w:color w:val="auto"/>
              </w:rPr>
            </w:pPr>
            <w:r>
              <w:rPr>
                <w:rFonts w:ascii="Arial" w:cs="Arial" w:eastAsia="Arial" w:hAnsi="Arial"/>
                <w:sz w:val="15"/>
                <w:szCs w:val="15"/>
                <w:b w:val="1"/>
                <w:bCs w:val="1"/>
                <w:color w:val="auto"/>
                <w:w w:val="89"/>
              </w:rPr>
              <w:t>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12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60"/>
              <w:spacing w:after="0"/>
              <w:rPr>
                <w:sz w:val="20"/>
                <w:szCs w:val="20"/>
                <w:color w:val="auto"/>
              </w:rPr>
            </w:pPr>
            <w:r>
              <w:rPr>
                <w:rFonts w:ascii="Arial" w:cs="Arial" w:eastAsia="Arial" w:hAnsi="Arial"/>
                <w:sz w:val="15"/>
                <w:szCs w:val="15"/>
                <w:color w:val="auto"/>
              </w:rPr>
              <w:t>Net income (loss)</w:t>
            </w:r>
          </w:p>
        </w:tc>
        <w:tc>
          <w:tcPr>
            <w:tcW w:w="1280" w:type="dxa"/>
            <w:vAlign w:val="bottom"/>
          </w:tcPr>
          <w:p>
            <w:pPr>
              <w:jc w:val="right"/>
              <w:spacing w:after="0"/>
              <w:rPr>
                <w:sz w:val="20"/>
                <w:szCs w:val="20"/>
                <w:color w:val="auto"/>
              </w:rPr>
            </w:pPr>
            <w:r>
              <w:rPr>
                <w:rFonts w:ascii="Arial" w:cs="Arial" w:eastAsia="Arial" w:hAnsi="Arial"/>
                <w:sz w:val="15"/>
                <w:szCs w:val="15"/>
                <w:color w:val="auto"/>
              </w:rPr>
              <w:t>$  (8,063)</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8,715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720" w:type="dxa"/>
            <w:vAlign w:val="bottom"/>
            <w:shd w:val="clear" w:color="auto" w:fill="CCEEFF"/>
          </w:tcPr>
          <w:p>
            <w:pPr>
              <w:ind w:left="60"/>
              <w:spacing w:after="0" w:line="169" w:lineRule="exact"/>
              <w:rPr>
                <w:sz w:val="20"/>
                <w:szCs w:val="20"/>
                <w:color w:val="auto"/>
              </w:rPr>
            </w:pPr>
            <w:r>
              <w:rPr>
                <w:rFonts w:ascii="Arial" w:cs="Arial" w:eastAsia="Arial" w:hAnsi="Arial"/>
                <w:sz w:val="15"/>
                <w:szCs w:val="15"/>
                <w:color w:val="auto"/>
              </w:rPr>
              <w:t>Adjustments to reconcile net income (loss) to net cash provided by operating</w:t>
            </w: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activities:</w:t>
            </w:r>
          </w:p>
        </w:tc>
        <w:tc>
          <w:tcPr>
            <w:tcW w:w="1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280" w:type="dxa"/>
            <w:vAlign w:val="bottom"/>
          </w:tcPr>
          <w:p>
            <w:pPr>
              <w:jc w:val="right"/>
              <w:spacing w:after="0"/>
              <w:rPr>
                <w:sz w:val="20"/>
                <w:szCs w:val="20"/>
                <w:color w:val="auto"/>
              </w:rPr>
            </w:pPr>
            <w:r>
              <w:rPr>
                <w:rFonts w:ascii="Arial" w:cs="Arial" w:eastAsia="Arial" w:hAnsi="Arial"/>
                <w:sz w:val="15"/>
                <w:szCs w:val="15"/>
                <w:color w:val="auto"/>
              </w:rPr>
              <w:t>11,180</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8,587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debt issue costs</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140"/>
              <w:spacing w:after="0"/>
              <w:rPr>
                <w:sz w:val="20"/>
                <w:szCs w:val="20"/>
                <w:color w:val="auto"/>
              </w:rPr>
            </w:pPr>
            <w:r>
              <w:rPr>
                <w:rFonts w:ascii="Arial" w:cs="Arial" w:eastAsia="Arial" w:hAnsi="Arial"/>
                <w:sz w:val="15"/>
                <w:szCs w:val="15"/>
                <w:color w:val="auto"/>
              </w:rPr>
              <w:t>Gain on disposal of property, plant and equipment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 expense from issuance of restricted stock and incentive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140"/>
              <w:spacing w:after="0"/>
              <w:rPr>
                <w:sz w:val="20"/>
                <w:szCs w:val="20"/>
                <w:color w:val="auto"/>
              </w:rPr>
            </w:pPr>
            <w:r>
              <w:rPr>
                <w:rFonts w:ascii="Arial" w:cs="Arial" w:eastAsia="Arial" w:hAnsi="Arial"/>
                <w:sz w:val="15"/>
                <w:szCs w:val="15"/>
                <w:color w:val="auto"/>
              </w:rPr>
              <w:t>Restructuring and impairment charges</w:t>
            </w:r>
          </w:p>
        </w:tc>
        <w:tc>
          <w:tcPr>
            <w:tcW w:w="1280" w:type="dxa"/>
            <w:vAlign w:val="bottom"/>
          </w:tcPr>
          <w:p>
            <w:pPr>
              <w:jc w:val="right"/>
              <w:spacing w:after="0"/>
              <w:rPr>
                <w:sz w:val="20"/>
                <w:szCs w:val="20"/>
                <w:color w:val="auto"/>
              </w:rPr>
            </w:pPr>
            <w:r>
              <w:rPr>
                <w:rFonts w:ascii="Arial" w:cs="Arial" w:eastAsia="Arial" w:hAnsi="Arial"/>
                <w:sz w:val="15"/>
                <w:szCs w:val="15"/>
                <w:color w:val="auto"/>
              </w:rPr>
              <w:t>15,269</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income tax</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140"/>
              <w:spacing w:after="0"/>
              <w:rPr>
                <w:sz w:val="20"/>
                <w:szCs w:val="20"/>
                <w:color w:val="auto"/>
              </w:rPr>
            </w:pPr>
            <w:r>
              <w:rPr>
                <w:rFonts w:ascii="Arial" w:cs="Arial" w:eastAsia="Arial" w:hAnsi="Arial"/>
                <w:sz w:val="15"/>
                <w:szCs w:val="15"/>
                <w:color w:val="auto"/>
              </w:rPr>
              <w:t>Changes in operating assets and liabilities:</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(9,931)</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(8,627)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1280" w:type="dxa"/>
            <w:vAlign w:val="bottom"/>
          </w:tcPr>
          <w:p>
            <w:pPr>
              <w:jc w:val="right"/>
              <w:spacing w:after="0"/>
              <w:rPr>
                <w:sz w:val="20"/>
                <w:szCs w:val="20"/>
                <w:color w:val="auto"/>
              </w:rPr>
            </w:pPr>
            <w:r>
              <w:rPr>
                <w:rFonts w:ascii="Arial" w:cs="Arial" w:eastAsia="Arial" w:hAnsi="Arial"/>
                <w:sz w:val="15"/>
                <w:szCs w:val="15"/>
                <w:color w:val="auto"/>
              </w:rPr>
              <w:t>(1,221)</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3,031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payable</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(3,585)</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(1,692)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20" w:type="dxa"/>
            <w:vAlign w:val="bottom"/>
          </w:tcPr>
          <w:p>
            <w:pPr>
              <w:ind w:left="220"/>
              <w:spacing w:after="0"/>
              <w:rPr>
                <w:sz w:val="20"/>
                <w:szCs w:val="20"/>
                <w:color w:val="auto"/>
              </w:rPr>
            </w:pPr>
            <w:r>
              <w:rPr>
                <w:rFonts w:ascii="Arial" w:cs="Arial" w:eastAsia="Arial" w:hAnsi="Arial"/>
                <w:sz w:val="15"/>
                <w:szCs w:val="15"/>
                <w:color w:val="auto"/>
              </w:rPr>
              <w:t>Other assets and liabilities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Net cash provided by operating activities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4,023</w:t>
            </w: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Investing Activities:</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Acquisition of property, plant and equipment</w:t>
            </w:r>
          </w:p>
        </w:tc>
        <w:tc>
          <w:tcPr>
            <w:tcW w:w="1280" w:type="dxa"/>
            <w:vAlign w:val="bottom"/>
          </w:tcPr>
          <w:p>
            <w:pPr>
              <w:jc w:val="right"/>
              <w:spacing w:after="0"/>
              <w:rPr>
                <w:sz w:val="20"/>
                <w:szCs w:val="20"/>
                <w:color w:val="auto"/>
              </w:rPr>
            </w:pPr>
            <w:r>
              <w:rPr>
                <w:rFonts w:ascii="Arial" w:cs="Arial" w:eastAsia="Arial" w:hAnsi="Arial"/>
                <w:sz w:val="15"/>
                <w:szCs w:val="15"/>
                <w:color w:val="auto"/>
              </w:rPr>
              <w:t>(6,824)</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8"/>
              </w:rPr>
              <w:t>(6,413)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disposals of property, plant and equipment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Acquisition of intangibles and goodwill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Net cash used by investing activities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(6,986)</w:t>
            </w: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(3,976)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Financing Activities:</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Increase in cash from book overdraft</w:t>
            </w:r>
          </w:p>
        </w:tc>
        <w:tc>
          <w:tcPr>
            <w:tcW w:w="1280" w:type="dxa"/>
            <w:vAlign w:val="bottom"/>
          </w:tcPr>
          <w:p>
            <w:pPr>
              <w:jc w:val="right"/>
              <w:spacing w:after="0"/>
              <w:rPr>
                <w:sz w:val="20"/>
                <w:szCs w:val="20"/>
                <w:color w:val="auto"/>
              </w:rPr>
            </w:pPr>
            <w:r>
              <w:rPr>
                <w:rFonts w:ascii="Arial" w:cs="Arial" w:eastAsia="Arial" w:hAnsi="Arial"/>
                <w:sz w:val="15"/>
                <w:szCs w:val="15"/>
                <w:color w:val="auto"/>
              </w:rPr>
              <w:t>84</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long-term debt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(4,668)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Proceeds from short-term debt</w:t>
            </w:r>
          </w:p>
        </w:tc>
        <w:tc>
          <w:tcPr>
            <w:tcW w:w="1280" w:type="dxa"/>
            <w:vAlign w:val="bottom"/>
          </w:tcPr>
          <w:p>
            <w:pPr>
              <w:jc w:val="right"/>
              <w:spacing w:after="0"/>
              <w:rPr>
                <w:sz w:val="20"/>
                <w:szCs w:val="20"/>
                <w:color w:val="auto"/>
              </w:rPr>
            </w:pPr>
            <w:r>
              <w:rPr>
                <w:rFonts w:ascii="Arial" w:cs="Arial" w:eastAsia="Arial" w:hAnsi="Arial"/>
                <w:sz w:val="15"/>
                <w:szCs w:val="15"/>
                <w:color w:val="auto"/>
              </w:rPr>
              <w:t>8,203</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payment on capital lease</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Repurchase of common stock</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issuance of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Proceeds from long term debt</w:t>
            </w:r>
          </w:p>
        </w:tc>
        <w:tc>
          <w:tcPr>
            <w:tcW w:w="1280" w:type="dxa"/>
            <w:vAlign w:val="bottom"/>
          </w:tcPr>
          <w:p>
            <w:pPr>
              <w:jc w:val="right"/>
              <w:spacing w:after="0"/>
              <w:rPr>
                <w:sz w:val="20"/>
                <w:szCs w:val="20"/>
                <w:color w:val="auto"/>
              </w:rPr>
            </w:pPr>
            <w:r>
              <w:rPr>
                <w:rFonts w:ascii="Arial" w:cs="Arial" w:eastAsia="Arial" w:hAnsi="Arial"/>
                <w:sz w:val="15"/>
                <w:szCs w:val="15"/>
                <w:color w:val="auto"/>
              </w:rPr>
              <w:t>17,400</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issuance cost paid</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Dividends paid</w:t>
            </w:r>
          </w:p>
        </w:tc>
        <w:tc>
          <w:tcPr>
            <w:tcW w:w="1280" w:type="dxa"/>
            <w:vAlign w:val="bottom"/>
          </w:tcPr>
          <w:p>
            <w:pPr>
              <w:jc w:val="right"/>
              <w:spacing w:after="0"/>
              <w:rPr>
                <w:sz w:val="20"/>
                <w:szCs w:val="20"/>
                <w:color w:val="auto"/>
              </w:rPr>
            </w:pPr>
            <w:r>
              <w:rPr>
                <w:rFonts w:ascii="Arial" w:cs="Arial" w:eastAsia="Arial" w:hAnsi="Arial"/>
                <w:sz w:val="15"/>
                <w:szCs w:val="15"/>
                <w:color w:val="auto"/>
              </w:rPr>
              <w:t>(2,696)</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8"/>
              </w:rPr>
              <w:t>(2,753)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Repayment of related party debt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(18,638)</w:t>
            </w: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20" w:type="dxa"/>
            <w:vAlign w:val="bottom"/>
          </w:tcPr>
          <w:p>
            <w:pPr>
              <w:ind w:left="320"/>
              <w:spacing w:after="0"/>
              <w:rPr>
                <w:sz w:val="20"/>
                <w:szCs w:val="20"/>
                <w:color w:val="auto"/>
              </w:rPr>
            </w:pPr>
            <w:r>
              <w:rPr>
                <w:rFonts w:ascii="Arial" w:cs="Arial" w:eastAsia="Arial" w:hAnsi="Arial"/>
                <w:sz w:val="15"/>
                <w:szCs w:val="15"/>
                <w:color w:val="auto"/>
              </w:rPr>
              <w:t>Net cash provided (used) by financing activities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3,849</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(5,747)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20" w:type="dxa"/>
            <w:vAlign w:val="bottom"/>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280" w:type="dxa"/>
            <w:vAlign w:val="bottom"/>
          </w:tcPr>
          <w:p>
            <w:pPr>
              <w:jc w:val="right"/>
              <w:spacing w:after="0"/>
              <w:rPr>
                <w:sz w:val="20"/>
                <w:szCs w:val="20"/>
                <w:color w:val="auto"/>
              </w:rPr>
            </w:pPr>
            <w:r>
              <w:rPr>
                <w:rFonts w:ascii="Arial" w:cs="Arial" w:eastAsia="Arial" w:hAnsi="Arial"/>
                <w:sz w:val="15"/>
                <w:szCs w:val="15"/>
                <w:color w:val="auto"/>
              </w:rPr>
              <w:t>253</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20" w:type="dxa"/>
            <w:vAlign w:val="bottom"/>
          </w:tcPr>
          <w:p>
            <w:pPr>
              <w:spacing w:after="0"/>
              <w:rPr>
                <w:sz w:val="20"/>
                <w:szCs w:val="20"/>
                <w:color w:val="auto"/>
              </w:rPr>
            </w:pPr>
            <w:r>
              <w:rPr>
                <w:rFonts w:ascii="Arial" w:cs="Arial" w:eastAsia="Arial" w:hAnsi="Arial"/>
                <w:sz w:val="15"/>
                <w:szCs w:val="15"/>
                <w:b w:val="1"/>
                <w:bCs w:val="1"/>
                <w:color w:val="auto"/>
              </w:rPr>
              <w:t>Net Change in Cash and Cash Equivalents</w:t>
            </w:r>
          </w:p>
        </w:tc>
        <w:tc>
          <w:tcPr>
            <w:tcW w:w="1280" w:type="dxa"/>
            <w:vAlign w:val="bottom"/>
          </w:tcPr>
          <w:p>
            <w:pPr>
              <w:jc w:val="right"/>
              <w:spacing w:after="0"/>
              <w:rPr>
                <w:sz w:val="20"/>
                <w:szCs w:val="20"/>
                <w:color w:val="auto"/>
              </w:rPr>
            </w:pPr>
            <w:r>
              <w:rPr>
                <w:rFonts w:ascii="Arial" w:cs="Arial" w:eastAsia="Arial" w:hAnsi="Arial"/>
                <w:sz w:val="15"/>
                <w:szCs w:val="15"/>
                <w:color w:val="auto"/>
              </w:rPr>
              <w:t>1,139</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1,285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11,681</w:t>
            </w: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10,856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$ 12,820</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1"/>
              </w:rPr>
              <w:t>12,141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7"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326" w:right="219" w:bottom="1440" w:gutter="0" w:footer="0" w:header="0"/>
        </w:sectPr>
      </w:pPr>
    </w:p>
    <w:bookmarkStart w:id="6" w:name="page7"/>
    <w:bookmarkEnd w:id="6"/>
    <w:p>
      <w:pPr>
        <w:ind w:left="5540"/>
        <w:spacing w:after="0"/>
        <w:rPr>
          <w:sz w:val="20"/>
          <w:szCs w:val="20"/>
          <w:color w:val="auto"/>
        </w:rPr>
      </w:pPr>
      <w:r>
        <w:rPr>
          <w:rFonts w:ascii="Arial" w:cs="Arial" w:eastAsia="Arial" w:hAnsi="Arial"/>
          <w:sz w:val="15"/>
          <w:szCs w:val="15"/>
          <w:b w:val="1"/>
          <w:bCs w:val="1"/>
          <w:color w:val="auto"/>
        </w:rPr>
        <w:t>NN, Inc.</w:t>
      </w:r>
    </w:p>
    <w:p>
      <w:pPr>
        <w:spacing w:after="0" w:line="29"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9"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Note 1.</w:t>
      </w:r>
      <w:r>
        <w:rPr>
          <w:sz w:val="20"/>
          <w:szCs w:val="20"/>
          <w:color w:val="auto"/>
        </w:rPr>
        <w:tab/>
      </w:r>
      <w:r>
        <w:rPr>
          <w:rFonts w:ascii="Arial" w:cs="Arial" w:eastAsia="Arial" w:hAnsi="Arial"/>
          <w:sz w:val="13"/>
          <w:szCs w:val="13"/>
          <w:b w:val="1"/>
          <w:bCs w:val="1"/>
          <w:color w:val="auto"/>
        </w:rPr>
        <w:t>Interim Financial Statements</w:t>
      </w:r>
    </w:p>
    <w:p>
      <w:pPr>
        <w:spacing w:after="0" w:line="212" w:lineRule="exact"/>
        <w:rPr>
          <w:sz w:val="20"/>
          <w:szCs w:val="20"/>
          <w:color w:val="auto"/>
        </w:rPr>
      </w:pPr>
    </w:p>
    <w:p>
      <w:pPr>
        <w:ind w:right="100"/>
        <w:spacing w:after="0" w:line="302" w:lineRule="auto"/>
        <w:rPr>
          <w:sz w:val="20"/>
          <w:szCs w:val="20"/>
          <w:color w:val="auto"/>
        </w:rPr>
      </w:pPr>
      <w:r>
        <w:rPr>
          <w:rFonts w:ascii="Arial" w:cs="Arial" w:eastAsia="Arial" w:hAnsi="Arial"/>
          <w:sz w:val="13"/>
          <w:szCs w:val="13"/>
          <w:color w:val="auto"/>
        </w:rPr>
        <w:t>The accompanying consolidated financial statements of NN, Inc. (the “Company”) have not been audited, except that the balance sheet at December 31, 2006 is derived from the Company’s consolidated audited financial statements. In the opinion of the Company’s management, the financial statements reflect all adjustments necessary to fairly state the results of operations for the three and six month periods ended June 30, 2007 and 2006, the Company’s financial position at June 30, 2007 and December 31, 2006, and the cash flows for the six month periods ended June 30, 2007 and 2006.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55"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and unaudited, consolidated financial statements should be read in conjunction with our audited consolidated financial statements and the notes thereto included in our most recent annual report on Form 10-K for the year ended December 31, 2006 which we filed with the Securities and Exchange Commission on March 16, 2007.</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The results for the three and six month periods ended June 30, 2007 are not necessarily indicative of results for the year ending December 31, 2007 or any other future periods.</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3"/>
          <w:szCs w:val="13"/>
          <w:b w:val="1"/>
          <w:bCs w:val="1"/>
          <w:color w:val="auto"/>
        </w:rPr>
        <w:t>Restructuring and Impairment Charges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Metal Bearing Components Segment Restructuring, Impairment and Other Cost Reduction Actions</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On July 25, 2007, we announced several actions intended to improve corporate financial performance that result in the recognition of certain restructuring, impairment and other non-recurring charges. The most significant action is a restructuring of the European precision ball plants operations of the Metal Bearing Components Segment of the company. As we have increased capacity at our two newest ball plants in China and Slovakia, we now need to align our capacity across our worldwide system of six ball plants, both in assets currently in service and in production assets that have been held in reserve. Earlier in July 2007, management made a decision that, at this time, reducing output at four of the six ball plants would be the best financial and logistical solution to align capacity. Reducing capacity will necessitate changes in employment levels resulting in certain costs and charges, as well as a reduction in cash flow from each of the plants. Since the reporting value of tangible and intangible assets must be supported by cash flow from the operations, the changes will result in reduction in value of certain tangible and intangible assets at the affected ball plants.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During the second quarter of 2007, we recorded approximately $15,269 ($14,076 after-tax) of non-cash impairment costs. These charges include the write-down to estimated fair market value of certain excess production equipment of $3,320 ($3,212 after tax), the full impairment of goodwill at one European reporting unit of $10,016 ($9,412 after tax) and the impairment of a customer contract intangible asset of $1,932 ($1,452 after tax) to levels supported by projected cash flows after the restructuring. These impairments were calculated using present value of expected future cash flows methods pursuant to Statement of Financial Accounting Standards (“SFAS”) 142 and SFAS 144 for the goodwill and intangible assets, respectively, and estimates of fair value pursuant to SFAS 144 for the fixed assets.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Eltmann, Germany 2004 Restructuring</w:t>
      </w:r>
    </w:p>
    <w:p>
      <w:pPr>
        <w:spacing w:after="0" w:line="212" w:lineRule="exact"/>
        <w:rPr>
          <w:sz w:val="20"/>
          <w:szCs w:val="20"/>
          <w:color w:val="auto"/>
        </w:rPr>
      </w:pPr>
    </w:p>
    <w:p>
      <w:pPr>
        <w:jc w:val="both"/>
        <w:ind w:right="40"/>
        <w:spacing w:after="0" w:line="260" w:lineRule="auto"/>
        <w:rPr>
          <w:sz w:val="20"/>
          <w:szCs w:val="20"/>
          <w:color w:val="auto"/>
        </w:rPr>
      </w:pPr>
      <w:r>
        <w:rPr>
          <w:rFonts w:ascii="Arial" w:cs="Arial" w:eastAsia="Arial" w:hAnsi="Arial"/>
          <w:sz w:val="15"/>
          <w:szCs w:val="15"/>
          <w:color w:val="auto"/>
        </w:rPr>
        <w:t>During the fourth quarter of 2004, we announced a reduction in staffing at our Eltmann, Germany ball production facility, a component of our Metal Bearing Components Segments. The final severance payments to certain employees will occur during 2007. The following summarizes the charges related to the 2004 restructuring at the Company’s Eltmann, Germany facility for the six months ended June 30, 2007:</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5"/>
          <w:szCs w:val="15"/>
          <w:b w:val="1"/>
          <w:bCs w:val="1"/>
          <w:color w:val="auto"/>
        </w:rPr>
        <w:t>NN, Inc.</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5"/>
                <w:szCs w:val="15"/>
                <w:b w:val="1"/>
                <w:bCs w:val="1"/>
                <w:color w:val="auto"/>
              </w:rPr>
              <w:t>(unaudited)</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3520" w:type="dxa"/>
            <w:vAlign w:val="bottom"/>
            <w:gridSpan w:val="3"/>
          </w:tcPr>
          <w:p>
            <w:pPr>
              <w:spacing w:after="0"/>
              <w:rPr>
                <w:sz w:val="20"/>
                <w:szCs w:val="20"/>
                <w:color w:val="auto"/>
              </w:rPr>
            </w:pPr>
            <w:r>
              <w:rPr>
                <w:rFonts w:ascii="Arial" w:cs="Arial" w:eastAsia="Arial" w:hAnsi="Arial"/>
                <w:sz w:val="15"/>
                <w:szCs w:val="15"/>
                <w:b w:val="1"/>
                <w:bCs w:val="1"/>
                <w:color w:val="auto"/>
              </w:rPr>
              <w:t>Six months ended June 30, 2007</w:t>
            </w:r>
          </w:p>
        </w:tc>
        <w:tc>
          <w:tcPr>
            <w:tcW w:w="13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88"/>
              </w:rPr>
              <w:t>Reserve Balance at</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0"/>
              </w:rPr>
              <w:t>Reserve Balance at</w:t>
            </w:r>
          </w:p>
        </w:tc>
        <w:tc>
          <w:tcPr>
            <w:tcW w:w="0" w:type="dxa"/>
            <w:vAlign w:val="bottom"/>
          </w:tcPr>
          <w:p>
            <w:pPr>
              <w:spacing w:after="0"/>
              <w:rPr>
                <w:sz w:val="1"/>
                <w:szCs w:val="1"/>
                <w:color w:val="auto"/>
              </w:rPr>
            </w:pPr>
          </w:p>
        </w:tc>
      </w:tr>
      <w:tr>
        <w:trPr>
          <w:trHeight w:val="165"/>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80" w:type="dxa"/>
            <w:vAlign w:val="bottom"/>
            <w:gridSpan w:val="2"/>
          </w:tcPr>
          <w:p>
            <w:pPr>
              <w:ind w:left="520"/>
              <w:spacing w:after="0"/>
              <w:rPr>
                <w:sz w:val="20"/>
                <w:szCs w:val="20"/>
                <w:color w:val="auto"/>
              </w:rPr>
            </w:pPr>
            <w:r>
              <w:rPr>
                <w:rFonts w:ascii="Arial" w:cs="Arial" w:eastAsia="Arial" w:hAnsi="Arial"/>
                <w:sz w:val="15"/>
                <w:szCs w:val="15"/>
                <w:color w:val="auto"/>
              </w:rPr>
              <w:t>(In Thousands of Dollars)</w:t>
            </w:r>
          </w:p>
        </w:tc>
        <w:tc>
          <w:tcPr>
            <w:tcW w:w="1300" w:type="dxa"/>
            <w:vAlign w:val="bottom"/>
            <w:tcBorders>
              <w:bottom w:val="single" w:sz="8" w:color="auto"/>
            </w:tcBorders>
            <w:gridSpan w:val="2"/>
          </w:tcPr>
          <w:p>
            <w:pPr>
              <w:jc w:val="right"/>
              <w:ind w:right="325"/>
              <w:spacing w:after="0"/>
              <w:rPr>
                <w:sz w:val="20"/>
                <w:szCs w:val="20"/>
                <w:color w:val="auto"/>
              </w:rPr>
            </w:pPr>
            <w:r>
              <w:rPr>
                <w:rFonts w:ascii="Arial" w:cs="Arial" w:eastAsia="Arial" w:hAnsi="Arial"/>
                <w:sz w:val="15"/>
                <w:szCs w:val="15"/>
                <w:b w:val="1"/>
                <w:bCs w:val="1"/>
                <w:color w:val="auto"/>
              </w:rPr>
              <w:t>01/01/07</w:t>
            </w:r>
          </w:p>
        </w:tc>
        <w:tc>
          <w:tcPr>
            <w:tcW w:w="26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5"/>
                <w:szCs w:val="15"/>
                <w:b w:val="1"/>
                <w:bCs w:val="1"/>
                <w:color w:val="auto"/>
              </w:rPr>
              <w:t>Charges</w:t>
            </w: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5"/>
                <w:szCs w:val="15"/>
                <w:b w:val="1"/>
                <w:bCs w:val="1"/>
                <w:color w:val="auto"/>
                <w:w w:val="89"/>
              </w:rPr>
              <w:t>Paid in 2007</w:t>
            </w:r>
          </w:p>
        </w:tc>
        <w:tc>
          <w:tcPr>
            <w:tcW w:w="260" w:type="dxa"/>
            <w:vAlign w:val="bottom"/>
          </w:tcPr>
          <w:p>
            <w:pPr>
              <w:spacing w:after="0"/>
              <w:rPr>
                <w:sz w:val="17"/>
                <w:szCs w:val="17"/>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1"/>
              </w:rPr>
              <w:t>Currency Impacts</w:t>
            </w:r>
          </w:p>
        </w:tc>
        <w:tc>
          <w:tcPr>
            <w:tcW w:w="260" w:type="dxa"/>
            <w:vAlign w:val="bottom"/>
            <w:gridSpan w:val="2"/>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06/30/07</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4"/>
              </w:rPr>
              <w:t>Severance and other employee costs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rPr>
              <w:t>309</w:t>
            </w:r>
          </w:p>
        </w:tc>
        <w:tc>
          <w:tcPr>
            <w:tcW w:w="2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1"/>
              </w:rPr>
              <w:t>$ (15)</w:t>
            </w:r>
          </w:p>
        </w:tc>
        <w:tc>
          <w:tcPr>
            <w:tcW w:w="2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rPr>
              <w:t>8</w:t>
            </w:r>
          </w:p>
        </w:tc>
        <w:tc>
          <w:tcPr>
            <w:tcW w:w="1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left="365"/>
              <w:spacing w:after="0"/>
              <w:rPr>
                <w:sz w:val="20"/>
                <w:szCs w:val="20"/>
                <w:color w:val="auto"/>
              </w:rPr>
            </w:pPr>
            <w:r>
              <w:rPr>
                <w:rFonts w:ascii="Arial" w:cs="Arial" w:eastAsia="Arial" w:hAnsi="Arial"/>
                <w:sz w:val="15"/>
                <w:szCs w:val="15"/>
                <w:color w:val="auto"/>
              </w:rPr>
              <w:t>$ 302</w:t>
            </w:r>
          </w:p>
        </w:tc>
        <w:tc>
          <w:tcPr>
            <w:tcW w:w="4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385"/>
              <w:spacing w:after="0"/>
              <w:rPr>
                <w:sz w:val="20"/>
                <w:szCs w:val="20"/>
                <w:color w:val="auto"/>
              </w:rPr>
            </w:pPr>
            <w:r>
              <w:rPr>
                <w:rFonts w:ascii="Arial" w:cs="Arial" w:eastAsia="Arial" w:hAnsi="Arial"/>
                <w:sz w:val="15"/>
                <w:szCs w:val="15"/>
                <w:color w:val="auto"/>
              </w:rPr>
              <w:t>309</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0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5"/>
                <w:szCs w:val="15"/>
                <w:color w:val="auto"/>
                <w:w w:val="91"/>
              </w:rPr>
              <w:t>$ (15)</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05"/>
              <w:spacing w:after="0"/>
              <w:rPr>
                <w:sz w:val="20"/>
                <w:szCs w:val="20"/>
                <w:color w:val="auto"/>
              </w:rPr>
            </w:pPr>
            <w:r>
              <w:rPr>
                <w:rFonts w:ascii="Arial" w:cs="Arial" w:eastAsia="Arial" w:hAnsi="Arial"/>
                <w:sz w:val="15"/>
                <w:szCs w:val="15"/>
                <w:color w:val="auto"/>
              </w:rPr>
              <w:t>8</w:t>
            </w:r>
          </w:p>
        </w:tc>
        <w:tc>
          <w:tcPr>
            <w:tcW w:w="160" w:type="dxa"/>
            <w:vAlign w:val="bottom"/>
          </w:tcPr>
          <w:p>
            <w:pPr>
              <w:spacing w:after="0"/>
              <w:rPr>
                <w:sz w:val="15"/>
                <w:szCs w:val="15"/>
                <w:color w:val="auto"/>
              </w:rPr>
            </w:pPr>
          </w:p>
        </w:tc>
        <w:tc>
          <w:tcPr>
            <w:tcW w:w="1120" w:type="dxa"/>
            <w:vAlign w:val="bottom"/>
            <w:gridSpan w:val="3"/>
          </w:tcPr>
          <w:p>
            <w:pPr>
              <w:jc w:val="center"/>
              <w:ind w:left="625"/>
              <w:spacing w:after="0"/>
              <w:rPr>
                <w:sz w:val="20"/>
                <w:szCs w:val="20"/>
                <w:color w:val="auto"/>
              </w:rPr>
            </w:pPr>
            <w:r>
              <w:rPr>
                <w:rFonts w:ascii="Arial" w:cs="Arial" w:eastAsia="Arial" w:hAnsi="Arial"/>
                <w:sz w:val="15"/>
                <w:szCs w:val="15"/>
                <w:color w:val="auto"/>
              </w:rPr>
              <w:t>$ 302</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Arial" w:cs="Arial" w:eastAsia="Arial" w:hAnsi="Arial"/>
                <w:sz w:val="15"/>
                <w:szCs w:val="15"/>
                <w:b w:val="1"/>
                <w:bCs w:val="1"/>
                <w:color w:val="auto"/>
              </w:rPr>
              <w:t>Note 3.</w:t>
            </w:r>
          </w:p>
        </w:tc>
        <w:tc>
          <w:tcPr>
            <w:tcW w:w="2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Inventories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40" w:type="dxa"/>
            <w:vAlign w:val="bottom"/>
            <w:vMerge w:val="continue"/>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420" w:type="dxa"/>
            <w:vAlign w:val="bottom"/>
            <w:gridSpan w:val="10"/>
          </w:tcPr>
          <w:p>
            <w:pPr>
              <w:spacing w:after="0"/>
              <w:rPr>
                <w:sz w:val="20"/>
                <w:szCs w:val="20"/>
                <w:color w:val="auto"/>
              </w:rPr>
            </w:pPr>
            <w:r>
              <w:rPr>
                <w:rFonts w:ascii="Arial" w:cs="Arial" w:eastAsia="Arial" w:hAnsi="Arial"/>
                <w:sz w:val="15"/>
                <w:szCs w:val="15"/>
                <w:color w:val="auto"/>
                <w:w w:val="91"/>
              </w:rPr>
              <w:t>Inventories are stated at the lower of cost or market. Cost is determined using the first-in, first-out method.</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520" w:type="dxa"/>
            <w:vAlign w:val="bottom"/>
            <w:gridSpan w:val="3"/>
          </w:tcPr>
          <w:p>
            <w:pPr>
              <w:spacing w:after="0"/>
              <w:rPr>
                <w:sz w:val="20"/>
                <w:szCs w:val="20"/>
                <w:color w:val="auto"/>
              </w:rPr>
            </w:pPr>
            <w:r>
              <w:rPr>
                <w:rFonts w:ascii="Arial" w:cs="Arial" w:eastAsia="Arial" w:hAnsi="Arial"/>
                <w:sz w:val="15"/>
                <w:szCs w:val="15"/>
                <w:color w:val="auto"/>
                <w:w w:val="92"/>
              </w:rPr>
              <w:t>Inventories are comprised of the following (in thousands):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b w:val="1"/>
                <w:bCs w:val="1"/>
                <w:color w:val="auto"/>
              </w:rPr>
              <w:t>June 30,</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245"/>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b w:val="1"/>
                <w:bCs w:val="1"/>
                <w:color w:val="auto"/>
              </w:rPr>
              <w:t>2007</w:t>
            </w: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b w:val="1"/>
                <w:bCs w:val="1"/>
                <w:color w:val="auto"/>
              </w:rPr>
              <w:t>2006</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Raw materials</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12,848</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center"/>
              <w:ind w:left="62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11,828</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Work in process</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8,890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10,427</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25,422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23,596</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Less inventory reserves</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(1,887)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(2,313)</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$ 45,273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43,538</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Inventories on consignment at customer locations as of June 30, 2007 and December 31, 2006 totaled $5,453 and $4,554, respectively.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 w:type="dxa"/>
            <w:vAlign w:val="bottom"/>
          </w:tcPr>
          <w:p>
            <w:pPr>
              <w:spacing w:after="0"/>
              <w:rPr>
                <w:sz w:val="20"/>
                <w:szCs w:val="20"/>
                <w:color w:val="auto"/>
              </w:rPr>
            </w:pPr>
            <w:r>
              <w:rPr>
                <w:rFonts w:ascii="Arial" w:cs="Arial" w:eastAsia="Arial" w:hAnsi="Arial"/>
                <w:sz w:val="15"/>
                <w:szCs w:val="15"/>
                <w:b w:val="1"/>
                <w:bCs w:val="1"/>
                <w:color w:val="auto"/>
              </w:rPr>
              <w:t>Note 4.</w:t>
            </w:r>
          </w:p>
        </w:tc>
        <w:tc>
          <w:tcPr>
            <w:tcW w:w="4540" w:type="dxa"/>
            <w:vAlign w:val="bottom"/>
            <w:gridSpan w:val="3"/>
          </w:tcPr>
          <w:p>
            <w:pPr>
              <w:ind w:left="180"/>
              <w:spacing w:after="0"/>
              <w:rPr>
                <w:sz w:val="20"/>
                <w:szCs w:val="20"/>
                <w:color w:val="auto"/>
              </w:rPr>
            </w:pPr>
            <w:r>
              <w:rPr>
                <w:rFonts w:ascii="Arial" w:cs="Arial" w:eastAsia="Arial" w:hAnsi="Arial"/>
                <w:sz w:val="15"/>
                <w:szCs w:val="15"/>
                <w:b w:val="1"/>
                <w:bCs w:val="1"/>
                <w:color w:val="auto"/>
              </w:rPr>
              <w:t>Net Income Per Share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jc w:val="center"/>
              <w:spacing w:after="0"/>
              <w:rPr>
                <w:sz w:val="20"/>
                <w:szCs w:val="20"/>
                <w:color w:val="auto"/>
              </w:rPr>
            </w:pPr>
            <w:r>
              <w:rPr>
                <w:rFonts w:ascii="Arial" w:cs="Arial" w:eastAsia="Arial" w:hAnsi="Arial"/>
                <w:sz w:val="15"/>
                <w:szCs w:val="15"/>
                <w:b w:val="1"/>
                <w:bCs w:val="1"/>
                <w:color w:val="auto"/>
                <w:w w:val="91"/>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4"/>
          </w:tcPr>
          <w:p>
            <w:pPr>
              <w:jc w:val="center"/>
              <w:ind w:right="85"/>
              <w:spacing w:after="0"/>
              <w:rPr>
                <w:sz w:val="20"/>
                <w:szCs w:val="20"/>
                <w:color w:val="auto"/>
              </w:rPr>
            </w:pPr>
            <w:r>
              <w:rPr>
                <w:rFonts w:ascii="Arial" w:cs="Arial" w:eastAsia="Arial" w:hAnsi="Arial"/>
                <w:sz w:val="15"/>
                <w:szCs w:val="15"/>
                <w:b w:val="1"/>
                <w:bCs w:val="1"/>
                <w:color w:val="auto"/>
                <w:w w:val="90"/>
              </w:rPr>
              <w:t>Six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left="125"/>
              <w:spacing w:after="0"/>
              <w:rPr>
                <w:sz w:val="20"/>
                <w:szCs w:val="20"/>
                <w:color w:val="auto"/>
              </w:rPr>
            </w:pPr>
            <w:r>
              <w:rPr>
                <w:rFonts w:ascii="Arial" w:cs="Arial" w:eastAsia="Arial" w:hAnsi="Arial"/>
                <w:sz w:val="15"/>
                <w:szCs w:val="15"/>
                <w:b w:val="1"/>
                <w:bCs w:val="1"/>
                <w:color w:val="auto"/>
                <w:w w:val="86"/>
              </w:rPr>
              <w:t>June 30,</w:t>
            </w: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left="125"/>
              <w:spacing w:after="0"/>
              <w:rPr>
                <w:sz w:val="20"/>
                <w:szCs w:val="20"/>
                <w:color w:val="auto"/>
              </w:rPr>
            </w:pPr>
            <w:r>
              <w:rPr>
                <w:rFonts w:ascii="Arial" w:cs="Arial" w:eastAsia="Arial" w:hAnsi="Arial"/>
                <w:sz w:val="15"/>
                <w:szCs w:val="15"/>
                <w:b w:val="1"/>
                <w:bCs w:val="1"/>
                <w:color w:val="auto"/>
                <w:w w:val="86"/>
              </w:rPr>
              <w:t>June 30,</w:t>
            </w:r>
          </w:p>
        </w:tc>
        <w:tc>
          <w:tcPr>
            <w:tcW w:w="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640" w:type="dxa"/>
            <w:vAlign w:val="bottom"/>
          </w:tcPr>
          <w:p>
            <w:pPr>
              <w:spacing w:after="0"/>
              <w:rPr>
                <w:sz w:val="24"/>
                <w:szCs w:val="24"/>
                <w:color w:val="auto"/>
              </w:rPr>
            </w:pPr>
          </w:p>
        </w:tc>
        <w:tc>
          <w:tcPr>
            <w:tcW w:w="4540" w:type="dxa"/>
            <w:vAlign w:val="bottom"/>
            <w:gridSpan w:val="3"/>
          </w:tcPr>
          <w:p>
            <w:pPr>
              <w:ind w:left="520"/>
              <w:spacing w:after="0"/>
              <w:rPr>
                <w:sz w:val="20"/>
                <w:szCs w:val="20"/>
                <w:color w:val="auto"/>
              </w:rPr>
            </w:pPr>
            <w:r>
              <w:rPr>
                <w:rFonts w:ascii="Arial" w:cs="Arial" w:eastAsia="Arial" w:hAnsi="Arial"/>
                <w:sz w:val="15"/>
                <w:szCs w:val="15"/>
                <w:color w:val="auto"/>
              </w:rPr>
              <w:t>(Thousands of Dollars, Except Share and Per Share Data)</w:t>
            </w:r>
          </w:p>
        </w:tc>
        <w:tc>
          <w:tcPr>
            <w:tcW w:w="1300" w:type="dxa"/>
            <w:vAlign w:val="bottom"/>
            <w:gridSpan w:val="3"/>
          </w:tcPr>
          <w:p>
            <w:pPr>
              <w:jc w:val="right"/>
              <w:ind w:right="325"/>
              <w:spacing w:after="0"/>
              <w:rPr>
                <w:sz w:val="20"/>
                <w:szCs w:val="20"/>
                <w:color w:val="auto"/>
              </w:rPr>
            </w:pPr>
            <w:r>
              <w:rPr>
                <w:rFonts w:ascii="Arial" w:cs="Arial" w:eastAsia="Arial" w:hAnsi="Arial"/>
                <w:sz w:val="15"/>
                <w:szCs w:val="15"/>
                <w:b w:val="1"/>
                <w:bCs w:val="1"/>
                <w:color w:val="auto"/>
              </w:rPr>
              <w:t>2007</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2006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325"/>
              <w:spacing w:after="0"/>
              <w:rPr>
                <w:sz w:val="20"/>
                <w:szCs w:val="20"/>
                <w:color w:val="auto"/>
              </w:rPr>
            </w:pPr>
            <w:r>
              <w:rPr>
                <w:rFonts w:ascii="Arial" w:cs="Arial" w:eastAsia="Arial" w:hAnsi="Arial"/>
                <w:sz w:val="15"/>
                <w:szCs w:val="15"/>
                <w:b w:val="1"/>
                <w:bCs w:val="1"/>
                <w:color w:val="auto"/>
              </w:rPr>
              <w:t>2007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center"/>
              <w:ind w:right="185"/>
              <w:spacing w:after="0"/>
              <w:rPr>
                <w:sz w:val="20"/>
                <w:szCs w:val="20"/>
                <w:color w:val="auto"/>
              </w:rPr>
            </w:pPr>
            <w:r>
              <w:rPr>
                <w:rFonts w:ascii="Arial" w:cs="Arial" w:eastAsia="Arial" w:hAnsi="Arial"/>
                <w:sz w:val="15"/>
                <w:szCs w:val="15"/>
                <w:b w:val="1"/>
                <w:bCs w:val="1"/>
                <w:color w:val="auto"/>
                <w:w w:val="89"/>
              </w:rPr>
              <w:t>2006</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(11,818)</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0"/>
              </w:rPr>
              <w:t>3,453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8,715</w:t>
            </w: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520" w:type="dxa"/>
            <w:vAlign w:val="bottom"/>
            <w:vMerge w:val="restart"/>
          </w:tcPr>
          <w:p>
            <w:pPr>
              <w:spacing w:after="0"/>
              <w:rPr>
                <w:sz w:val="14"/>
                <w:szCs w:val="14"/>
                <w:color w:val="auto"/>
              </w:rPr>
            </w:pPr>
          </w:p>
        </w:tc>
        <w:tc>
          <w:tcPr>
            <w:tcW w:w="3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basic shares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16,815,249</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17,156,721</w:t>
            </w:r>
          </w:p>
        </w:tc>
        <w:tc>
          <w:tcPr>
            <w:tcW w:w="1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16,813,871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17,152,713</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Arial" w:cs="Arial" w:eastAsia="Arial" w:hAnsi="Arial"/>
                <w:sz w:val="15"/>
                <w:szCs w:val="15"/>
                <w:color w:val="auto"/>
              </w:rPr>
              <w:t>Effect of dilutive stock options</w:t>
            </w:r>
          </w:p>
        </w:tc>
        <w:tc>
          <w:tcPr>
            <w:tcW w:w="2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212,928</w:t>
            </w:r>
          </w:p>
        </w:tc>
        <w:tc>
          <w:tcPr>
            <w:tcW w:w="200" w:type="dxa"/>
            <w:vAlign w:val="bottom"/>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211,863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217,667</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212,291</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dilutive shares outstanding</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17,028,177</w:t>
            </w: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17,368,584</w:t>
            </w: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17,031,538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17,365,004</w:t>
            </w: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520" w:type="dxa"/>
            <w:vAlign w:val="bottom"/>
            <w:vMerge w:val="restart"/>
          </w:tcPr>
          <w:p>
            <w:pPr>
              <w:spacing w:after="0"/>
              <w:rPr>
                <w:sz w:val="14"/>
                <w:szCs w:val="14"/>
                <w:color w:val="auto"/>
              </w:rPr>
            </w:pPr>
          </w:p>
        </w:tc>
        <w:tc>
          <w:tcPr>
            <w:tcW w:w="364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2"/>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Basic net income per share</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(0.70)</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ind w:left="20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20" w:type="dxa"/>
            <w:vAlign w:val="bottom"/>
            <w:gridSpan w:val="2"/>
          </w:tcPr>
          <w:p>
            <w:pPr>
              <w:spacing w:after="0" w:line="164" w:lineRule="exact"/>
              <w:rPr>
                <w:sz w:val="20"/>
                <w:szCs w:val="20"/>
                <w:color w:val="auto"/>
              </w:rPr>
            </w:pPr>
            <w:r>
              <w:rPr>
                <w:rFonts w:ascii="Arial" w:cs="Arial" w:eastAsia="Arial" w:hAnsi="Arial"/>
                <w:sz w:val="15"/>
                <w:szCs w:val="15"/>
                <w:color w:val="auto"/>
              </w:rPr>
              <w:t>Diluted net income per share</w:t>
            </w:r>
          </w:p>
        </w:tc>
        <w:tc>
          <w:tcPr>
            <w:tcW w:w="740" w:type="dxa"/>
            <w:vAlign w:val="bottom"/>
            <w:gridSpan w:val="2"/>
          </w:tcPr>
          <w:p>
            <w:pPr>
              <w:jc w:val="right"/>
              <w:spacing w:after="0" w:line="164"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4" w:lineRule="exact"/>
              <w:rPr>
                <w:sz w:val="20"/>
                <w:szCs w:val="20"/>
                <w:color w:val="auto"/>
              </w:rPr>
            </w:pPr>
            <w:r>
              <w:rPr>
                <w:rFonts w:ascii="Arial" w:cs="Arial" w:eastAsia="Arial" w:hAnsi="Arial"/>
                <w:sz w:val="15"/>
                <w:szCs w:val="15"/>
                <w:color w:val="auto"/>
              </w:rPr>
              <w:t>(0.69)</w:t>
            </w:r>
          </w:p>
        </w:tc>
        <w:tc>
          <w:tcPr>
            <w:tcW w:w="200" w:type="dxa"/>
            <w:vAlign w:val="bottom"/>
          </w:tcPr>
          <w:p>
            <w:pPr>
              <w:spacing w:after="0"/>
              <w:rPr>
                <w:sz w:val="14"/>
                <w:szCs w:val="14"/>
                <w:color w:val="auto"/>
              </w:rPr>
            </w:pPr>
          </w:p>
        </w:tc>
        <w:tc>
          <w:tcPr>
            <w:tcW w:w="700" w:type="dxa"/>
            <w:vAlign w:val="bottom"/>
          </w:tcPr>
          <w:p>
            <w:pPr>
              <w:jc w:val="right"/>
              <w:ind w:right="5"/>
              <w:spacing w:after="0" w:line="164" w:lineRule="exact"/>
              <w:rPr>
                <w:sz w:val="20"/>
                <w:szCs w:val="20"/>
                <w:color w:val="auto"/>
              </w:rPr>
            </w:pPr>
            <w:r>
              <w:rPr>
                <w:rFonts w:ascii="Arial" w:cs="Arial" w:eastAsia="Arial" w:hAnsi="Arial"/>
                <w:sz w:val="15"/>
                <w:szCs w:val="15"/>
                <w:color w:val="auto"/>
              </w:rPr>
              <w:t>$</w:t>
            </w:r>
          </w:p>
        </w:tc>
        <w:tc>
          <w:tcPr>
            <w:tcW w:w="360" w:type="dxa"/>
            <w:vAlign w:val="bottom"/>
            <w:gridSpan w:val="2"/>
          </w:tcPr>
          <w:p>
            <w:pPr>
              <w:jc w:val="right"/>
              <w:spacing w:after="0" w:line="164" w:lineRule="exact"/>
              <w:rPr>
                <w:sz w:val="20"/>
                <w:szCs w:val="20"/>
                <w:color w:val="auto"/>
              </w:rPr>
            </w:pPr>
            <w:r>
              <w:rPr>
                <w:rFonts w:ascii="Arial" w:cs="Arial" w:eastAsia="Arial" w:hAnsi="Arial"/>
                <w:sz w:val="15"/>
                <w:szCs w:val="15"/>
                <w:color w:val="auto"/>
              </w:rPr>
              <w:t>0.20</w:t>
            </w:r>
          </w:p>
        </w:tc>
        <w:tc>
          <w:tcPr>
            <w:tcW w:w="100" w:type="dxa"/>
            <w:vAlign w:val="bottom"/>
          </w:tcPr>
          <w:p>
            <w:pPr>
              <w:spacing w:after="0"/>
              <w:rPr>
                <w:sz w:val="14"/>
                <w:szCs w:val="14"/>
                <w:color w:val="auto"/>
              </w:rPr>
            </w:pPr>
          </w:p>
        </w:tc>
        <w:tc>
          <w:tcPr>
            <w:tcW w:w="640" w:type="dxa"/>
            <w:vAlign w:val="bottom"/>
            <w:gridSpan w:val="2"/>
          </w:tcPr>
          <w:p>
            <w:pPr>
              <w:jc w:val="right"/>
              <w:spacing w:after="0" w:line="164"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4" w:lineRule="exact"/>
              <w:rPr>
                <w:sz w:val="20"/>
                <w:szCs w:val="20"/>
                <w:color w:val="auto"/>
              </w:rPr>
            </w:pPr>
            <w:r>
              <w:rPr>
                <w:rFonts w:ascii="Arial" w:cs="Arial" w:eastAsia="Arial" w:hAnsi="Arial"/>
                <w:sz w:val="15"/>
                <w:szCs w:val="15"/>
                <w:color w:val="auto"/>
              </w:rPr>
              <w:t>(0.47)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center"/>
              <w:ind w:left="205"/>
              <w:spacing w:after="0" w:line="164"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4" w:lineRule="exact"/>
              <w:rPr>
                <w:sz w:val="20"/>
                <w:szCs w:val="20"/>
                <w:color w:val="auto"/>
              </w:rPr>
            </w:pPr>
            <w:r>
              <w:rPr>
                <w:rFonts w:ascii="Arial" w:cs="Arial" w:eastAsia="Arial" w:hAnsi="Arial"/>
                <w:sz w:val="15"/>
                <w:szCs w:val="15"/>
                <w:color w:val="auto"/>
              </w:rPr>
              <w:t>0.50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Excluded from the shares outstanding for the three and six months ended June 30, 2007 were 624,000 anti-dilutive options which had exercise prices ranging from $11.29 to $12.62. There were no anti-dilutive options excluded from shares outstanding for the three and six month periods ended June 30, 2006.</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Note 5.</w:t>
      </w:r>
      <w:r>
        <w:rPr>
          <w:sz w:val="20"/>
          <w:szCs w:val="20"/>
          <w:color w:val="auto"/>
        </w:rPr>
        <w:tab/>
      </w:r>
      <w:r>
        <w:rPr>
          <w:rFonts w:ascii="Arial" w:cs="Arial" w:eastAsia="Arial" w:hAnsi="Arial"/>
          <w:sz w:val="13"/>
          <w:szCs w:val="13"/>
          <w:b w:val="1"/>
          <w:bCs w:val="1"/>
          <w:color w:val="auto"/>
        </w:rPr>
        <w:t>Segment Information</w:t>
      </w:r>
    </w:p>
    <w:p>
      <w:pPr>
        <w:spacing w:after="0" w:line="212"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The segment information and the accounting policies of each segment are the same as those described in the “Segment Information” footnote and the “Summary of Significant Accounting Policies” footnote, respectively, in our annual report on Form 10-K for the fiscal year ended December 31, 2006. We evaluate segment performance based on net income or loss after income taxes. For the three and six month periods ended June 30, 2007, we have reported segment profit excluding restructuring and</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340"/>
          </w:cols>
          <w:pgMar w:left="220" w:top="147" w:right="339" w:bottom="1440" w:gutter="0" w:footer="0" w:header="0"/>
        </w:sectPr>
      </w:pPr>
    </w:p>
    <w:bookmarkStart w:id="8" w:name="page9"/>
    <w:bookmarkEnd w:id="8"/>
    <w:p>
      <w:pPr>
        <w:ind w:left="5440"/>
        <w:spacing w:after="0"/>
        <w:rPr>
          <w:sz w:val="20"/>
          <w:szCs w:val="20"/>
          <w:color w:val="auto"/>
        </w:rPr>
      </w:pPr>
      <w:r>
        <w:rPr>
          <w:rFonts w:ascii="Arial" w:cs="Arial" w:eastAsia="Arial" w:hAnsi="Arial"/>
          <w:sz w:val="15"/>
          <w:szCs w:val="15"/>
          <w:b w:val="1"/>
          <w:bCs w:val="1"/>
          <w:color w:val="auto"/>
        </w:rPr>
        <w:t>NN, Inc.</w:t>
      </w:r>
    </w:p>
    <w:p>
      <w:pPr>
        <w:spacing w:after="0" w:line="29"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9" w:lineRule="exact"/>
        <w:rPr>
          <w:sz w:val="20"/>
          <w:szCs w:val="20"/>
          <w:color w:val="auto"/>
        </w:rPr>
      </w:pPr>
    </w:p>
    <w:p>
      <w:pPr>
        <w:ind w:left="5360"/>
        <w:spacing w:after="0"/>
        <w:rPr>
          <w:sz w:val="20"/>
          <w:szCs w:val="20"/>
          <w:color w:val="auto"/>
        </w:rPr>
      </w:pPr>
      <w:r>
        <w:rPr>
          <w:rFonts w:ascii="Arial" w:cs="Arial" w:eastAsia="Arial" w:hAnsi="Arial"/>
          <w:sz w:val="15"/>
          <w:szCs w:val="15"/>
          <w:b w:val="1"/>
          <w:bCs w:val="1"/>
          <w:color w:val="auto"/>
        </w:rPr>
        <w:t>(unaudited)</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impairment charges, a non-GAAP accounting measure, as this information is utilized by our chief operating decision maker to examine segment profitability. Additionally, this new line item was added to show only operational performance and to enhance comparability to the prior periods. We account for inter-segment sales and transfers at current market prices. We did not have any significant inter-segment transactions during the three and six month periods ended June 30, 2007 and 2006. As discussed in our annual report on Form 10-K for the year ended December 31, 2006, we changed our segment reporting during the fourth quarter of 2006. The three and six month periods ended June 30, 2006 have been restated to conform to the current presentation.</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Arial" w:cs="Arial" w:eastAsia="Arial" w:hAnsi="Arial"/>
                <w:sz w:val="15"/>
                <w:szCs w:val="15"/>
                <w:color w:val="auto"/>
                <w:w w:val="92"/>
              </w:rPr>
              <w:t>&amp;# 160;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6"/>
          </w:tcPr>
          <w:p>
            <w:pPr>
              <w:spacing w:after="0"/>
              <w:rPr>
                <w:sz w:val="20"/>
                <w:szCs w:val="20"/>
                <w:color w:val="auto"/>
              </w:rPr>
            </w:pPr>
            <w:r>
              <w:rPr>
                <w:rFonts w:ascii="Arial" w:cs="Arial" w:eastAsia="Arial" w:hAnsi="Arial"/>
                <w:sz w:val="15"/>
                <w:szCs w:val="15"/>
                <w:b w:val="1"/>
                <w:bCs w:val="1"/>
                <w:color w:val="auto"/>
                <w:w w:val="88"/>
              </w:rPr>
              <w:t>Three Months Ended June 30,</w:t>
            </w: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2"/>
              </w:rPr>
              <w:t>60;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restart"/>
          </w:tcPr>
          <w:p>
            <w:pPr>
              <w:jc w:val="right"/>
              <w:ind w:right="125"/>
              <w:spacing w:after="0"/>
              <w:rPr>
                <w:sz w:val="20"/>
                <w:szCs w:val="20"/>
                <w:color w:val="auto"/>
              </w:rPr>
            </w:pPr>
            <w:r>
              <w:rPr>
                <w:rFonts w:ascii="Arial" w:cs="Arial" w:eastAsia="Arial" w:hAnsi="Arial"/>
                <w:sz w:val="15"/>
                <w:szCs w:val="15"/>
                <w:b w:val="1"/>
                <w:bCs w:val="1"/>
                <w:color w:val="auto"/>
                <w:w w:val="83"/>
              </w:rPr>
              <w:t>2006</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gridSpan w:val="2"/>
          </w:tcPr>
          <w:p>
            <w:pPr>
              <w:jc w:val="right"/>
              <w:ind w:right="80"/>
              <w:spacing w:after="0" w:line="137" w:lineRule="exact"/>
              <w:rPr>
                <w:sz w:val="20"/>
                <w:szCs w:val="20"/>
                <w:color w:val="auto"/>
              </w:rPr>
            </w:pPr>
            <w:r>
              <w:rPr>
                <w:rFonts w:ascii="Arial" w:cs="Arial" w:eastAsia="Arial" w:hAnsi="Arial"/>
                <w:sz w:val="15"/>
                <w:szCs w:val="15"/>
                <w:b w:val="1"/>
                <w:bCs w:val="1"/>
                <w:color w:val="auto"/>
                <w:w w:val="95"/>
              </w:rPr>
              <w:t>2007</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jc w:val="center"/>
              <w:ind w:right="40"/>
              <w:spacing w:after="0" w:line="160" w:lineRule="exact"/>
              <w:rPr>
                <w:sz w:val="20"/>
                <w:szCs w:val="20"/>
                <w:color w:val="auto"/>
              </w:rPr>
            </w:pPr>
            <w:r>
              <w:rPr>
                <w:rFonts w:ascii="Arial" w:cs="Arial" w:eastAsia="Arial" w:hAnsi="Arial"/>
                <w:sz w:val="15"/>
                <w:szCs w:val="15"/>
                <w:b w:val="1"/>
                <w:bCs w:val="1"/>
                <w:color w:val="auto"/>
                <w:w w:val="85"/>
              </w:rPr>
              <w:t>Precision</w:t>
            </w:r>
          </w:p>
        </w:tc>
        <w:tc>
          <w:tcPr>
            <w:tcW w:w="920" w:type="dxa"/>
            <w:vAlign w:val="bottom"/>
            <w:gridSpan w:val="2"/>
          </w:tcPr>
          <w:p>
            <w:pPr>
              <w:jc w:val="center"/>
              <w:spacing w:after="0" w:line="160" w:lineRule="exact"/>
              <w:rPr>
                <w:sz w:val="20"/>
                <w:szCs w:val="20"/>
                <w:color w:val="auto"/>
              </w:rPr>
            </w:pPr>
            <w:r>
              <w:rPr>
                <w:rFonts w:ascii="Arial" w:cs="Arial" w:eastAsia="Arial" w:hAnsi="Arial"/>
                <w:sz w:val="15"/>
                <w:szCs w:val="15"/>
                <w:b w:val="1"/>
                <w:bCs w:val="1"/>
                <w:color w:val="auto"/>
                <w:w w:val="88"/>
              </w:rPr>
              <w:t>Plastic and</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right w:val="single" w:sz="8" w:color="808080"/>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center"/>
              <w:ind w:left="25"/>
              <w:spacing w:after="0" w:line="160" w:lineRule="exact"/>
              <w:rPr>
                <w:sz w:val="20"/>
                <w:szCs w:val="20"/>
                <w:color w:val="auto"/>
              </w:rPr>
            </w:pPr>
            <w:r>
              <w:rPr>
                <w:rFonts w:ascii="Arial" w:cs="Arial" w:eastAsia="Arial" w:hAnsi="Arial"/>
                <w:sz w:val="15"/>
                <w:szCs w:val="15"/>
                <w:b w:val="1"/>
                <w:bCs w:val="1"/>
                <w:color w:val="auto"/>
                <w:w w:val="85"/>
              </w:rPr>
              <w:t>Precision</w:t>
            </w:r>
          </w:p>
        </w:tc>
        <w:tc>
          <w:tcPr>
            <w:tcW w:w="160" w:type="dxa"/>
            <w:vAlign w:val="bottom"/>
          </w:tcPr>
          <w:p>
            <w:pPr>
              <w:spacing w:after="0"/>
              <w:rPr>
                <w:sz w:val="13"/>
                <w:szCs w:val="13"/>
                <w:color w:val="auto"/>
              </w:rPr>
            </w:pPr>
          </w:p>
        </w:tc>
        <w:tc>
          <w:tcPr>
            <w:tcW w:w="1080" w:type="dxa"/>
            <w:vAlign w:val="bottom"/>
            <w:gridSpan w:val="2"/>
          </w:tcPr>
          <w:p>
            <w:pPr>
              <w:jc w:val="center"/>
              <w:ind w:right="65"/>
              <w:spacing w:after="0" w:line="160" w:lineRule="exact"/>
              <w:rPr>
                <w:sz w:val="20"/>
                <w:szCs w:val="20"/>
                <w:color w:val="auto"/>
              </w:rPr>
            </w:pPr>
            <w:r>
              <w:rPr>
                <w:rFonts w:ascii="Arial" w:cs="Arial" w:eastAsia="Arial" w:hAnsi="Arial"/>
                <w:sz w:val="15"/>
                <w:szCs w:val="15"/>
                <w:b w:val="1"/>
                <w:bCs w:val="1"/>
                <w:color w:val="auto"/>
                <w:w w:val="88"/>
              </w:rPr>
              <w:t>Plastic and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93"/>
              </w:rPr>
              <w:t>Metal Bearing</w:t>
            </w:r>
          </w:p>
        </w:tc>
        <w:tc>
          <w:tcPr>
            <w:tcW w:w="94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8"/>
              </w:rPr>
              <w:t>Metal</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Rubber</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right w:val="single" w:sz="8" w:color="808080"/>
            </w:tcBorders>
          </w:tcPr>
          <w:p>
            <w:pPr>
              <w:spacing w:after="0"/>
              <w:rPr>
                <w:sz w:val="15"/>
                <w:szCs w:val="15"/>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91"/>
              </w:rPr>
              <w:t>Metal Bearing</w:t>
            </w:r>
          </w:p>
        </w:tc>
        <w:tc>
          <w:tcPr>
            <w:tcW w:w="760" w:type="dxa"/>
            <w:vAlign w:val="bottom"/>
          </w:tcPr>
          <w:p>
            <w:pPr>
              <w:jc w:val="center"/>
              <w:ind w:left="45"/>
              <w:spacing w:after="0"/>
              <w:rPr>
                <w:sz w:val="20"/>
                <w:szCs w:val="20"/>
                <w:color w:val="auto"/>
              </w:rPr>
            </w:pPr>
            <w:r>
              <w:rPr>
                <w:rFonts w:ascii="Arial" w:cs="Arial" w:eastAsia="Arial" w:hAnsi="Arial"/>
                <w:sz w:val="15"/>
                <w:szCs w:val="15"/>
                <w:b w:val="1"/>
                <w:bCs w:val="1"/>
                <w:color w:val="auto"/>
                <w:w w:val="93"/>
              </w:rPr>
              <w:t>Metal</w:t>
            </w:r>
          </w:p>
        </w:tc>
        <w:tc>
          <w:tcPr>
            <w:tcW w:w="160" w:type="dxa"/>
            <w:vAlign w:val="bottom"/>
          </w:tcPr>
          <w:p>
            <w:pPr>
              <w:spacing w:after="0"/>
              <w:rPr>
                <w:sz w:val="15"/>
                <w:szCs w:val="15"/>
                <w:color w:val="auto"/>
              </w:rPr>
            </w:pPr>
          </w:p>
        </w:tc>
        <w:tc>
          <w:tcPr>
            <w:tcW w:w="10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95"/>
              </w:rPr>
              <w:t>Rubber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gridSpan w:val="3"/>
          </w:tcPr>
          <w:p>
            <w:pPr>
              <w:spacing w:after="0"/>
              <w:rPr>
                <w:sz w:val="20"/>
                <w:szCs w:val="20"/>
                <w:color w:val="auto"/>
              </w:rPr>
            </w:pPr>
            <w:r>
              <w:rPr>
                <w:rFonts w:ascii="Arial" w:cs="Arial" w:eastAsia="Arial" w:hAnsi="Arial"/>
                <w:sz w:val="15"/>
                <w:szCs w:val="15"/>
                <w:color w:val="auto"/>
              </w:rPr>
              <w:t>(In Thousands of</w:t>
            </w:r>
          </w:p>
        </w:tc>
        <w:tc>
          <w:tcPr>
            <w:tcW w:w="96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87"/>
              </w:rPr>
              <w:t>Components</w:t>
            </w:r>
          </w:p>
        </w:tc>
        <w:tc>
          <w:tcPr>
            <w:tcW w:w="94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87"/>
              </w:rPr>
              <w:t>Components</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Components</w:t>
            </w:r>
          </w:p>
        </w:tc>
        <w:tc>
          <w:tcPr>
            <w:tcW w:w="940" w:type="dxa"/>
            <w:vAlign w:val="bottom"/>
            <w:gridSpan w:val="3"/>
          </w:tcPr>
          <w:p>
            <w:pPr>
              <w:ind w:left="360"/>
              <w:spacing w:after="0"/>
              <w:rPr>
                <w:sz w:val="20"/>
                <w:szCs w:val="20"/>
                <w:color w:val="auto"/>
              </w:rPr>
            </w:pPr>
            <w:r>
              <w:rPr>
                <w:rFonts w:ascii="Arial" w:cs="Arial" w:eastAsia="Arial" w:hAnsi="Arial"/>
                <w:sz w:val="15"/>
                <w:szCs w:val="15"/>
                <w:b w:val="1"/>
                <w:bCs w:val="1"/>
                <w:color w:val="auto"/>
              </w:rPr>
              <w:t>All</w:t>
            </w:r>
          </w:p>
        </w:tc>
        <w:tc>
          <w:tcPr>
            <w:tcW w:w="80" w:type="dxa"/>
            <w:vAlign w:val="bottom"/>
            <w:tcBorders>
              <w:right w:val="single" w:sz="8" w:color="808080"/>
            </w:tcBorders>
          </w:tcPr>
          <w:p>
            <w:pPr>
              <w:spacing w:after="0"/>
              <w:rPr>
                <w:sz w:val="15"/>
                <w:szCs w:val="15"/>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5"/>
                <w:szCs w:val="15"/>
                <w:b w:val="1"/>
                <w:bCs w:val="1"/>
                <w:color w:val="auto"/>
                <w:w w:val="87"/>
              </w:rPr>
              <w:t>Components</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Components</w:t>
            </w:r>
          </w:p>
        </w:tc>
        <w:tc>
          <w:tcPr>
            <w:tcW w:w="1080" w:type="dxa"/>
            <w:vAlign w:val="bottom"/>
            <w:gridSpan w:val="2"/>
          </w:tcPr>
          <w:p>
            <w:pPr>
              <w:jc w:val="center"/>
              <w:ind w:right="85"/>
              <w:spacing w:after="0"/>
              <w:rPr>
                <w:sz w:val="20"/>
                <w:szCs w:val="20"/>
                <w:color w:val="auto"/>
              </w:rPr>
            </w:pPr>
            <w:r>
              <w:rPr>
                <w:rFonts w:ascii="Arial" w:cs="Arial" w:eastAsia="Arial" w:hAnsi="Arial"/>
                <w:sz w:val="15"/>
                <w:szCs w:val="15"/>
                <w:b w:val="1"/>
                <w:bCs w:val="1"/>
                <w:color w:val="auto"/>
                <w:w w:val="87"/>
              </w:rPr>
              <w:t>Components</w:t>
            </w:r>
          </w:p>
        </w:tc>
        <w:tc>
          <w:tcPr>
            <w:tcW w:w="820" w:type="dxa"/>
            <w:vAlign w:val="bottom"/>
            <w:gridSpan w:val="3"/>
          </w:tcPr>
          <w:p>
            <w:pPr>
              <w:ind w:left="240"/>
              <w:spacing w:after="0"/>
              <w:rPr>
                <w:sz w:val="20"/>
                <w:szCs w:val="20"/>
                <w:color w:val="auto"/>
              </w:rPr>
            </w:pPr>
            <w:r>
              <w:rPr>
                <w:rFonts w:ascii="Arial" w:cs="Arial" w:eastAsia="Arial" w:hAnsi="Arial"/>
                <w:sz w:val="15"/>
                <w:szCs w:val="15"/>
                <w:b w:val="1"/>
                <w:bCs w:val="1"/>
                <w:color w:val="auto"/>
              </w:rPr>
              <w:t>All</w:t>
            </w:r>
          </w:p>
        </w:tc>
        <w:tc>
          <w:tcPr>
            <w:tcW w:w="0" w:type="dxa"/>
            <w:vAlign w:val="bottom"/>
          </w:tcPr>
          <w:p>
            <w:pPr>
              <w:spacing w:after="0"/>
              <w:rPr>
                <w:sz w:val="1"/>
                <w:szCs w:val="1"/>
                <w:color w:val="auto"/>
              </w:rPr>
            </w:pPr>
          </w:p>
        </w:tc>
      </w:tr>
      <w:tr>
        <w:trPr>
          <w:trHeight w:val="196"/>
        </w:trPr>
        <w:tc>
          <w:tcPr>
            <w:tcW w:w="1520" w:type="dxa"/>
            <w:vAlign w:val="bottom"/>
            <w:gridSpan w:val="3"/>
          </w:tcPr>
          <w:p>
            <w:pPr>
              <w:spacing w:after="0"/>
              <w:rPr>
                <w:sz w:val="20"/>
                <w:szCs w:val="20"/>
                <w:color w:val="auto"/>
              </w:rPr>
            </w:pPr>
            <w:r>
              <w:rPr>
                <w:rFonts w:ascii="Arial" w:cs="Arial" w:eastAsia="Arial" w:hAnsi="Arial"/>
                <w:sz w:val="15"/>
                <w:szCs w:val="15"/>
                <w:color w:val="auto"/>
              </w:rPr>
              <w:t>Dollars)</w:t>
            </w:r>
          </w:p>
        </w:tc>
        <w:tc>
          <w:tcPr>
            <w:tcW w:w="100" w:type="dxa"/>
            <w:vAlign w:val="bottom"/>
          </w:tcPr>
          <w:p>
            <w:pPr>
              <w:spacing w:after="0"/>
              <w:rPr>
                <w:sz w:val="17"/>
                <w:szCs w:val="17"/>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5"/>
              </w:rPr>
              <w:t>Segment</w:t>
            </w:r>
          </w:p>
        </w:tc>
        <w:tc>
          <w:tcPr>
            <w:tcW w:w="94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85"/>
              </w:rPr>
              <w:t>Segment</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5"/>
              </w:rPr>
              <w:t>Segment</w:t>
            </w:r>
          </w:p>
        </w:tc>
        <w:tc>
          <w:tcPr>
            <w:tcW w:w="94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rPr>
              <w:t>Other</w:t>
            </w:r>
          </w:p>
        </w:tc>
        <w:tc>
          <w:tcPr>
            <w:tcW w:w="80" w:type="dxa"/>
            <w:vAlign w:val="bottom"/>
            <w:tcBorders>
              <w:right w:val="single" w:sz="8" w:color="808080"/>
            </w:tcBorders>
          </w:tcPr>
          <w:p>
            <w:pPr>
              <w:spacing w:after="0"/>
              <w:rPr>
                <w:sz w:val="17"/>
                <w:szCs w:val="17"/>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85"/>
              </w:rPr>
              <w:t>Segment</w:t>
            </w:r>
          </w:p>
        </w:tc>
        <w:tc>
          <w:tcPr>
            <w:tcW w:w="760" w:type="dxa"/>
            <w:vAlign w:val="bottom"/>
          </w:tcPr>
          <w:p>
            <w:pPr>
              <w:jc w:val="center"/>
              <w:ind w:left="25"/>
              <w:spacing w:after="0"/>
              <w:rPr>
                <w:sz w:val="20"/>
                <w:szCs w:val="20"/>
                <w:color w:val="auto"/>
              </w:rPr>
            </w:pPr>
            <w:r>
              <w:rPr>
                <w:rFonts w:ascii="Arial" w:cs="Arial" w:eastAsia="Arial" w:hAnsi="Arial"/>
                <w:sz w:val="15"/>
                <w:szCs w:val="15"/>
                <w:b w:val="1"/>
                <w:bCs w:val="1"/>
                <w:color w:val="auto"/>
                <w:w w:val="85"/>
              </w:rPr>
              <w:t>Segment</w:t>
            </w:r>
          </w:p>
        </w:tc>
        <w:tc>
          <w:tcPr>
            <w:tcW w:w="160" w:type="dxa"/>
            <w:vAlign w:val="bottom"/>
          </w:tcPr>
          <w:p>
            <w:pPr>
              <w:spacing w:after="0"/>
              <w:rPr>
                <w:sz w:val="17"/>
                <w:szCs w:val="17"/>
                <w:color w:val="auto"/>
              </w:rPr>
            </w:pPr>
          </w:p>
        </w:tc>
        <w:tc>
          <w:tcPr>
            <w:tcW w:w="10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85"/>
              </w:rPr>
              <w:t>Segment</w:t>
            </w:r>
          </w:p>
        </w:tc>
        <w:tc>
          <w:tcPr>
            <w:tcW w:w="820" w:type="dxa"/>
            <w:vAlign w:val="bottom"/>
            <w:gridSpan w:val="3"/>
          </w:tcPr>
          <w:p>
            <w:pPr>
              <w:ind w:left="140"/>
              <w:spacing w:after="0"/>
              <w:rPr>
                <w:sz w:val="20"/>
                <w:szCs w:val="20"/>
                <w:color w:val="auto"/>
              </w:rPr>
            </w:pPr>
            <w:r>
              <w:rPr>
                <w:rFonts w:ascii="Arial" w:cs="Arial" w:eastAsia="Arial" w:hAnsi="Arial"/>
                <w:sz w:val="15"/>
                <w:szCs w:val="15"/>
                <w:b w:val="1"/>
                <w:bCs w:val="1"/>
                <w:color w:val="auto"/>
              </w:rPr>
              <w:t>Other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0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w w:val="92"/>
              </w:rPr>
              <w:t>Revenues from external</w:t>
            </w: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customers</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$ 76,275</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$ 17,108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$ 13,919</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right w:val="single" w:sz="8" w:color="auto"/>
            </w:tcBorders>
            <w:shd w:val="clear" w:color="auto" w:fill="CCEEFF"/>
          </w:tcPr>
          <w:p>
            <w:pPr>
              <w:spacing w:after="0"/>
              <w:rPr>
                <w:sz w:val="16"/>
                <w:szCs w:val="16"/>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69,965</w:t>
            </w:r>
          </w:p>
        </w:tc>
        <w:tc>
          <w:tcPr>
            <w:tcW w:w="76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color w:val="auto"/>
                <w:w w:val="79"/>
              </w:rPr>
              <w:t>--</w:t>
            </w:r>
          </w:p>
        </w:tc>
        <w:tc>
          <w:tcPr>
            <w:tcW w:w="108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rPr>
              <w:t>$ 13,589</w:t>
            </w:r>
          </w:p>
        </w:tc>
        <w:tc>
          <w:tcPr>
            <w:tcW w:w="2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5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5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Segment profit (loss)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excluding restructuring</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and impairment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changes</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4,826</w:t>
            </w:r>
          </w:p>
        </w:tc>
        <w:tc>
          <w:tcPr>
            <w:tcW w:w="5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(507)</w:t>
            </w: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4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6"/>
              </w:rPr>
              <w:t>(1,894)</w:t>
            </w:r>
          </w:p>
        </w:tc>
        <w:tc>
          <w:tcPr>
            <w:tcW w:w="8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4,120</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color w:val="auto"/>
                <w:w w:val="79"/>
              </w:rPr>
              <w:t>--</w:t>
            </w: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777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(1,444)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00" w:type="dxa"/>
            <w:vAlign w:val="bottom"/>
            <w:gridSpan w:val="2"/>
          </w:tcPr>
          <w:p>
            <w:pPr>
              <w:spacing w:after="0" w:line="169" w:lineRule="exact"/>
              <w:rPr>
                <w:sz w:val="20"/>
                <w:szCs w:val="20"/>
                <w:color w:val="auto"/>
              </w:rPr>
            </w:pPr>
            <w:r>
              <w:rPr>
                <w:rFonts w:ascii="Arial" w:cs="Arial" w:eastAsia="Arial" w:hAnsi="Arial"/>
                <w:sz w:val="15"/>
                <w:szCs w:val="15"/>
                <w:color w:val="auto"/>
              </w:rPr>
              <w:t>Restructuring and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520" w:type="dxa"/>
            <w:vAlign w:val="bottom"/>
            <w:gridSpan w:val="3"/>
          </w:tcPr>
          <w:p>
            <w:pPr>
              <w:spacing w:after="0"/>
              <w:rPr>
                <w:sz w:val="20"/>
                <w:szCs w:val="20"/>
                <w:color w:val="auto"/>
              </w:rPr>
            </w:pPr>
            <w:r>
              <w:rPr>
                <w:rFonts w:ascii="Arial" w:cs="Arial" w:eastAsia="Arial" w:hAnsi="Arial"/>
                <w:sz w:val="15"/>
                <w:szCs w:val="15"/>
                <w:color w:val="auto"/>
              </w:rPr>
              <w:t>impairment  charges</w:t>
            </w:r>
          </w:p>
        </w:tc>
        <w:tc>
          <w:tcPr>
            <w:tcW w:w="960" w:type="dxa"/>
            <w:vAlign w:val="bottom"/>
            <w:gridSpan w:val="4"/>
          </w:tcPr>
          <w:p>
            <w:pPr>
              <w:jc w:val="right"/>
              <w:ind w:right="20"/>
              <w:spacing w:after="0"/>
              <w:rPr>
                <w:sz w:val="20"/>
                <w:szCs w:val="20"/>
                <w:color w:val="auto"/>
              </w:rPr>
            </w:pPr>
            <w:r>
              <w:rPr>
                <w:rFonts w:ascii="Arial" w:cs="Arial" w:eastAsia="Arial" w:hAnsi="Arial"/>
                <w:sz w:val="15"/>
                <w:szCs w:val="15"/>
                <w:color w:val="auto"/>
              </w:rPr>
              <w:t>(15,269)</w:t>
            </w:r>
          </w:p>
        </w:tc>
        <w:tc>
          <w:tcPr>
            <w:tcW w:w="5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5"/>
                <w:szCs w:val="15"/>
                <w:color w:val="auto"/>
                <w:w w:val="79"/>
              </w:rPr>
              <w:t>--</w:t>
            </w:r>
          </w:p>
        </w:tc>
        <w:tc>
          <w:tcPr>
            <w:tcW w:w="500" w:type="dxa"/>
            <w:vAlign w:val="bottom"/>
          </w:tcPr>
          <w:p>
            <w:pPr>
              <w:spacing w:after="0"/>
              <w:rPr>
                <w:sz w:val="18"/>
                <w:szCs w:val="18"/>
                <w:color w:val="auto"/>
              </w:rPr>
            </w:pPr>
          </w:p>
        </w:tc>
        <w:tc>
          <w:tcPr>
            <w:tcW w:w="5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Deferred income tax</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impacts</w:t>
            </w:r>
          </w:p>
        </w:tc>
        <w:tc>
          <w:tcPr>
            <w:tcW w:w="96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396</w:t>
            </w:r>
          </w:p>
        </w:tc>
        <w:tc>
          <w:tcPr>
            <w:tcW w:w="5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right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5"/>
                <w:szCs w:val="15"/>
                <w:color w:val="auto"/>
              </w:rPr>
              <w:t>Net income (loss)</w:t>
            </w: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color w:val="auto"/>
              </w:rPr>
              <w:t>$ (10,047)</w:t>
            </w:r>
          </w:p>
        </w:tc>
        <w:tc>
          <w:tcPr>
            <w:tcW w:w="520" w:type="dxa"/>
            <w:vAlign w:val="bottom"/>
            <w:tcBorders>
              <w:bottom w:val="single" w:sz="8" w:color="auto"/>
            </w:tcBorders>
          </w:tcPr>
          <w:p>
            <w:pPr>
              <w:jc w:val="center"/>
              <w:ind w:left="285"/>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(507)</w:t>
            </w:r>
          </w:p>
        </w:tc>
        <w:tc>
          <w:tcPr>
            <w:tcW w:w="520" w:type="dxa"/>
            <w:vAlign w:val="bottom"/>
            <w:tcBorders>
              <w:bottom w:val="single" w:sz="8" w:color="auto"/>
            </w:tcBorders>
          </w:tcPr>
          <w:p>
            <w:pPr>
              <w:jc w:val="center"/>
              <w:ind w:left="26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6"/>
              </w:rPr>
              <w:t>(1,894)</w:t>
            </w:r>
          </w:p>
        </w:tc>
        <w:tc>
          <w:tcPr>
            <w:tcW w:w="80" w:type="dxa"/>
            <w:vAlign w:val="bottom"/>
            <w:tcBorders>
              <w:right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4,120</w:t>
            </w:r>
          </w:p>
        </w:tc>
        <w:tc>
          <w:tcPr>
            <w:tcW w:w="760" w:type="dxa"/>
            <w:vAlign w:val="bottom"/>
            <w:tcBorders>
              <w:bottom w:val="single" w:sz="8" w:color="auto"/>
            </w:tcBorders>
          </w:tcPr>
          <w:p>
            <w:pPr>
              <w:jc w:val="center"/>
              <w:ind w:left="45"/>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777</w:t>
            </w:r>
          </w:p>
        </w:tc>
        <w:tc>
          <w:tcPr>
            <w:tcW w:w="38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(1,444)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150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5"/>
                <w:szCs w:val="15"/>
                <w:color w:val="auto"/>
              </w:rPr>
              <w:t>Assets</w:t>
            </w:r>
          </w:p>
        </w:tc>
        <w:tc>
          <w:tcPr>
            <w:tcW w:w="960" w:type="dxa"/>
            <w:vAlign w:val="bottom"/>
            <w:gridSpan w:val="4"/>
          </w:tcPr>
          <w:p>
            <w:pPr>
              <w:jc w:val="right"/>
              <w:ind w:right="20"/>
              <w:spacing w:after="0"/>
              <w:rPr>
                <w:sz w:val="20"/>
                <w:szCs w:val="20"/>
                <w:color w:val="auto"/>
              </w:rPr>
            </w:pPr>
            <w:r>
              <w:rPr>
                <w:rFonts w:ascii="Arial" w:cs="Arial" w:eastAsia="Arial" w:hAnsi="Arial"/>
                <w:sz w:val="15"/>
                <w:szCs w:val="15"/>
                <w:color w:val="auto"/>
              </w:rPr>
              <w:t>$ 230,161</w:t>
            </w:r>
          </w:p>
        </w:tc>
        <w:tc>
          <w:tcPr>
            <w:tcW w:w="940" w:type="dxa"/>
            <w:vAlign w:val="bottom"/>
            <w:gridSpan w:val="3"/>
          </w:tcPr>
          <w:p>
            <w:pPr>
              <w:jc w:val="right"/>
              <w:ind w:right="20"/>
              <w:spacing w:after="0"/>
              <w:rPr>
                <w:sz w:val="20"/>
                <w:szCs w:val="20"/>
                <w:color w:val="auto"/>
              </w:rPr>
            </w:pPr>
            <w:r>
              <w:rPr>
                <w:rFonts w:ascii="Arial" w:cs="Arial" w:eastAsia="Arial" w:hAnsi="Arial"/>
                <w:sz w:val="15"/>
                <w:szCs w:val="15"/>
                <w:color w:val="auto"/>
              </w:rPr>
              <w:t>$ 53,064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$ 52,182</w:t>
            </w:r>
          </w:p>
        </w:tc>
        <w:tc>
          <w:tcPr>
            <w:tcW w:w="460" w:type="dxa"/>
            <w:vAlign w:val="bottom"/>
          </w:tcPr>
          <w:p>
            <w:pPr>
              <w:ind w:left="34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6,981</w:t>
            </w:r>
          </w:p>
        </w:tc>
        <w:tc>
          <w:tcPr>
            <w:tcW w:w="80" w:type="dxa"/>
            <w:vAlign w:val="bottom"/>
            <w:tcBorders>
              <w:right w:val="single" w:sz="8" w:color="auto"/>
            </w:tcBorders>
          </w:tcPr>
          <w:p>
            <w:pPr>
              <w:spacing w:after="0"/>
              <w:rPr>
                <w:sz w:val="15"/>
                <w:szCs w:val="15"/>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w w:val="92"/>
              </w:rPr>
              <w:t>229,456</w:t>
            </w:r>
          </w:p>
        </w:tc>
        <w:tc>
          <w:tcPr>
            <w:tcW w:w="760" w:type="dxa"/>
            <w:vAlign w:val="bottom"/>
          </w:tcPr>
          <w:p>
            <w:pPr>
              <w:jc w:val="center"/>
              <w:ind w:left="45"/>
              <w:spacing w:after="0"/>
              <w:rPr>
                <w:sz w:val="20"/>
                <w:szCs w:val="20"/>
                <w:color w:val="auto"/>
              </w:rPr>
            </w:pPr>
            <w:r>
              <w:rPr>
                <w:rFonts w:ascii="Arial" w:cs="Arial" w:eastAsia="Arial" w:hAnsi="Arial"/>
                <w:sz w:val="15"/>
                <w:szCs w:val="15"/>
                <w:color w:val="auto"/>
                <w:w w:val="95"/>
              </w:rPr>
              <w:t>$</w:t>
            </w:r>
          </w:p>
        </w:tc>
        <w:tc>
          <w:tcPr>
            <w:tcW w:w="160" w:type="dxa"/>
            <w:vAlign w:val="bottom"/>
          </w:tcPr>
          <w:p>
            <w:pPr>
              <w:ind w:left="60"/>
              <w:spacing w:after="0"/>
              <w:rPr>
                <w:sz w:val="20"/>
                <w:szCs w:val="20"/>
                <w:color w:val="auto"/>
              </w:rPr>
            </w:pPr>
            <w:r>
              <w:rPr>
                <w:rFonts w:ascii="Arial" w:cs="Arial" w:eastAsia="Arial" w:hAnsi="Arial"/>
                <w:sz w:val="15"/>
                <w:szCs w:val="15"/>
                <w:color w:val="auto"/>
                <w:w w:val="79"/>
              </w:rPr>
              <w:t>--</w:t>
            </w:r>
          </w:p>
        </w:tc>
        <w:tc>
          <w:tcPr>
            <w:tcW w:w="1080" w:type="dxa"/>
            <w:vAlign w:val="bottom"/>
            <w:gridSpan w:val="2"/>
          </w:tcPr>
          <w:p>
            <w:pPr>
              <w:jc w:val="right"/>
              <w:ind w:right="65"/>
              <w:spacing w:after="0"/>
              <w:rPr>
                <w:sz w:val="20"/>
                <w:szCs w:val="20"/>
                <w:color w:val="auto"/>
              </w:rPr>
            </w:pPr>
            <w:r>
              <w:rPr>
                <w:rFonts w:ascii="Arial" w:cs="Arial" w:eastAsia="Arial" w:hAnsi="Arial"/>
                <w:sz w:val="15"/>
                <w:szCs w:val="15"/>
                <w:color w:val="auto"/>
              </w:rPr>
              <w:t>$ 52,981</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5,763</w:t>
            </w: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gridSpan w:val="9"/>
          </w:tcPr>
          <w:p>
            <w:pPr>
              <w:ind w:left="440"/>
              <w:spacing w:after="0"/>
              <w:rPr>
                <w:sz w:val="20"/>
                <w:szCs w:val="20"/>
                <w:color w:val="auto"/>
              </w:rPr>
            </w:pPr>
            <w:r>
              <w:rPr>
                <w:rFonts w:ascii="Arial" w:cs="Arial" w:eastAsia="Arial" w:hAnsi="Arial"/>
                <w:sz w:val="15"/>
                <w:szCs w:val="15"/>
                <w:b w:val="1"/>
                <w:bCs w:val="1"/>
                <w:color w:val="auto"/>
              </w:rPr>
              <w:t>Six Months Ended June 30,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3"/>
          </w:tcPr>
          <w:p>
            <w:pPr>
              <w:ind w:left="360"/>
              <w:spacing w:after="0"/>
              <w:rPr>
                <w:sz w:val="20"/>
                <w:szCs w:val="20"/>
                <w:color w:val="auto"/>
              </w:rPr>
            </w:pPr>
            <w:r>
              <w:rPr>
                <w:rFonts w:ascii="Arial" w:cs="Arial" w:eastAsia="Arial" w:hAnsi="Arial"/>
                <w:sz w:val="15"/>
                <w:szCs w:val="15"/>
                <w:b w:val="1"/>
                <w:bCs w:val="1"/>
                <w:color w:val="auto"/>
              </w:rPr>
              <w:t>&amp; #160;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60;</w:t>
            </w:r>
          </w:p>
        </w:tc>
        <w:tc>
          <w:tcPr>
            <w:tcW w:w="1220" w:type="dxa"/>
            <w:vAlign w:val="bottom"/>
            <w:vMerge w:val="restart"/>
          </w:tcPr>
          <w:p>
            <w:pPr>
              <w:jc w:val="right"/>
              <w:ind w:right="765"/>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2006</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0" w:type="dxa"/>
            <w:vAlign w:val="bottom"/>
            <w:tcBorders>
              <w:bottom w:val="single" w:sz="8" w:color="auto"/>
            </w:tcBorders>
            <w:gridSpan w:val="2"/>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85"/>
              </w:rPr>
              <w:t>Precision</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Plastic and</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right w:val="single" w:sz="8" w:color="808080"/>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center"/>
              <w:ind w:left="25"/>
              <w:spacing w:after="0"/>
              <w:rPr>
                <w:sz w:val="20"/>
                <w:szCs w:val="20"/>
                <w:color w:val="auto"/>
              </w:rPr>
            </w:pPr>
            <w:r>
              <w:rPr>
                <w:rFonts w:ascii="Arial" w:cs="Arial" w:eastAsia="Arial" w:hAnsi="Arial"/>
                <w:sz w:val="15"/>
                <w:szCs w:val="15"/>
                <w:b w:val="1"/>
                <w:bCs w:val="1"/>
                <w:color w:val="auto"/>
                <w:w w:val="85"/>
              </w:rPr>
              <w:t>Precision</w:t>
            </w:r>
          </w:p>
        </w:tc>
        <w:tc>
          <w:tcPr>
            <w:tcW w:w="160" w:type="dxa"/>
            <w:vAlign w:val="bottom"/>
          </w:tcPr>
          <w:p>
            <w:pPr>
              <w:spacing w:after="0"/>
              <w:rPr>
                <w:sz w:val="15"/>
                <w:szCs w:val="15"/>
                <w:color w:val="auto"/>
              </w:rPr>
            </w:pPr>
          </w:p>
        </w:tc>
        <w:tc>
          <w:tcPr>
            <w:tcW w:w="10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88"/>
              </w:rPr>
              <w:t>Plastic and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93"/>
              </w:rPr>
              <w:t>Metal Bearing</w:t>
            </w:r>
          </w:p>
        </w:tc>
        <w:tc>
          <w:tcPr>
            <w:tcW w:w="94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8"/>
              </w:rPr>
              <w:t>Metal</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Rubber</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right w:val="single" w:sz="8" w:color="808080"/>
            </w:tcBorders>
          </w:tcPr>
          <w:p>
            <w:pPr>
              <w:spacing w:after="0"/>
              <w:rPr>
                <w:sz w:val="15"/>
                <w:szCs w:val="15"/>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91"/>
              </w:rPr>
              <w:t>Metal Bearing</w:t>
            </w:r>
          </w:p>
        </w:tc>
        <w:tc>
          <w:tcPr>
            <w:tcW w:w="760" w:type="dxa"/>
            <w:vAlign w:val="bottom"/>
          </w:tcPr>
          <w:p>
            <w:pPr>
              <w:jc w:val="center"/>
              <w:ind w:left="45"/>
              <w:spacing w:after="0"/>
              <w:rPr>
                <w:sz w:val="20"/>
                <w:szCs w:val="20"/>
                <w:color w:val="auto"/>
              </w:rPr>
            </w:pPr>
            <w:r>
              <w:rPr>
                <w:rFonts w:ascii="Arial" w:cs="Arial" w:eastAsia="Arial" w:hAnsi="Arial"/>
                <w:sz w:val="15"/>
                <w:szCs w:val="15"/>
                <w:b w:val="1"/>
                <w:bCs w:val="1"/>
                <w:color w:val="auto"/>
                <w:w w:val="93"/>
              </w:rPr>
              <w:t>Metal</w:t>
            </w:r>
          </w:p>
        </w:tc>
        <w:tc>
          <w:tcPr>
            <w:tcW w:w="160" w:type="dxa"/>
            <w:vAlign w:val="bottom"/>
          </w:tcPr>
          <w:p>
            <w:pPr>
              <w:spacing w:after="0"/>
              <w:rPr>
                <w:sz w:val="15"/>
                <w:szCs w:val="15"/>
                <w:color w:val="auto"/>
              </w:rPr>
            </w:pPr>
          </w:p>
        </w:tc>
        <w:tc>
          <w:tcPr>
            <w:tcW w:w="10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95"/>
              </w:rPr>
              <w:t>Rubber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gridSpan w:val="3"/>
          </w:tcPr>
          <w:p>
            <w:pPr>
              <w:spacing w:after="0"/>
              <w:rPr>
                <w:sz w:val="20"/>
                <w:szCs w:val="20"/>
                <w:color w:val="auto"/>
              </w:rPr>
            </w:pPr>
            <w:r>
              <w:rPr>
                <w:rFonts w:ascii="Arial" w:cs="Arial" w:eastAsia="Arial" w:hAnsi="Arial"/>
                <w:sz w:val="15"/>
                <w:szCs w:val="15"/>
                <w:color w:val="auto"/>
              </w:rPr>
              <w:t>(In Thousands of</w:t>
            </w:r>
          </w:p>
        </w:tc>
        <w:tc>
          <w:tcPr>
            <w:tcW w:w="96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87"/>
              </w:rPr>
              <w:t>Components</w:t>
            </w:r>
          </w:p>
        </w:tc>
        <w:tc>
          <w:tcPr>
            <w:tcW w:w="94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87"/>
              </w:rPr>
              <w:t>Components</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Components</w:t>
            </w:r>
          </w:p>
        </w:tc>
        <w:tc>
          <w:tcPr>
            <w:tcW w:w="940" w:type="dxa"/>
            <w:vAlign w:val="bottom"/>
            <w:gridSpan w:val="3"/>
          </w:tcPr>
          <w:p>
            <w:pPr>
              <w:ind w:left="360"/>
              <w:spacing w:after="0"/>
              <w:rPr>
                <w:sz w:val="20"/>
                <w:szCs w:val="20"/>
                <w:color w:val="auto"/>
              </w:rPr>
            </w:pPr>
            <w:r>
              <w:rPr>
                <w:rFonts w:ascii="Arial" w:cs="Arial" w:eastAsia="Arial" w:hAnsi="Arial"/>
                <w:sz w:val="15"/>
                <w:szCs w:val="15"/>
                <w:b w:val="1"/>
                <w:bCs w:val="1"/>
                <w:color w:val="auto"/>
              </w:rPr>
              <w:t>All</w:t>
            </w:r>
          </w:p>
        </w:tc>
        <w:tc>
          <w:tcPr>
            <w:tcW w:w="80" w:type="dxa"/>
            <w:vAlign w:val="bottom"/>
            <w:tcBorders>
              <w:right w:val="single" w:sz="8" w:color="808080"/>
            </w:tcBorders>
          </w:tcPr>
          <w:p>
            <w:pPr>
              <w:spacing w:after="0"/>
              <w:rPr>
                <w:sz w:val="15"/>
                <w:szCs w:val="15"/>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5"/>
                <w:szCs w:val="15"/>
                <w:b w:val="1"/>
                <w:bCs w:val="1"/>
                <w:color w:val="auto"/>
                <w:w w:val="87"/>
              </w:rPr>
              <w:t>Components</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Components</w:t>
            </w:r>
          </w:p>
        </w:tc>
        <w:tc>
          <w:tcPr>
            <w:tcW w:w="1080" w:type="dxa"/>
            <w:vAlign w:val="bottom"/>
            <w:gridSpan w:val="2"/>
          </w:tcPr>
          <w:p>
            <w:pPr>
              <w:jc w:val="center"/>
              <w:ind w:right="85"/>
              <w:spacing w:after="0"/>
              <w:rPr>
                <w:sz w:val="20"/>
                <w:szCs w:val="20"/>
                <w:color w:val="auto"/>
              </w:rPr>
            </w:pPr>
            <w:r>
              <w:rPr>
                <w:rFonts w:ascii="Arial" w:cs="Arial" w:eastAsia="Arial" w:hAnsi="Arial"/>
                <w:sz w:val="15"/>
                <w:szCs w:val="15"/>
                <w:b w:val="1"/>
                <w:bCs w:val="1"/>
                <w:color w:val="auto"/>
                <w:w w:val="87"/>
              </w:rPr>
              <w:t>Components</w:t>
            </w:r>
          </w:p>
        </w:tc>
        <w:tc>
          <w:tcPr>
            <w:tcW w:w="820" w:type="dxa"/>
            <w:vAlign w:val="bottom"/>
            <w:gridSpan w:val="3"/>
          </w:tcPr>
          <w:p>
            <w:pPr>
              <w:ind w:left="240"/>
              <w:spacing w:after="0"/>
              <w:rPr>
                <w:sz w:val="20"/>
                <w:szCs w:val="20"/>
                <w:color w:val="auto"/>
              </w:rPr>
            </w:pPr>
            <w:r>
              <w:rPr>
                <w:rFonts w:ascii="Arial" w:cs="Arial" w:eastAsia="Arial" w:hAnsi="Arial"/>
                <w:sz w:val="15"/>
                <w:szCs w:val="15"/>
                <w:b w:val="1"/>
                <w:bCs w:val="1"/>
                <w:color w:val="auto"/>
              </w:rPr>
              <w:t>All</w:t>
            </w:r>
          </w:p>
        </w:tc>
        <w:tc>
          <w:tcPr>
            <w:tcW w:w="0" w:type="dxa"/>
            <w:vAlign w:val="bottom"/>
          </w:tcPr>
          <w:p>
            <w:pPr>
              <w:spacing w:after="0"/>
              <w:rPr>
                <w:sz w:val="1"/>
                <w:szCs w:val="1"/>
                <w:color w:val="auto"/>
              </w:rPr>
            </w:pPr>
          </w:p>
        </w:tc>
      </w:tr>
      <w:tr>
        <w:trPr>
          <w:trHeight w:val="196"/>
        </w:trPr>
        <w:tc>
          <w:tcPr>
            <w:tcW w:w="1520" w:type="dxa"/>
            <w:vAlign w:val="bottom"/>
            <w:gridSpan w:val="3"/>
          </w:tcPr>
          <w:p>
            <w:pPr>
              <w:spacing w:after="0"/>
              <w:rPr>
                <w:sz w:val="20"/>
                <w:szCs w:val="20"/>
                <w:color w:val="auto"/>
              </w:rPr>
            </w:pPr>
            <w:r>
              <w:rPr>
                <w:rFonts w:ascii="Arial" w:cs="Arial" w:eastAsia="Arial" w:hAnsi="Arial"/>
                <w:sz w:val="15"/>
                <w:szCs w:val="15"/>
                <w:color w:val="auto"/>
              </w:rPr>
              <w:t>Dollars)</w:t>
            </w:r>
          </w:p>
        </w:tc>
        <w:tc>
          <w:tcPr>
            <w:tcW w:w="100" w:type="dxa"/>
            <w:vAlign w:val="bottom"/>
          </w:tcPr>
          <w:p>
            <w:pPr>
              <w:spacing w:after="0"/>
              <w:rPr>
                <w:sz w:val="17"/>
                <w:szCs w:val="17"/>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5"/>
              </w:rPr>
              <w:t>Segment</w:t>
            </w:r>
          </w:p>
        </w:tc>
        <w:tc>
          <w:tcPr>
            <w:tcW w:w="94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85"/>
              </w:rPr>
              <w:t>Segment</w:t>
            </w:r>
          </w:p>
        </w:tc>
        <w:tc>
          <w:tcPr>
            <w:tcW w:w="9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5"/>
              </w:rPr>
              <w:t>Segment</w:t>
            </w:r>
          </w:p>
        </w:tc>
        <w:tc>
          <w:tcPr>
            <w:tcW w:w="94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rPr>
              <w:t>Other</w:t>
            </w:r>
          </w:p>
        </w:tc>
        <w:tc>
          <w:tcPr>
            <w:tcW w:w="80" w:type="dxa"/>
            <w:vAlign w:val="bottom"/>
            <w:tcBorders>
              <w:right w:val="single" w:sz="8" w:color="808080"/>
            </w:tcBorders>
          </w:tcPr>
          <w:p>
            <w:pPr>
              <w:spacing w:after="0"/>
              <w:rPr>
                <w:sz w:val="17"/>
                <w:szCs w:val="17"/>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85"/>
              </w:rPr>
              <w:t>Segment</w:t>
            </w:r>
          </w:p>
        </w:tc>
        <w:tc>
          <w:tcPr>
            <w:tcW w:w="760" w:type="dxa"/>
            <w:vAlign w:val="bottom"/>
          </w:tcPr>
          <w:p>
            <w:pPr>
              <w:jc w:val="center"/>
              <w:ind w:left="25"/>
              <w:spacing w:after="0"/>
              <w:rPr>
                <w:sz w:val="20"/>
                <w:szCs w:val="20"/>
                <w:color w:val="auto"/>
              </w:rPr>
            </w:pPr>
            <w:r>
              <w:rPr>
                <w:rFonts w:ascii="Arial" w:cs="Arial" w:eastAsia="Arial" w:hAnsi="Arial"/>
                <w:sz w:val="15"/>
                <w:szCs w:val="15"/>
                <w:b w:val="1"/>
                <w:bCs w:val="1"/>
                <w:color w:val="auto"/>
                <w:w w:val="85"/>
              </w:rPr>
              <w:t>Segment</w:t>
            </w:r>
          </w:p>
        </w:tc>
        <w:tc>
          <w:tcPr>
            <w:tcW w:w="160" w:type="dxa"/>
            <w:vAlign w:val="bottom"/>
          </w:tcPr>
          <w:p>
            <w:pPr>
              <w:spacing w:after="0"/>
              <w:rPr>
                <w:sz w:val="17"/>
                <w:szCs w:val="17"/>
                <w:color w:val="auto"/>
              </w:rPr>
            </w:pPr>
          </w:p>
        </w:tc>
        <w:tc>
          <w:tcPr>
            <w:tcW w:w="10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85"/>
              </w:rPr>
              <w:t>Segment</w:t>
            </w:r>
          </w:p>
        </w:tc>
        <w:tc>
          <w:tcPr>
            <w:tcW w:w="820" w:type="dxa"/>
            <w:vAlign w:val="bottom"/>
            <w:gridSpan w:val="3"/>
          </w:tcPr>
          <w:p>
            <w:pPr>
              <w:ind w:left="140"/>
              <w:spacing w:after="0"/>
              <w:rPr>
                <w:sz w:val="20"/>
                <w:szCs w:val="20"/>
                <w:color w:val="auto"/>
              </w:rPr>
            </w:pPr>
            <w:r>
              <w:rPr>
                <w:rFonts w:ascii="Arial" w:cs="Arial" w:eastAsia="Arial" w:hAnsi="Arial"/>
                <w:sz w:val="15"/>
                <w:szCs w:val="15"/>
                <w:b w:val="1"/>
                <w:bCs w:val="1"/>
                <w:color w:val="auto"/>
              </w:rPr>
              <w:t>Other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0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w w:val="92"/>
              </w:rPr>
              <w:t>Revenues from external</w:t>
            </w: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customers</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$ 153,559</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$ 35,136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$ 26,551</w:t>
            </w:r>
          </w:p>
        </w:tc>
        <w:tc>
          <w:tcPr>
            <w:tcW w:w="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right w:val="single" w:sz="8" w:color="auto"/>
            </w:tcBorders>
            <w:shd w:val="clear" w:color="auto" w:fill="CCEEFF"/>
          </w:tcPr>
          <w:p>
            <w:pPr>
              <w:spacing w:after="0"/>
              <w:rPr>
                <w:sz w:val="16"/>
                <w:szCs w:val="16"/>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141,305</w:t>
            </w:r>
          </w:p>
        </w:tc>
        <w:tc>
          <w:tcPr>
            <w:tcW w:w="7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color w:val="auto"/>
                <w:w w:val="79"/>
              </w:rPr>
              <w:t>--</w:t>
            </w: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1"/>
              </w:rPr>
              <w:t>28,266</w:t>
            </w:r>
          </w:p>
        </w:tc>
        <w:tc>
          <w:tcPr>
            <w:tcW w:w="2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5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5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Segment profit (loss)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95"/>
              </w:rPr>
              <w:t>excluding restructuring</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and</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impairment changes</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9,708</w:t>
            </w:r>
          </w:p>
        </w:tc>
        <w:tc>
          <w:tcPr>
            <w:tcW w:w="5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(460)</w:t>
            </w: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w:t>
            </w:r>
          </w:p>
        </w:tc>
        <w:tc>
          <w:tcPr>
            <w:tcW w:w="4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6"/>
              </w:rPr>
              <w:t>(3,557)</w:t>
            </w:r>
          </w:p>
        </w:tc>
        <w:tc>
          <w:tcPr>
            <w:tcW w:w="8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9,939</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color w:val="auto"/>
                <w:w w:val="79"/>
              </w:rPr>
              <w:t>--</w:t>
            </w: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1,705</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(2,929)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00" w:type="dxa"/>
            <w:vAlign w:val="bottom"/>
            <w:gridSpan w:val="2"/>
          </w:tcPr>
          <w:p>
            <w:pPr>
              <w:spacing w:after="0" w:line="169" w:lineRule="exact"/>
              <w:rPr>
                <w:sz w:val="20"/>
                <w:szCs w:val="20"/>
                <w:color w:val="auto"/>
              </w:rPr>
            </w:pPr>
            <w:r>
              <w:rPr>
                <w:rFonts w:ascii="Arial" w:cs="Arial" w:eastAsia="Arial" w:hAnsi="Arial"/>
                <w:sz w:val="15"/>
                <w:szCs w:val="15"/>
                <w:color w:val="auto"/>
              </w:rPr>
              <w:t>Restructuring and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impairment charges</w:t>
            </w:r>
          </w:p>
        </w:tc>
        <w:tc>
          <w:tcPr>
            <w:tcW w:w="960" w:type="dxa"/>
            <w:vAlign w:val="bottom"/>
            <w:gridSpan w:val="4"/>
          </w:tcPr>
          <w:p>
            <w:pPr>
              <w:jc w:val="right"/>
              <w:ind w:right="20"/>
              <w:spacing w:after="0"/>
              <w:rPr>
                <w:sz w:val="20"/>
                <w:szCs w:val="20"/>
                <w:color w:val="auto"/>
              </w:rPr>
            </w:pPr>
            <w:r>
              <w:rPr>
                <w:rFonts w:ascii="Arial" w:cs="Arial" w:eastAsia="Arial" w:hAnsi="Arial"/>
                <w:sz w:val="15"/>
                <w:szCs w:val="15"/>
                <w:color w:val="auto"/>
              </w:rPr>
              <w:t>(15,269)</w:t>
            </w:r>
          </w:p>
        </w:tc>
        <w:tc>
          <w:tcPr>
            <w:tcW w:w="52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Arial" w:cs="Arial" w:eastAsia="Arial" w:hAnsi="Arial"/>
                <w:sz w:val="15"/>
                <w:szCs w:val="15"/>
                <w:color w:val="auto"/>
                <w:w w:val="79"/>
              </w:rPr>
              <w:t>--</w:t>
            </w:r>
          </w:p>
        </w:tc>
        <w:tc>
          <w:tcPr>
            <w:tcW w:w="500" w:type="dxa"/>
            <w:vAlign w:val="bottom"/>
          </w:tcPr>
          <w:p>
            <w:pPr>
              <w:spacing w:after="0"/>
              <w:rPr>
                <w:sz w:val="15"/>
                <w:szCs w:val="15"/>
                <w:color w:val="auto"/>
              </w:rPr>
            </w:pPr>
          </w:p>
        </w:tc>
        <w:tc>
          <w:tcPr>
            <w:tcW w:w="5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520" w:type="dxa"/>
            <w:vAlign w:val="bottom"/>
            <w:gridSpan w:val="3"/>
          </w:tcPr>
          <w:p>
            <w:pPr>
              <w:spacing w:after="0"/>
              <w:rPr>
                <w:sz w:val="20"/>
                <w:szCs w:val="20"/>
                <w:color w:val="auto"/>
              </w:rPr>
            </w:pPr>
            <w:r>
              <w:rPr>
                <w:rFonts w:ascii="Arial" w:cs="Arial" w:eastAsia="Arial" w:hAnsi="Arial"/>
                <w:sz w:val="15"/>
                <w:szCs w:val="15"/>
                <w:color w:val="auto"/>
              </w:rPr>
              <w:t>Deferred income tax</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impacts</w:t>
            </w: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396</w:t>
            </w: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80" w:type="dxa"/>
            <w:vAlign w:val="bottom"/>
            <w:tcBorders>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79"/>
              </w:rPr>
              <w:t>--</w:t>
            </w:r>
          </w:p>
        </w:tc>
        <w:tc>
          <w:tcPr>
            <w:tcW w:w="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9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  (5,165)</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(460)</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1,119</w:t>
            </w:r>
          </w:p>
        </w:tc>
        <w:tc>
          <w:tcPr>
            <w:tcW w:w="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6"/>
              </w:rPr>
              <w:t>(3,557)</w:t>
            </w:r>
          </w:p>
        </w:tc>
        <w:tc>
          <w:tcPr>
            <w:tcW w:w="80" w:type="dxa"/>
            <w:vAlign w:val="bottom"/>
            <w:tcBorders>
              <w:bottom w:val="single" w:sz="8" w:color="CCEEFF"/>
              <w:right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9,939</w:t>
            </w:r>
          </w:p>
        </w:tc>
        <w:tc>
          <w:tcPr>
            <w:tcW w:w="7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1,705</w:t>
            </w:r>
          </w:p>
        </w:tc>
        <w:tc>
          <w:tcPr>
            <w:tcW w:w="38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(2,929)</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1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Assets</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$ 230,161</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$ 53,064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$ 52,182</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6,981</w:t>
            </w:r>
          </w:p>
        </w:tc>
        <w:tc>
          <w:tcPr>
            <w:tcW w:w="80" w:type="dxa"/>
            <w:vAlign w:val="bottom"/>
            <w:tcBorders>
              <w:right w:val="single" w:sz="8" w:color="auto"/>
            </w:tcBorders>
            <w:shd w:val="clear" w:color="auto" w:fill="CCEEFF"/>
          </w:tcPr>
          <w:p>
            <w:pPr>
              <w:spacing w:after="0"/>
              <w:rPr>
                <w:sz w:val="15"/>
                <w:szCs w:val="15"/>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$ 229,456</w:t>
            </w:r>
          </w:p>
        </w:tc>
        <w:tc>
          <w:tcPr>
            <w:tcW w:w="76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color w:val="auto"/>
                <w:w w:val="79"/>
              </w:rPr>
              <w:t>--</w:t>
            </w:r>
          </w:p>
        </w:tc>
        <w:tc>
          <w:tcPr>
            <w:tcW w:w="108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rPr>
              <w:t>$ 52,981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300"/>
          </w:cols>
          <w:pgMar w:left="220" w:top="147" w:right="379" w:bottom="1440" w:gutter="0" w:footer="0" w:header="0"/>
        </w:sectPr>
      </w:pPr>
    </w:p>
    <w:bookmarkStart w:id="9" w:name="page10"/>
    <w:bookmarkEnd w:id="9"/>
    <w:p>
      <w:pPr>
        <w:ind w:left="5480"/>
        <w:spacing w:after="0"/>
        <w:rPr>
          <w:sz w:val="20"/>
          <w:szCs w:val="20"/>
          <w:color w:val="auto"/>
        </w:rPr>
      </w:pPr>
      <w:r>
        <w:rPr>
          <w:rFonts w:ascii="Arial" w:cs="Arial" w:eastAsia="Arial" w:hAnsi="Arial"/>
          <w:sz w:val="15"/>
          <w:szCs w:val="15"/>
          <w:b w:val="1"/>
          <w:bCs w:val="1"/>
          <w:color w:val="auto"/>
        </w:rPr>
        <w:t>NN, Inc.</w:t>
      </w:r>
    </w:p>
    <w:p>
      <w:pPr>
        <w:spacing w:after="0" w:line="29"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ind w:left="416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9"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3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Note 6.</w:t>
      </w:r>
      <w:r>
        <w:rPr>
          <w:sz w:val="20"/>
          <w:szCs w:val="20"/>
          <w:color w:val="auto"/>
        </w:rPr>
        <w:tab/>
      </w:r>
      <w:r>
        <w:rPr>
          <w:rFonts w:ascii="Arial" w:cs="Arial" w:eastAsia="Arial" w:hAnsi="Arial"/>
          <w:sz w:val="13"/>
          <w:szCs w:val="13"/>
          <w:b w:val="1"/>
          <w:bCs w:val="1"/>
          <w:color w:val="auto"/>
        </w:rPr>
        <w:t>Recent Investing Activity</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The opening balance sheet for the Whirlaway Corporation (“Whirlaway”) acquisition on November 30, 2006 is still in the process of being finalized. For the six month period ended June 30, 2007, Goodwill decreased by $134 as certain opening balance sheet liabilities were reduced to their proper values partially offset by legal costs related to the acquisition paid during 2007. The following unaudited pro-forma financial information shows the net sales, net income, and net income per share for the six month period ended June 30, 2006, as though the acquisition of Whirlaway occurred at the beginning of 2006.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380" w:type="dxa"/>
            <w:vAlign w:val="bottom"/>
            <w:gridSpan w:val="2"/>
          </w:tcPr>
          <w:p>
            <w:pPr>
              <w:jc w:val="right"/>
              <w:ind w:right="1025"/>
              <w:spacing w:after="0"/>
              <w:rPr>
                <w:sz w:val="20"/>
                <w:szCs w:val="20"/>
                <w:color w:val="auto"/>
              </w:rPr>
            </w:pPr>
            <w:r>
              <w:rPr>
                <w:rFonts w:ascii="Arial" w:cs="Arial" w:eastAsia="Arial" w:hAnsi="Arial"/>
                <w:sz w:val="15"/>
                <w:szCs w:val="15"/>
                <w:b w:val="1"/>
                <w:bCs w:val="1"/>
                <w:color w:val="auto"/>
              </w:rPr>
              <w:t>Six Months Ended</w:t>
            </w:r>
          </w:p>
        </w:tc>
      </w:tr>
      <w:tr>
        <w:trPr>
          <w:trHeight w:val="196"/>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380" w:type="dxa"/>
            <w:vAlign w:val="bottom"/>
            <w:tcBorders>
              <w:bottom w:val="single" w:sz="8" w:color="auto"/>
            </w:tcBorders>
            <w:gridSpan w:val="2"/>
          </w:tcPr>
          <w:p>
            <w:pPr>
              <w:jc w:val="right"/>
              <w:ind w:right="1185"/>
              <w:spacing w:after="0"/>
              <w:rPr>
                <w:sz w:val="20"/>
                <w:szCs w:val="20"/>
                <w:color w:val="auto"/>
              </w:rPr>
            </w:pPr>
            <w:r>
              <w:rPr>
                <w:rFonts w:ascii="Arial" w:cs="Arial" w:eastAsia="Arial" w:hAnsi="Arial"/>
                <w:sz w:val="15"/>
                <w:szCs w:val="15"/>
                <w:b w:val="1"/>
                <w:bCs w:val="1"/>
                <w:color w:val="auto"/>
              </w:rPr>
              <w:t>June 30, 2006</w:t>
            </w: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900" w:type="dxa"/>
            <w:vAlign w:val="bottom"/>
            <w:shd w:val="clear" w:color="auto" w:fill="CCEEFF"/>
          </w:tcPr>
          <w:p>
            <w:pPr>
              <w:jc w:val="right"/>
              <w:ind w:right="1305"/>
              <w:spacing w:after="0"/>
              <w:rPr>
                <w:sz w:val="20"/>
                <w:szCs w:val="20"/>
                <w:color w:val="auto"/>
              </w:rPr>
            </w:pPr>
            <w:r>
              <w:rPr>
                <w:rFonts w:ascii="Arial" w:cs="Arial" w:eastAsia="Arial" w:hAnsi="Arial"/>
                <w:sz w:val="15"/>
                <w:szCs w:val="15"/>
                <w:color w:val="auto"/>
                <w:w w:val="92"/>
              </w:rPr>
              <w:t>211,547</w:t>
            </w: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Net income</w:t>
            </w: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c>
          <w:tcPr>
            <w:tcW w:w="1900" w:type="dxa"/>
            <w:vAlign w:val="bottom"/>
          </w:tcPr>
          <w:p>
            <w:pPr>
              <w:jc w:val="right"/>
              <w:ind w:right="1305"/>
              <w:spacing w:after="0"/>
              <w:rPr>
                <w:sz w:val="20"/>
                <w:szCs w:val="20"/>
                <w:color w:val="auto"/>
              </w:rPr>
            </w:pPr>
            <w:r>
              <w:rPr>
                <w:rFonts w:ascii="Arial" w:cs="Arial" w:eastAsia="Arial" w:hAnsi="Arial"/>
                <w:sz w:val="15"/>
                <w:szCs w:val="15"/>
                <w:color w:val="auto"/>
              </w:rPr>
              <w:t>9,856</w:t>
            </w: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Basic net income per share</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900" w:type="dxa"/>
            <w:vAlign w:val="bottom"/>
            <w:shd w:val="clear" w:color="auto" w:fill="CCEEFF"/>
          </w:tcPr>
          <w:p>
            <w:pPr>
              <w:jc w:val="right"/>
              <w:ind w:right="1305"/>
              <w:spacing w:after="0"/>
              <w:rPr>
                <w:sz w:val="20"/>
                <w:szCs w:val="20"/>
                <w:color w:val="auto"/>
              </w:rPr>
            </w:pPr>
            <w:r>
              <w:rPr>
                <w:rFonts w:ascii="Arial" w:cs="Arial" w:eastAsia="Arial" w:hAnsi="Arial"/>
                <w:sz w:val="15"/>
                <w:szCs w:val="15"/>
                <w:color w:val="auto"/>
              </w:rPr>
              <w:t>0.57</w:t>
            </w:r>
          </w:p>
        </w:tc>
      </w:tr>
      <w:tr>
        <w:trPr>
          <w:trHeight w:val="189"/>
        </w:trPr>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Diluted net income per share</w:t>
            </w: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c>
          <w:tcPr>
            <w:tcW w:w="1900" w:type="dxa"/>
            <w:vAlign w:val="bottom"/>
          </w:tcPr>
          <w:p>
            <w:pPr>
              <w:jc w:val="right"/>
              <w:ind w:right="1305"/>
              <w:spacing w:after="0"/>
              <w:rPr>
                <w:sz w:val="20"/>
                <w:szCs w:val="20"/>
                <w:color w:val="auto"/>
              </w:rPr>
            </w:pPr>
            <w:r>
              <w:rPr>
                <w:rFonts w:ascii="Arial" w:cs="Arial" w:eastAsia="Arial" w:hAnsi="Arial"/>
                <w:sz w:val="15"/>
                <w:szCs w:val="15"/>
                <w:color w:val="auto"/>
              </w:rPr>
              <w:t>0.57</w:t>
            </w:r>
          </w:p>
        </w:tc>
      </w:tr>
      <w:tr>
        <w:trPr>
          <w:trHeight w:val="392"/>
        </w:trPr>
        <w:tc>
          <w:tcPr>
            <w:tcW w:w="640" w:type="dxa"/>
            <w:vAlign w:val="bottom"/>
          </w:tcPr>
          <w:p>
            <w:pPr>
              <w:spacing w:after="0"/>
              <w:rPr>
                <w:sz w:val="20"/>
                <w:szCs w:val="20"/>
                <w:color w:val="auto"/>
              </w:rPr>
            </w:pPr>
            <w:r>
              <w:rPr>
                <w:rFonts w:ascii="Arial" w:cs="Arial" w:eastAsia="Arial" w:hAnsi="Arial"/>
                <w:sz w:val="15"/>
                <w:szCs w:val="15"/>
                <w:b w:val="1"/>
                <w:bCs w:val="1"/>
                <w:color w:val="auto"/>
              </w:rPr>
              <w:t>Note 7.</w:t>
            </w:r>
          </w:p>
        </w:tc>
        <w:tc>
          <w:tcPr>
            <w:tcW w:w="6300" w:type="dxa"/>
            <w:vAlign w:val="bottom"/>
            <w:gridSpan w:val="2"/>
          </w:tcPr>
          <w:p>
            <w:pPr>
              <w:ind w:left="180"/>
              <w:spacing w:after="0"/>
              <w:rPr>
                <w:sz w:val="20"/>
                <w:szCs w:val="20"/>
                <w:color w:val="auto"/>
              </w:rPr>
            </w:pPr>
            <w:r>
              <w:rPr>
                <w:rFonts w:ascii="Arial" w:cs="Arial" w:eastAsia="Arial" w:hAnsi="Arial"/>
                <w:sz w:val="15"/>
                <w:szCs w:val="15"/>
                <w:b w:val="1"/>
                <w:bCs w:val="1"/>
                <w:color w:val="auto"/>
              </w:rPr>
              <w:t>Pensions</w:t>
            </w:r>
          </w:p>
        </w:tc>
        <w:tc>
          <w:tcPr>
            <w:tcW w:w="14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91" w:lineRule="exact"/>
        <w:rPr>
          <w:sz w:val="20"/>
          <w:szCs w:val="20"/>
          <w:color w:val="auto"/>
        </w:rPr>
      </w:pPr>
    </w:p>
    <w:p>
      <w:pPr>
        <w:ind w:right="140"/>
        <w:spacing w:after="0" w:line="350" w:lineRule="auto"/>
        <w:rPr>
          <w:sz w:val="20"/>
          <w:szCs w:val="20"/>
          <w:color w:val="auto"/>
        </w:rPr>
      </w:pPr>
      <w:r>
        <w:rPr>
          <w:rFonts w:ascii="Arial" w:cs="Arial" w:eastAsia="Arial" w:hAnsi="Arial"/>
          <w:sz w:val="13"/>
          <w:szCs w:val="13"/>
          <w:color w:val="auto"/>
        </w:rPr>
        <w:t>We have a defined benefit pension plan covering the employees at our Eltmann, Germany facility. The benefits are based on the expected years of service; however, as the plan was curtailed in 2006, the plan will no longer incur service costs. The plan is unfunded. There were no prior service costs recognized in the three and six month periods ended June 30, 2007 and 2006.</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gridSpan w:val="2"/>
          </w:tcPr>
          <w:p>
            <w:pPr>
              <w:spacing w:after="0"/>
              <w:rPr>
                <w:sz w:val="20"/>
                <w:szCs w:val="20"/>
                <w:color w:val="auto"/>
              </w:rPr>
            </w:pPr>
            <w:r>
              <w:rPr>
                <w:rFonts w:ascii="Arial" w:cs="Arial" w:eastAsia="Arial" w:hAnsi="Arial"/>
                <w:sz w:val="15"/>
                <w:szCs w:val="15"/>
                <w:b w:val="1"/>
                <w:bCs w:val="1"/>
                <w:color w:val="auto"/>
              </w:rPr>
              <w:t>Components of Net Periodic Pension Cost:</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66"/>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5"/>
          </w:tcPr>
          <w:p>
            <w:pPr>
              <w:jc w:val="center"/>
              <w:ind w:left="185"/>
              <w:spacing w:after="0"/>
              <w:rPr>
                <w:sz w:val="20"/>
                <w:szCs w:val="20"/>
                <w:color w:val="auto"/>
              </w:rPr>
            </w:pPr>
            <w:r>
              <w:rPr>
                <w:rFonts w:ascii="Arial" w:cs="Arial" w:eastAsia="Arial" w:hAnsi="Arial"/>
                <w:sz w:val="15"/>
                <w:szCs w:val="15"/>
                <w:b w:val="1"/>
                <w:bCs w:val="1"/>
                <w:color w:val="auto"/>
                <w:w w:val="91"/>
              </w:rPr>
              <w:t>Three Months Ended</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4"/>
          </w:tcPr>
          <w:p>
            <w:pPr>
              <w:jc w:val="center"/>
              <w:ind w:left="665"/>
              <w:spacing w:after="0"/>
              <w:rPr>
                <w:sz w:val="20"/>
                <w:szCs w:val="20"/>
                <w:color w:val="auto"/>
              </w:rPr>
            </w:pPr>
            <w:r>
              <w:rPr>
                <w:rFonts w:ascii="Arial" w:cs="Arial" w:eastAsia="Arial" w:hAnsi="Arial"/>
                <w:sz w:val="15"/>
                <w:szCs w:val="15"/>
                <w:b w:val="1"/>
                <w:bCs w:val="1"/>
                <w:color w:val="auto"/>
                <w:w w:val="90"/>
              </w:rPr>
              <w:t>Six Months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5"/>
                <w:szCs w:val="15"/>
                <w:b w:val="1"/>
                <w:bCs w:val="1"/>
                <w:color w:val="auto"/>
                <w:w w:val="89"/>
              </w:rPr>
              <w:t>June 30,</w:t>
            </w: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5"/>
                <w:szCs w:val="15"/>
                <w:b w:val="1"/>
                <w:bCs w:val="1"/>
                <w:color w:val="auto"/>
                <w:w w:val="89"/>
              </w:rPr>
              <w:t>June 30,</w:t>
            </w: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r>
      <w:tr>
        <w:trPr>
          <w:trHeight w:val="383"/>
        </w:trPr>
        <w:tc>
          <w:tcPr>
            <w:tcW w:w="1160" w:type="dxa"/>
            <w:vAlign w:val="bottom"/>
          </w:tcPr>
          <w:p>
            <w:pPr>
              <w:spacing w:after="0"/>
              <w:rPr>
                <w:sz w:val="24"/>
                <w:szCs w:val="24"/>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auto"/>
              </w:rPr>
              <w:t>(In Thousands of Dollars)</w:t>
            </w:r>
          </w:p>
        </w:tc>
        <w:tc>
          <w:tcPr>
            <w:tcW w:w="1160" w:type="dxa"/>
            <w:vAlign w:val="bottom"/>
            <w:gridSpan w:val="2"/>
          </w:tcPr>
          <w:p>
            <w:pPr>
              <w:jc w:val="right"/>
              <w:ind w:right="245"/>
              <w:spacing w:after="0"/>
              <w:rPr>
                <w:sz w:val="20"/>
                <w:szCs w:val="20"/>
                <w:color w:val="auto"/>
              </w:rPr>
            </w:pPr>
            <w:r>
              <w:rPr>
                <w:rFonts w:ascii="Arial" w:cs="Arial" w:eastAsia="Arial" w:hAnsi="Arial"/>
                <w:sz w:val="15"/>
                <w:szCs w:val="15"/>
                <w:b w:val="1"/>
                <w:bCs w:val="1"/>
                <w:color w:val="auto"/>
              </w:rPr>
              <w:t>2007</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145"/>
              <w:spacing w:after="0"/>
              <w:rPr>
                <w:sz w:val="20"/>
                <w:szCs w:val="20"/>
                <w:color w:val="auto"/>
              </w:rPr>
            </w:pPr>
            <w:r>
              <w:rPr>
                <w:rFonts w:ascii="Arial" w:cs="Arial" w:eastAsia="Arial" w:hAnsi="Arial"/>
                <w:sz w:val="15"/>
                <w:szCs w:val="15"/>
                <w:b w:val="1"/>
                <w:bCs w:val="1"/>
                <w:color w:val="auto"/>
              </w:rPr>
              <w:t>2006</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right"/>
              <w:ind w:right="125"/>
              <w:spacing w:after="0"/>
              <w:rPr>
                <w:sz w:val="20"/>
                <w:szCs w:val="20"/>
                <w:color w:val="auto"/>
              </w:rPr>
            </w:pPr>
            <w:r>
              <w:rPr>
                <w:rFonts w:ascii="Arial" w:cs="Arial" w:eastAsia="Arial" w:hAnsi="Arial"/>
                <w:sz w:val="15"/>
                <w:szCs w:val="15"/>
                <w:b w:val="1"/>
                <w:bCs w:val="1"/>
                <w:color w:val="auto"/>
              </w:rPr>
              <w:t>2007</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ind w:right="105"/>
              <w:spacing w:after="0"/>
              <w:rPr>
                <w:sz w:val="20"/>
                <w:szCs w:val="20"/>
                <w:color w:val="auto"/>
              </w:rPr>
            </w:pPr>
            <w:r>
              <w:rPr>
                <w:rFonts w:ascii="Arial" w:cs="Arial" w:eastAsia="Arial" w:hAnsi="Arial"/>
                <w:sz w:val="15"/>
                <w:szCs w:val="15"/>
                <w:b w:val="1"/>
                <w:bCs w:val="1"/>
                <w:color w:val="auto"/>
                <w:w w:val="83"/>
              </w:rPr>
              <w:t>2006</w:t>
            </w:r>
          </w:p>
        </w:tc>
        <w:tc>
          <w:tcPr>
            <w:tcW w:w="260" w:type="dxa"/>
            <w:vAlign w:val="bottom"/>
          </w:tcPr>
          <w:p>
            <w:pPr>
              <w:spacing w:after="0"/>
              <w:rPr>
                <w:sz w:val="24"/>
                <w:szCs w:val="24"/>
                <w:color w:val="auto"/>
              </w:rPr>
            </w:pPr>
          </w:p>
        </w:tc>
      </w:tr>
      <w:tr>
        <w:trPr>
          <w:trHeight w:val="179"/>
        </w:trPr>
        <w:tc>
          <w:tcPr>
            <w:tcW w:w="1160" w:type="dxa"/>
            <w:vAlign w:val="bottom"/>
          </w:tcPr>
          <w:p>
            <w:pPr>
              <w:spacing w:after="0"/>
              <w:rPr>
                <w:sz w:val="15"/>
                <w:szCs w:val="15"/>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Service cost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179"/>
        </w:trPr>
        <w:tc>
          <w:tcPr>
            <w:tcW w:w="116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Interest cost</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5"/>
              </w:rPr>
              <w:t>60</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66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118</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95"/>
              </w:rPr>
              <w:t>128</w:t>
            </w:r>
          </w:p>
        </w:tc>
      </w:tr>
      <w:tr>
        <w:trPr>
          <w:trHeight w:val="181"/>
        </w:trPr>
        <w:tc>
          <w:tcPr>
            <w:tcW w:w="1160" w:type="dxa"/>
            <w:vAlign w:val="bottom"/>
          </w:tcPr>
          <w:p>
            <w:pPr>
              <w:spacing w:after="0"/>
              <w:rPr>
                <w:sz w:val="15"/>
                <w:szCs w:val="15"/>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3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179"/>
        </w:trPr>
        <w:tc>
          <w:tcPr>
            <w:tcW w:w="1160" w:type="dxa"/>
            <w:vAlign w:val="bottom"/>
          </w:tcPr>
          <w:p>
            <w:pPr>
              <w:spacing w:after="0"/>
              <w:rPr>
                <w:sz w:val="15"/>
                <w:szCs w:val="15"/>
                <w:color w:val="auto"/>
              </w:rPr>
            </w:pPr>
          </w:p>
        </w:tc>
        <w:tc>
          <w:tcPr>
            <w:tcW w:w="3160" w:type="dxa"/>
            <w:vAlign w:val="bottom"/>
          </w:tcPr>
          <w:p>
            <w:pPr>
              <w:ind w:left="80"/>
              <w:spacing w:after="0"/>
              <w:rPr>
                <w:sz w:val="20"/>
                <w:szCs w:val="20"/>
                <w:color w:val="auto"/>
              </w:rPr>
            </w:pPr>
            <w:r>
              <w:rPr>
                <w:rFonts w:ascii="Arial" w:cs="Arial" w:eastAsia="Arial" w:hAnsi="Arial"/>
                <w:sz w:val="15"/>
                <w:szCs w:val="15"/>
                <w:color w:val="auto"/>
              </w:rPr>
              <w:t>Net periodic pension cost</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w w:val="95"/>
              </w:rPr>
              <w:t>62</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w w:val="95"/>
              </w:rPr>
              <w:t>105</w:t>
            </w:r>
          </w:p>
        </w:tc>
        <w:tc>
          <w:tcPr>
            <w:tcW w:w="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121</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w w:val="95"/>
              </w:rPr>
              <w:t>204</w:t>
            </w:r>
          </w:p>
        </w:tc>
      </w:tr>
      <w:tr>
        <w:trPr>
          <w:trHeight w:val="20"/>
        </w:trPr>
        <w:tc>
          <w:tcPr>
            <w:tcW w:w="1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We expect to contribute approximately $240 to the Eltmann, Germany pension plan in 2007. As of June 30, 2007, approximately $120 of contributions had been made.</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Severance Indemnity</w:t>
      </w:r>
    </w:p>
    <w:p>
      <w:pPr>
        <w:spacing w:after="0" w:line="212" w:lineRule="exact"/>
        <w:rPr>
          <w:sz w:val="20"/>
          <w:szCs w:val="20"/>
          <w:color w:val="auto"/>
        </w:rPr>
      </w:pPr>
    </w:p>
    <w:p>
      <w:pPr>
        <w:ind w:right="20"/>
        <w:spacing w:after="0" w:line="350" w:lineRule="auto"/>
        <w:rPr>
          <w:sz w:val="20"/>
          <w:szCs w:val="20"/>
          <w:color w:val="auto"/>
        </w:rPr>
      </w:pPr>
      <w:r>
        <w:rPr>
          <w:rFonts w:ascii="Arial" w:cs="Arial" w:eastAsia="Arial" w:hAnsi="Arial"/>
          <w:sz w:val="13"/>
          <w:szCs w:val="13"/>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and six months ended June 30, 2007 and 2006:</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60" w:type="dxa"/>
            <w:vAlign w:val="bottom"/>
            <w:gridSpan w:val="4"/>
          </w:tcPr>
          <w:p>
            <w:pPr>
              <w:jc w:val="center"/>
              <w:ind w:left="605"/>
              <w:spacing w:after="0"/>
              <w:rPr>
                <w:sz w:val="20"/>
                <w:szCs w:val="20"/>
                <w:color w:val="auto"/>
              </w:rPr>
            </w:pPr>
            <w:r>
              <w:rPr>
                <w:rFonts w:ascii="Arial" w:cs="Arial" w:eastAsia="Arial" w:hAnsi="Arial"/>
                <w:sz w:val="15"/>
                <w:szCs w:val="15"/>
                <w:b w:val="1"/>
                <w:bCs w:val="1"/>
                <w:color w:val="auto"/>
                <w:w w:val="90"/>
              </w:rPr>
              <w:t>Three Months Ended</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4"/>
          </w:tcPr>
          <w:p>
            <w:pPr>
              <w:jc w:val="center"/>
              <w:ind w:left="665"/>
              <w:spacing w:after="0"/>
              <w:rPr>
                <w:sz w:val="20"/>
                <w:szCs w:val="20"/>
                <w:color w:val="auto"/>
              </w:rPr>
            </w:pPr>
            <w:r>
              <w:rPr>
                <w:rFonts w:ascii="Arial" w:cs="Arial" w:eastAsia="Arial" w:hAnsi="Arial"/>
                <w:sz w:val="15"/>
                <w:szCs w:val="15"/>
                <w:b w:val="1"/>
                <w:bCs w:val="1"/>
                <w:color w:val="auto"/>
                <w:w w:val="89"/>
              </w:rPr>
              <w:t>Six Months Ended</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5"/>
                <w:szCs w:val="15"/>
                <w:b w:val="1"/>
                <w:bCs w:val="1"/>
                <w:color w:val="auto"/>
                <w:w w:val="89"/>
              </w:rPr>
              <w:t>June 30,</w:t>
            </w: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5"/>
                <w:szCs w:val="15"/>
                <w:b w:val="1"/>
                <w:bCs w:val="1"/>
                <w:color w:val="auto"/>
                <w:w w:val="86"/>
              </w:rPr>
              <w:t>June 30,</w:t>
            </w:r>
          </w:p>
        </w:tc>
        <w:tc>
          <w:tcPr>
            <w:tcW w:w="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383"/>
        </w:trPr>
        <w:tc>
          <w:tcPr>
            <w:tcW w:w="4220" w:type="dxa"/>
            <w:vAlign w:val="bottom"/>
            <w:gridSpan w:val="2"/>
          </w:tcPr>
          <w:p>
            <w:pPr>
              <w:ind w:left="1160"/>
              <w:spacing w:after="0"/>
              <w:rPr>
                <w:sz w:val="20"/>
                <w:szCs w:val="20"/>
                <w:color w:val="auto"/>
              </w:rPr>
            </w:pPr>
            <w:r>
              <w:rPr>
                <w:rFonts w:ascii="Arial" w:cs="Arial" w:eastAsia="Arial" w:hAnsi="Arial"/>
                <w:sz w:val="15"/>
                <w:szCs w:val="15"/>
                <w:color w:val="auto"/>
              </w:rPr>
              <w:t>(In Thousands of Dollars)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2007</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w w:val="89"/>
              </w:rPr>
              <w:t>2006</w:t>
            </w:r>
          </w:p>
        </w:tc>
        <w:tc>
          <w:tcPr>
            <w:tcW w:w="4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2007</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2006</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9"/>
        </w:trPr>
        <w:tc>
          <w:tcPr>
            <w:tcW w:w="1160" w:type="dxa"/>
            <w:vAlign w:val="bottom"/>
          </w:tcPr>
          <w:p>
            <w:pPr>
              <w:spacing w:after="0"/>
              <w:rPr>
                <w:sz w:val="15"/>
                <w:szCs w:val="15"/>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(7,975)</w:t>
            </w:r>
          </w:p>
        </w:tc>
        <w:tc>
          <w:tcPr>
            <w:tcW w:w="28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(6,950)</w:t>
            </w:r>
          </w:p>
        </w:tc>
        <w:tc>
          <w:tcPr>
            <w:tcW w:w="28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(8,020)</w:t>
            </w:r>
          </w:p>
        </w:tc>
        <w:tc>
          <w:tcPr>
            <w:tcW w:w="3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(6,644)</w:t>
            </w:r>
          </w:p>
        </w:tc>
        <w:tc>
          <w:tcPr>
            <w:tcW w:w="114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5"/>
                <w:szCs w:val="15"/>
                <w:color w:val="auto"/>
              </w:rPr>
              <w:t>Amounts accrued</w:t>
            </w: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(343)</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(269)</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(586)</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(525)</w:t>
            </w:r>
          </w:p>
        </w:tc>
        <w:tc>
          <w:tcPr>
            <w:tcW w:w="114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Payments</w:t>
            </w: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1140" w:type="dxa"/>
            <w:vAlign w:val="bottom"/>
          </w:tcPr>
          <w:p>
            <w:pPr>
              <w:spacing w:after="0"/>
              <w:rPr>
                <w:sz w:val="15"/>
                <w:szCs w:val="15"/>
                <w:color w:val="auto"/>
              </w:rPr>
            </w:pPr>
          </w:p>
        </w:tc>
      </w:tr>
      <w:tr>
        <w:trPr>
          <w:trHeight w:val="181"/>
        </w:trPr>
        <w:tc>
          <w:tcPr>
            <w:tcW w:w="116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5"/>
                <w:szCs w:val="15"/>
                <w:color w:val="auto"/>
              </w:rPr>
              <w:t>Currency impacts</w:t>
            </w: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w:t>
            </w:r>
          </w:p>
        </w:tc>
        <w:tc>
          <w:tcPr>
            <w:tcW w:w="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w:t>
            </w: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w:t>
            </w:r>
          </w:p>
        </w:tc>
        <w:tc>
          <w:tcPr>
            <w:tcW w:w="1140" w:type="dxa"/>
            <w:vAlign w:val="bottom"/>
          </w:tcPr>
          <w:p>
            <w:pPr>
              <w:spacing w:after="0"/>
              <w:rPr>
                <w:sz w:val="15"/>
                <w:szCs w:val="15"/>
                <w:color w:val="auto"/>
              </w:rPr>
            </w:pPr>
          </w:p>
        </w:tc>
      </w:tr>
      <w:tr>
        <w:trPr>
          <w:trHeight w:val="219"/>
        </w:trPr>
        <w:tc>
          <w:tcPr>
            <w:tcW w:w="1160" w:type="dxa"/>
            <w:vAlign w:val="bottom"/>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Ending balance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(8,431)</w:t>
            </w:r>
          </w:p>
        </w:tc>
        <w:tc>
          <w:tcPr>
            <w:tcW w:w="2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(7,369)</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(8,431)</w:t>
            </w: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(7,369)</w:t>
            </w:r>
          </w:p>
        </w:tc>
        <w:tc>
          <w:tcPr>
            <w:tcW w:w="1140" w:type="dxa"/>
            <w:vAlign w:val="bottom"/>
          </w:tcPr>
          <w:p>
            <w:pPr>
              <w:spacing w:after="0"/>
              <w:rPr>
                <w:sz w:val="19"/>
                <w:szCs w:val="19"/>
                <w:color w:val="auto"/>
              </w:rPr>
            </w:pPr>
          </w:p>
        </w:tc>
      </w:tr>
      <w:tr>
        <w:trPr>
          <w:trHeight w:val="321"/>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9</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5"/>
        </w:trPr>
        <w:tc>
          <w:tcPr>
            <w:tcW w:w="1160" w:type="dxa"/>
            <w:vAlign w:val="bottom"/>
            <w:tcBorders>
              <w:bottom w:val="single" w:sz="8" w:color="808080"/>
            </w:tcBorders>
          </w:tcPr>
          <w:p>
            <w:pPr>
              <w:spacing w:after="0"/>
              <w:rPr>
                <w:sz w:val="7"/>
                <w:szCs w:val="7"/>
                <w:color w:val="auto"/>
              </w:rPr>
            </w:pPr>
          </w:p>
        </w:tc>
        <w:tc>
          <w:tcPr>
            <w:tcW w:w="30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0" w:name="page11"/>
    <w:bookmarkEnd w:id="10"/>
    <w:p>
      <w:pPr>
        <w:ind w:left="5480"/>
        <w:spacing w:after="0"/>
        <w:rPr>
          <w:sz w:val="20"/>
          <w:szCs w:val="20"/>
          <w:color w:val="auto"/>
        </w:rPr>
      </w:pPr>
      <w:r>
        <w:rPr>
          <w:rFonts w:ascii="Arial" w:cs="Arial" w:eastAsia="Arial" w:hAnsi="Arial"/>
          <w:sz w:val="15"/>
          <w:szCs w:val="15"/>
          <w:b w:val="1"/>
          <w:bCs w:val="1"/>
          <w:color w:val="auto"/>
        </w:rPr>
        <w:t>NN, Inc.</w:t>
      </w:r>
    </w:p>
    <w:p>
      <w:pPr>
        <w:spacing w:after="0" w:line="29"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ind w:left="416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9"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Note 8.</w:t>
      </w:r>
      <w:r>
        <w:rPr>
          <w:sz w:val="20"/>
          <w:szCs w:val="20"/>
          <w:color w:val="auto"/>
        </w:rPr>
        <w:tab/>
      </w:r>
      <w:r>
        <w:rPr>
          <w:rFonts w:ascii="Arial" w:cs="Arial" w:eastAsia="Arial" w:hAnsi="Arial"/>
          <w:sz w:val="13"/>
          <w:szCs w:val="13"/>
          <w:b w:val="1"/>
          <w:bCs w:val="1"/>
          <w:color w:val="auto"/>
        </w:rPr>
        <w:t>New Accounting Pronouncements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In July 2006, the Financial Accounting Standards Board (“FASB”) issued Interpretation No. 48 ("FIN 48"), "Accounting for Uncertainty in Income Taxes—an Interpretation of SFAS 109 "Accounting for Income Taxes". FIN 48 prescribes a comprehensive model for how a company should recognize, measure, present, and disclose in its financial statements uncertain tax positions that a company has taken or expects to take on a tax return. Under FIN 48, the financial statements will reflect expected future tax consequences of such positions presuming the taxing authorities' full knowledge of the position and all relevant facts, but without considering time values. FIN 48 also revises disclosure requirements and introduces a prescriptive, annual, tabular roll-forward of the unrecognized tax benefits. FIN 48 is effective for fiscal years beginning after December 15, 2006. The Company adopted FIN 48 on January 1, 2007, and the effects on our consolidated financial position, liquidity, and results of operations were not material. See Note 15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157”), which provides guidance on how to measure assets and liabilities that use fair value. SFAS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157 will apply whenever another US GAAP standard requires (or permits) assets or liabilities to be measured at fair value but does not expand the use of fair value to any new</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circumstances. This standard also will require additional disclosures in both annual and quarterly reports. SFAS 157 will be effective for financial statements issued for fiscal years beginning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after November 15, 2007, and will be adopted by us beginning in the first quarter of 2008. We are currently evaluating the potential impact this standard may have on our consolidated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financial position and results of operations, but do not believe the impact of the adoption will be material.</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Liabilities—Including an amendment of FASB Statement No. 115." SFAS No. 159 permits companies to choose to measure many financial instruments and 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No. 159 will be effective as of the beginning of an entity's first fiscal year that begins after November 15, 2007. The Company is currently evaluating the effect SFAS No. 159 will have on its consolidated financial position, liquidity, or results of operations.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20"/>
          </w:cols>
          <w:pgMar w:left="220" w:top="147" w:right="259" w:bottom="1440" w:gutter="0" w:footer="0" w:header="0"/>
        </w:sectPr>
      </w:pPr>
    </w:p>
    <w:bookmarkStart w:id="11" w:name="page12"/>
    <w:bookmarkEnd w:id="11"/>
    <w:p>
      <w:pPr>
        <w:ind w:left="5440"/>
        <w:spacing w:after="0"/>
        <w:rPr>
          <w:sz w:val="20"/>
          <w:szCs w:val="20"/>
          <w:color w:val="auto"/>
        </w:rPr>
      </w:pPr>
      <w:r>
        <w:rPr>
          <w:rFonts w:ascii="Arial" w:cs="Arial" w:eastAsia="Arial" w:hAnsi="Arial"/>
          <w:sz w:val="15"/>
          <w:szCs w:val="15"/>
          <w:b w:val="1"/>
          <w:bCs w:val="1"/>
          <w:color w:val="auto"/>
        </w:rPr>
        <w:t>NN, Inc.</w:t>
      </w:r>
    </w:p>
    <w:p>
      <w:pPr>
        <w:spacing w:after="0" w:line="29"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9"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 w:type="dxa"/>
            <w:vAlign w:val="bottom"/>
          </w:tcPr>
          <w:p>
            <w:pPr>
              <w:spacing w:after="0"/>
              <w:rPr>
                <w:sz w:val="20"/>
                <w:szCs w:val="20"/>
                <w:color w:val="auto"/>
              </w:rPr>
            </w:pPr>
            <w:r>
              <w:rPr>
                <w:rFonts w:ascii="Arial" w:cs="Arial" w:eastAsia="Arial" w:hAnsi="Arial"/>
                <w:sz w:val="15"/>
                <w:szCs w:val="15"/>
                <w:b w:val="1"/>
                <w:bCs w:val="1"/>
                <w:color w:val="auto"/>
              </w:rPr>
              <w:t>Note 9.</w:t>
            </w:r>
          </w:p>
        </w:tc>
        <w:tc>
          <w:tcPr>
            <w:tcW w:w="6220" w:type="dxa"/>
            <w:vAlign w:val="bottom"/>
            <w:gridSpan w:val="2"/>
          </w:tcPr>
          <w:p>
            <w:pPr>
              <w:ind w:left="180"/>
              <w:spacing w:after="0"/>
              <w:rPr>
                <w:sz w:val="20"/>
                <w:szCs w:val="20"/>
                <w:color w:val="auto"/>
              </w:rPr>
            </w:pPr>
            <w:r>
              <w:rPr>
                <w:rFonts w:ascii="Arial" w:cs="Arial" w:eastAsia="Arial" w:hAnsi="Arial"/>
                <w:sz w:val="15"/>
                <w:szCs w:val="15"/>
                <w:b w:val="1"/>
                <w:bCs w:val="1"/>
                <w:color w:val="auto"/>
              </w:rPr>
              <w:t>Long-Term Debt and Short-Term Debt</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6860" w:type="dxa"/>
            <w:vAlign w:val="bottom"/>
            <w:gridSpan w:val="3"/>
          </w:tcPr>
          <w:p>
            <w:pPr>
              <w:spacing w:after="0"/>
              <w:rPr>
                <w:sz w:val="20"/>
                <w:szCs w:val="20"/>
                <w:color w:val="auto"/>
              </w:rPr>
            </w:pPr>
            <w:r>
              <w:rPr>
                <w:rFonts w:ascii="Arial" w:cs="Arial" w:eastAsia="Arial" w:hAnsi="Arial"/>
                <w:sz w:val="15"/>
                <w:szCs w:val="15"/>
                <w:color w:val="auto"/>
              </w:rPr>
              <w:t>Long-term debt at June 30, 2007 and December 31, 2006 consisted of the following:</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48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5"/>
                <w:szCs w:val="15"/>
                <w:b w:val="1"/>
                <w:bCs w:val="1"/>
                <w:color w:val="auto"/>
              </w:rPr>
              <w:t>June 30, 2007</w:t>
            </w:r>
          </w:p>
        </w:tc>
        <w:tc>
          <w:tcPr>
            <w:tcW w:w="480" w:type="dxa"/>
            <w:vAlign w:val="bottom"/>
          </w:tcPr>
          <w:p>
            <w:pPr>
              <w:spacing w:after="0"/>
              <w:rPr>
                <w:sz w:val="24"/>
                <w:szCs w:val="24"/>
                <w:color w:val="auto"/>
              </w:rPr>
            </w:pPr>
          </w:p>
        </w:tc>
        <w:tc>
          <w:tcPr>
            <w:tcW w:w="150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b w:val="1"/>
                <w:bCs w:val="1"/>
                <w:color w:val="auto"/>
                <w:w w:val="97"/>
              </w:rPr>
              <w:t>December 31, 2006</w:t>
            </w: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1"/>
              </w:rPr>
              <w:t>Borrowings under our $135,000 revolving credit facility bearing interest at a floating rate equal</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to LIBOR (5.36% at June 30, 2007) plus an applicable margin of 0.60 to 0.925, expiring</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September 20, 2011.</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65,069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39,466</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vMerge w:val="restart"/>
          </w:tcPr>
          <w:p>
            <w:pPr>
              <w:spacing w:after="0"/>
              <w:rPr>
                <w:sz w:val="15"/>
                <w:szCs w:val="15"/>
                <w:color w:val="auto"/>
              </w:rPr>
            </w:pPr>
          </w:p>
        </w:tc>
        <w:tc>
          <w:tcPr>
            <w:tcW w:w="5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7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0"/>
              </w:rPr>
              <w:t>Borrowings under our $40,000 aggregate principal amount of senior notes bearing interest at a</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7"/>
              </w:rPr>
              <w:t>fixed rate of 4.89% maturing on April 26, 2014. Annual principal payments of $5,714</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begin on April 26, 2008 and extend through the date of maturity.</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40,000</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vMerge w:val="restart"/>
          </w:tcPr>
          <w:p>
            <w:pPr>
              <w:spacing w:after="0"/>
              <w:rPr>
                <w:sz w:val="15"/>
                <w:szCs w:val="15"/>
                <w:color w:val="auto"/>
              </w:rPr>
            </w:pPr>
          </w:p>
        </w:tc>
        <w:tc>
          <w:tcPr>
            <w:tcW w:w="5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7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0"/>
              </w:rPr>
              <w:t>Long term note payable with customer related to acquiring equipment from customer as part of</w:t>
            </w: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long term supply agreement. Note carries a 0% rate of interest. Interest on this note has</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1"/>
              </w:rPr>
              <w:t>been imputed at a rate of 5.41%. Note is paid down by applying a fixed amount per piece</w:t>
            </w:r>
          </w:p>
        </w:tc>
        <w:tc>
          <w:tcPr>
            <w:tcW w:w="9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1,478</w:t>
            </w: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2,096</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00" w:type="dxa"/>
            <w:vAlign w:val="bottom"/>
            <w:tcBorders>
              <w:bottom w:val="single" w:sz="8" w:color="CCEEFF"/>
            </w:tcBorders>
            <w:shd w:val="clear" w:color="auto" w:fill="CCEEFF"/>
          </w:tcPr>
          <w:p>
            <w:pPr>
              <w:ind w:left="260"/>
              <w:spacing w:after="0" w:line="167" w:lineRule="exact"/>
              <w:rPr>
                <w:sz w:val="20"/>
                <w:szCs w:val="20"/>
                <w:color w:val="auto"/>
              </w:rPr>
            </w:pPr>
            <w:r>
              <w:rPr>
                <w:rFonts w:ascii="Arial" w:cs="Arial" w:eastAsia="Arial" w:hAnsi="Arial"/>
                <w:sz w:val="15"/>
                <w:szCs w:val="15"/>
                <w:color w:val="auto"/>
              </w:rPr>
              <w:t>purchased by customer.</w:t>
            </w:r>
          </w:p>
        </w:tc>
        <w:tc>
          <w:tcPr>
            <w:tcW w:w="9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debt</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106,547</w:t>
            </w: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81,562</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Less current maturities of long-term debt</w:t>
            </w:r>
          </w:p>
        </w:tc>
        <w:tc>
          <w:tcPr>
            <w:tcW w:w="9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9,054</w:t>
            </w:r>
          </w:p>
        </w:tc>
        <w:tc>
          <w:tcPr>
            <w:tcW w:w="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ind w:left="400"/>
              <w:spacing w:after="0" w:line="159" w:lineRule="exact"/>
              <w:rPr>
                <w:sz w:val="20"/>
                <w:szCs w:val="20"/>
                <w:color w:val="auto"/>
              </w:rPr>
            </w:pPr>
            <w:r>
              <w:rPr>
                <w:rFonts w:ascii="Arial" w:cs="Arial" w:eastAsia="Arial" w:hAnsi="Arial"/>
                <w:sz w:val="15"/>
                <w:szCs w:val="15"/>
                <w:color w:val="auto"/>
                <w:w w:val="94"/>
              </w:rPr>
              <w:t>Long-term debt, excluding current maturities of long-term debt and related party debt</w:t>
            </w:r>
          </w:p>
        </w:tc>
        <w:tc>
          <w:tcPr>
            <w:tcW w:w="9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97,493</w:t>
            </w:r>
          </w:p>
        </w:tc>
        <w:tc>
          <w:tcPr>
            <w:tcW w:w="4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95"/>
              </w:rPr>
              <w:t>80,711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520"/>
        <w:spacing w:after="0" w:line="350" w:lineRule="auto"/>
        <w:rPr>
          <w:sz w:val="20"/>
          <w:szCs w:val="20"/>
          <w:color w:val="auto"/>
        </w:rPr>
      </w:pPr>
      <w:r>
        <w:rPr>
          <w:rFonts w:ascii="Arial" w:cs="Arial" w:eastAsia="Arial" w:hAnsi="Arial"/>
          <w:sz w:val="13"/>
          <w:szCs w:val="13"/>
          <w:color w:val="auto"/>
        </w:rPr>
        <w:t>On May 30, 2007, we entered into an agreement to amend our $90,000 credit facility to increase the total commitment from $90,000 to $135,000. Other than the increase in the total commitment, the other terms of the credit facility remained substantially the same. The company incurred $114 of cost related to this amendment which has been capitalized.</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The increase in borrowings under the $135,000 credit facility is related primarily to the payment of $18,600 in related party notes payable in connection with the Whirlaway acquisition. The majority of the current maturities of long-term debt are borrowings under our $10,000 short-term swing line used for cash management purposes. As of June 30, 2007, $1,191 of capitalized loan origination cost, net of amortization, for both facilities was recorded on the balance sheet within other assets and additions are presented in the Financing Activities section of the Statements of Cash Flows.</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The Company received an amendment to the $135,000 credit facility, retroactive to June 30, 2007, that amends the definitions of certain components of the financial covenant calculations to exclude the negative impact of non-cash restructuring and impairment charges.</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As a result of the Company’s cash management system including all U.S. operations, checks issued but not presented to the banks for payment may create negative book cash balances. Such negative balances are included in accounts payable and totaled $868 and $784 as of June 30, 2007 and December 31, 2006, respectively, with the change in the balances reported in the Financing Activities section of the Statements of Cash Flows.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340"/>
          </w:cols>
          <w:pgMar w:left="220" w:top="147" w:right="339" w:bottom="1440" w:gutter="0" w:footer="0" w:header="0"/>
        </w:sectPr>
      </w:pPr>
    </w:p>
    <w:bookmarkStart w:id="12" w:name="page13"/>
    <w:bookmarkEnd w:id="12"/>
    <w:p>
      <w:pPr>
        <w:ind w:left="5480"/>
        <w:spacing w:after="0"/>
        <w:rPr>
          <w:sz w:val="20"/>
          <w:szCs w:val="20"/>
          <w:color w:val="auto"/>
        </w:rPr>
      </w:pPr>
      <w:r>
        <w:rPr>
          <w:rFonts w:ascii="Arial" w:cs="Arial" w:eastAsia="Arial" w:hAnsi="Arial"/>
          <w:sz w:val="15"/>
          <w:szCs w:val="15"/>
          <w:b w:val="1"/>
          <w:bCs w:val="1"/>
          <w:color w:val="auto"/>
        </w:rPr>
        <w:t>NN, Inc.</w:t>
      </w:r>
    </w:p>
    <w:p>
      <w:pPr>
        <w:spacing w:after="0" w:line="29"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9"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(unaudited)</w:t>
      </w: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b w:val="1"/>
          <w:bCs w:val="1"/>
          <w:color w:val="auto"/>
        </w:rPr>
        <w:t>Note 10.</w:t>
      </w:r>
      <w:r>
        <w:rPr>
          <w:sz w:val="20"/>
          <w:szCs w:val="20"/>
          <w:color w:val="auto"/>
        </w:rPr>
        <w:tab/>
      </w:r>
      <w:r>
        <w:rPr>
          <w:rFonts w:ascii="Arial" w:cs="Arial" w:eastAsia="Arial" w:hAnsi="Arial"/>
          <w:sz w:val="13"/>
          <w:szCs w:val="13"/>
          <w:b w:val="1"/>
          <w:b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the carrying amount of goodwill for the six month period ended June 30, 2007 and the twelve month period ended December 31, 2006 are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Goodwill</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gridSpan w:val="2"/>
          </w:tcPr>
          <w:p>
            <w:pPr>
              <w:jc w:val="center"/>
              <w:ind w:right="365"/>
              <w:spacing w:after="0"/>
              <w:rPr>
                <w:sz w:val="20"/>
                <w:szCs w:val="20"/>
                <w:color w:val="auto"/>
              </w:rPr>
            </w:pPr>
            <w:r>
              <w:rPr>
                <w:rFonts w:ascii="Arial" w:cs="Arial" w:eastAsia="Arial" w:hAnsi="Arial"/>
                <w:sz w:val="15"/>
                <w:szCs w:val="15"/>
                <w:b w:val="1"/>
                <w:bCs w:val="1"/>
                <w:color w:val="auto"/>
                <w:w w:val="93"/>
              </w:rPr>
              <w:t>Metal Bearing</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2"/>
          </w:tcPr>
          <w:p>
            <w:pPr>
              <w:jc w:val="right"/>
              <w:ind w:right="245"/>
              <w:spacing w:after="0"/>
              <w:rPr>
                <w:sz w:val="20"/>
                <w:szCs w:val="20"/>
                <w:color w:val="auto"/>
              </w:rPr>
            </w:pPr>
            <w:r>
              <w:rPr>
                <w:rFonts w:ascii="Arial" w:cs="Arial" w:eastAsia="Arial" w:hAnsi="Arial"/>
                <w:sz w:val="15"/>
                <w:szCs w:val="15"/>
                <w:b w:val="1"/>
                <w:bCs w:val="1"/>
                <w:color w:val="auto"/>
              </w:rPr>
              <w:t>Precision Metal</w:t>
            </w:r>
          </w:p>
        </w:tc>
        <w:tc>
          <w:tcPr>
            <w:tcW w:w="1500" w:type="dxa"/>
            <w:vAlign w:val="bottom"/>
            <w:gridSpan w:val="2"/>
          </w:tcPr>
          <w:p>
            <w:pPr>
              <w:jc w:val="right"/>
              <w:ind w:right="165"/>
              <w:spacing w:after="0"/>
              <w:rPr>
                <w:sz w:val="20"/>
                <w:szCs w:val="20"/>
                <w:color w:val="auto"/>
              </w:rPr>
            </w:pPr>
            <w:r>
              <w:rPr>
                <w:rFonts w:ascii="Arial" w:cs="Arial" w:eastAsia="Arial" w:hAnsi="Arial"/>
                <w:sz w:val="15"/>
                <w:szCs w:val="15"/>
                <w:b w:val="1"/>
                <w:bCs w:val="1"/>
                <w:color w:val="auto"/>
                <w:w w:val="91"/>
              </w:rPr>
              <w:t>Plastic and Rubber</w:t>
            </w:r>
          </w:p>
        </w:tc>
        <w:tc>
          <w:tcPr>
            <w:tcW w:w="1400" w:type="dxa"/>
            <w:vAlign w:val="bottom"/>
            <w:gridSpan w:val="2"/>
          </w:tcPr>
          <w:p>
            <w:pPr>
              <w:jc w:val="center"/>
              <w:ind w:right="365"/>
              <w:spacing w:after="0"/>
              <w:rPr>
                <w:sz w:val="20"/>
                <w:szCs w:val="20"/>
                <w:color w:val="auto"/>
              </w:rPr>
            </w:pPr>
            <w:r>
              <w:rPr>
                <w:rFonts w:ascii="Arial" w:cs="Arial" w:eastAsia="Arial" w:hAnsi="Arial"/>
                <w:sz w:val="15"/>
                <w:szCs w:val="15"/>
                <w:b w:val="1"/>
                <w:bCs w:val="1"/>
                <w:color w:val="auto"/>
                <w:w w:val="87"/>
              </w:rPr>
              <w:t>Components</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gridSpan w:val="2"/>
          </w:tcPr>
          <w:p>
            <w:pPr>
              <w:spacing w:after="0"/>
              <w:rPr>
                <w:sz w:val="20"/>
                <w:szCs w:val="20"/>
                <w:color w:val="auto"/>
              </w:rPr>
            </w:pPr>
            <w:r>
              <w:rPr>
                <w:rFonts w:ascii="Arial" w:cs="Arial" w:eastAsia="Arial" w:hAnsi="Arial"/>
                <w:sz w:val="15"/>
                <w:szCs w:val="15"/>
                <w:color w:val="auto"/>
              </w:rPr>
              <w:t>(In Thousands of Dollars)</w:t>
            </w:r>
          </w:p>
        </w:tc>
        <w:tc>
          <w:tcPr>
            <w:tcW w:w="3060" w:type="dxa"/>
            <w:vAlign w:val="bottom"/>
            <w:gridSpan w:val="5"/>
          </w:tcPr>
          <w:p>
            <w:pPr>
              <w:jc w:val="right"/>
              <w:ind w:right="85"/>
              <w:spacing w:after="0"/>
              <w:rPr>
                <w:sz w:val="20"/>
                <w:szCs w:val="20"/>
                <w:color w:val="auto"/>
              </w:rPr>
            </w:pPr>
            <w:r>
              <w:rPr>
                <w:rFonts w:ascii="Arial" w:cs="Arial" w:eastAsia="Arial" w:hAnsi="Arial"/>
                <w:sz w:val="15"/>
                <w:szCs w:val="15"/>
                <w:b w:val="1"/>
                <w:bCs w:val="1"/>
                <w:color w:val="auto"/>
                <w:w w:val="89"/>
              </w:rPr>
              <w:t>Components Segment Components Segment</w:t>
            </w:r>
          </w:p>
        </w:tc>
        <w:tc>
          <w:tcPr>
            <w:tcW w:w="1400" w:type="dxa"/>
            <w:vAlign w:val="bottom"/>
            <w:gridSpan w:val="2"/>
          </w:tcPr>
          <w:p>
            <w:pPr>
              <w:jc w:val="center"/>
              <w:ind w:right="365"/>
              <w:spacing w:after="0"/>
              <w:rPr>
                <w:sz w:val="20"/>
                <w:szCs w:val="20"/>
                <w:color w:val="auto"/>
              </w:rPr>
            </w:pPr>
            <w:r>
              <w:rPr>
                <w:rFonts w:ascii="Arial" w:cs="Arial" w:eastAsia="Arial" w:hAnsi="Arial"/>
                <w:sz w:val="15"/>
                <w:szCs w:val="15"/>
                <w:b w:val="1"/>
                <w:bCs w:val="1"/>
                <w:color w:val="auto"/>
                <w:w w:val="88"/>
              </w:rPr>
              <w:t>Segment</w:t>
            </w:r>
          </w:p>
        </w:tc>
        <w:tc>
          <w:tcPr>
            <w:tcW w:w="104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January 1, 2006</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1"/>
              </w:rPr>
              <w:t>25,755</w:t>
            </w:r>
          </w:p>
        </w:tc>
        <w:tc>
          <w:tcPr>
            <w:tcW w:w="6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87"/>
              </w:rPr>
              <w:t>15,893</w:t>
            </w:r>
          </w:p>
        </w:tc>
        <w:tc>
          <w:tcPr>
            <w:tcW w:w="480" w:type="dxa"/>
            <w:vAlign w:val="bottom"/>
            <w:tcBorders>
              <w:top w:val="single" w:sz="8" w:color="auto"/>
            </w:tcBorders>
            <w:shd w:val="clear" w:color="auto" w:fill="CCEEFF"/>
          </w:tcPr>
          <w:p>
            <w:pPr>
              <w:jc w:val="center"/>
              <w:ind w:left="1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41,648</w:t>
            </w:r>
          </w:p>
        </w:tc>
        <w:tc>
          <w:tcPr>
            <w:tcW w:w="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40" w:type="dxa"/>
            <w:vAlign w:val="bottom"/>
          </w:tcPr>
          <w:p>
            <w:pPr>
              <w:ind w:left="100"/>
              <w:spacing w:after="0"/>
              <w:rPr>
                <w:sz w:val="20"/>
                <w:szCs w:val="20"/>
                <w:color w:val="auto"/>
              </w:rPr>
            </w:pPr>
            <w:r>
              <w:rPr>
                <w:rFonts w:ascii="Arial" w:cs="Arial" w:eastAsia="Arial" w:hAnsi="Arial"/>
                <w:sz w:val="15"/>
                <w:szCs w:val="15"/>
                <w:color w:val="auto"/>
              </w:rPr>
              <w:t>Goodwill acquired</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Arial" w:cs="Arial" w:eastAsia="Arial" w:hAnsi="Arial"/>
                <w:sz w:val="15"/>
                <w:szCs w:val="15"/>
                <w:color w:val="auto"/>
                <w:w w:val="90"/>
              </w:rPr>
              <w:t>2,352</w:t>
            </w:r>
          </w:p>
        </w:tc>
        <w:tc>
          <w:tcPr>
            <w:tcW w:w="940" w:type="dxa"/>
            <w:vAlign w:val="bottom"/>
          </w:tcPr>
          <w:p>
            <w:pPr>
              <w:spacing w:after="0"/>
              <w:rPr>
                <w:sz w:val="15"/>
                <w:szCs w:val="15"/>
                <w:color w:val="auto"/>
              </w:rPr>
            </w:pPr>
          </w:p>
        </w:tc>
        <w:tc>
          <w:tcPr>
            <w:tcW w:w="5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5"/>
                <w:szCs w:val="15"/>
                <w:color w:val="auto"/>
              </w:rPr>
            </w:pPr>
          </w:p>
        </w:tc>
        <w:tc>
          <w:tcPr>
            <w:tcW w:w="72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2,352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Currency impacts</w:t>
            </w:r>
          </w:p>
        </w:tc>
        <w:tc>
          <w:tcPr>
            <w:tcW w:w="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rPr>
              <w:t>2,147</w:t>
            </w:r>
          </w:p>
        </w:tc>
        <w:tc>
          <w:tcPr>
            <w:tcW w:w="4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2,147</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Balance as of December 31, 2006</w:t>
            </w:r>
          </w:p>
        </w:tc>
        <w:tc>
          <w:tcPr>
            <w:tcW w:w="11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0"/>
              </w:rPr>
              <w:t>2,352</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1"/>
              </w:rPr>
              <w:t>25,755</w:t>
            </w: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87"/>
              </w:rPr>
              <w:t>18,040</w:t>
            </w:r>
          </w:p>
        </w:tc>
        <w:tc>
          <w:tcPr>
            <w:tcW w:w="480" w:type="dxa"/>
            <w:vAlign w:val="bottom"/>
            <w:tcBorders>
              <w:bottom w:val="single" w:sz="8" w:color="auto"/>
            </w:tcBorders>
          </w:tcPr>
          <w:p>
            <w:pPr>
              <w:jc w:val="center"/>
              <w:ind w:left="14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46,147</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January 1, 2007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2,352</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25,755</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18,040</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46,147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40" w:type="dxa"/>
            <w:vAlign w:val="bottom"/>
          </w:tcPr>
          <w:p>
            <w:pPr>
              <w:ind w:left="100"/>
              <w:spacing w:after="0" w:line="169" w:lineRule="exact"/>
              <w:rPr>
                <w:sz w:val="20"/>
                <w:szCs w:val="20"/>
                <w:color w:val="auto"/>
              </w:rPr>
            </w:pPr>
            <w:r>
              <w:rPr>
                <w:rFonts w:ascii="Arial" w:cs="Arial" w:eastAsia="Arial" w:hAnsi="Arial"/>
                <w:sz w:val="15"/>
                <w:szCs w:val="15"/>
                <w:color w:val="auto"/>
              </w:rPr>
              <w:t>Adjustment to the purchase price</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Arial" w:cs="Arial" w:eastAsia="Arial" w:hAnsi="Arial"/>
                <w:sz w:val="15"/>
                <w:szCs w:val="15"/>
                <w:color w:val="auto"/>
              </w:rPr>
              <w:t>Allocation</w:t>
            </w: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(134)</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6"/>
                <w:szCs w:val="16"/>
                <w:color w:val="auto"/>
              </w:rPr>
            </w:pPr>
          </w:p>
        </w:tc>
        <w:tc>
          <w:tcPr>
            <w:tcW w:w="72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Goodwill impaired</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89"/>
              </w:rPr>
              <w:t>(10,016)</w:t>
            </w:r>
          </w:p>
        </w:tc>
        <w:tc>
          <w:tcPr>
            <w:tcW w:w="4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6"/>
              </w:rPr>
              <w:t>(10,016)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100"/>
              <w:spacing w:after="0"/>
              <w:rPr>
                <w:sz w:val="20"/>
                <w:szCs w:val="20"/>
                <w:color w:val="auto"/>
              </w:rPr>
            </w:pPr>
            <w:r>
              <w:rPr>
                <w:rFonts w:ascii="Arial" w:cs="Arial" w:eastAsia="Arial" w:hAnsi="Arial"/>
                <w:sz w:val="15"/>
                <w:szCs w:val="15"/>
                <w:color w:val="auto"/>
              </w:rPr>
              <w:t>Currency impacts</w:t>
            </w:r>
          </w:p>
        </w:tc>
        <w:tc>
          <w:tcPr>
            <w:tcW w:w="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526</w:t>
            </w: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as of June 30, 2007</w:t>
            </w: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25,755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8,550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36,523</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color w:val="auto"/>
        </w:rPr>
        <w:t>The adjustment to the purchase price allocation during the six months ended June 30, 2007 related to legal cost paid subsequent to the year ended December 31, 2006 for the acquisition of Whirlaway offset by adjustments to certain beginning liability balances.</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The goodwill impairment at our Metal Bearing Components Segment related to the decision to restructure the European operations of this segment (see Note 2). Accordingly, the goodwill was tested for impairment at locations affected by the planned restructuring using a present value of future expected cash flows method performed pursuant to the provision of SFAS 142. The implied fair value of the goodwill was less than the carrying amount of the goodwill at one European reporting unit and an impairment charge of $10,016 was included within the Restructuring and impairment charges of the Consolidated Statements of Income.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20"/>
                <w:szCs w:val="20"/>
                <w:color w:val="auto"/>
              </w:rPr>
            </w:pPr>
            <w:r>
              <w:rPr>
                <w:rFonts w:ascii="Arial" w:cs="Arial" w:eastAsia="Arial" w:hAnsi="Arial"/>
                <w:sz w:val="15"/>
                <w:szCs w:val="15"/>
                <w:b w:val="1"/>
                <w:bCs w:val="1"/>
                <w:color w:val="auto"/>
              </w:rPr>
              <w:t>Note 11.</w:t>
            </w:r>
          </w:p>
        </w:tc>
        <w:tc>
          <w:tcPr>
            <w:tcW w:w="5120" w:type="dxa"/>
            <w:vAlign w:val="bottom"/>
            <w:gridSpan w:val="2"/>
          </w:tcPr>
          <w:p>
            <w:pPr>
              <w:ind w:left="220"/>
              <w:spacing w:after="0"/>
              <w:rPr>
                <w:sz w:val="20"/>
                <w:szCs w:val="20"/>
                <w:color w:val="auto"/>
              </w:rPr>
            </w:pPr>
            <w:r>
              <w:rPr>
                <w:rFonts w:ascii="Arial" w:cs="Arial" w:eastAsia="Arial" w:hAnsi="Arial"/>
                <w:sz w:val="15"/>
                <w:szCs w:val="15"/>
                <w:b w:val="1"/>
                <w:bCs w:val="1"/>
                <w:color w:val="auto"/>
              </w:rPr>
              <w:t>Intangible assets, net of amortization</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2"/>
          </w:tcPr>
          <w:p>
            <w:pPr>
              <w:jc w:val="center"/>
              <w:ind w:right="145"/>
              <w:spacing w:after="0"/>
              <w:rPr>
                <w:sz w:val="20"/>
                <w:szCs w:val="20"/>
                <w:color w:val="auto"/>
              </w:rPr>
            </w:pPr>
            <w:r>
              <w:rPr>
                <w:rFonts w:ascii="Arial" w:cs="Arial" w:eastAsia="Arial" w:hAnsi="Arial"/>
                <w:sz w:val="15"/>
                <w:szCs w:val="15"/>
                <w:b w:val="1"/>
                <w:bCs w:val="1"/>
                <w:color w:val="auto"/>
                <w:w w:val="89"/>
              </w:rPr>
              <w:t>Precision Metal</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center"/>
              <w:ind w:left="225"/>
              <w:spacing w:after="0"/>
              <w:rPr>
                <w:sz w:val="20"/>
                <w:szCs w:val="20"/>
                <w:color w:val="auto"/>
              </w:rPr>
            </w:pPr>
            <w:r>
              <w:rPr>
                <w:rFonts w:ascii="Arial" w:cs="Arial" w:eastAsia="Arial" w:hAnsi="Arial"/>
                <w:sz w:val="15"/>
                <w:szCs w:val="15"/>
                <w:b w:val="1"/>
                <w:bCs w:val="1"/>
                <w:color w:val="auto"/>
                <w:w w:val="87"/>
              </w:rPr>
              <w:t>Components</w:t>
            </w:r>
          </w:p>
        </w:tc>
        <w:tc>
          <w:tcPr>
            <w:tcW w:w="540" w:type="dxa"/>
            <w:vAlign w:val="bottom"/>
          </w:tcPr>
          <w:p>
            <w:pPr>
              <w:spacing w:after="0"/>
              <w:rPr>
                <w:sz w:val="15"/>
                <w:szCs w:val="15"/>
                <w:color w:val="auto"/>
              </w:rPr>
            </w:pPr>
          </w:p>
        </w:tc>
        <w:tc>
          <w:tcPr>
            <w:tcW w:w="1540" w:type="dxa"/>
            <w:vAlign w:val="bottom"/>
            <w:gridSpan w:val="2"/>
          </w:tcPr>
          <w:p>
            <w:pPr>
              <w:jc w:val="right"/>
              <w:ind w:right="465"/>
              <w:spacing w:after="0"/>
              <w:rPr>
                <w:sz w:val="20"/>
                <w:szCs w:val="20"/>
                <w:color w:val="auto"/>
              </w:rPr>
            </w:pPr>
            <w:r>
              <w:rPr>
                <w:rFonts w:ascii="Arial" w:cs="Arial" w:eastAsia="Arial" w:hAnsi="Arial"/>
                <w:sz w:val="15"/>
                <w:szCs w:val="15"/>
                <w:b w:val="1"/>
                <w:bCs w:val="1"/>
                <w:color w:val="auto"/>
                <w:w w:val="99"/>
              </w:rPr>
              <w:t>Metal Bearing</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120" w:type="dxa"/>
            <w:vAlign w:val="bottom"/>
            <w:gridSpan w:val="2"/>
          </w:tcPr>
          <w:p>
            <w:pPr>
              <w:ind w:left="420"/>
              <w:spacing w:after="0"/>
              <w:rPr>
                <w:sz w:val="20"/>
                <w:szCs w:val="20"/>
                <w:color w:val="auto"/>
              </w:rPr>
            </w:pPr>
            <w:r>
              <w:rPr>
                <w:rFonts w:ascii="Arial" w:cs="Arial" w:eastAsia="Arial" w:hAnsi="Arial"/>
                <w:sz w:val="15"/>
                <w:szCs w:val="15"/>
                <w:color w:val="auto"/>
              </w:rPr>
              <w:t>(In Thousands of Dollars)</w:t>
            </w:r>
          </w:p>
        </w:tc>
        <w:tc>
          <w:tcPr>
            <w:tcW w:w="20" w:type="dxa"/>
            <w:vAlign w:val="bottom"/>
          </w:tcPr>
          <w:p>
            <w:pPr>
              <w:spacing w:after="0"/>
              <w:rPr>
                <w:sz w:val="17"/>
                <w:szCs w:val="17"/>
                <w:color w:val="auto"/>
              </w:rPr>
            </w:pPr>
          </w:p>
        </w:tc>
        <w:tc>
          <w:tcPr>
            <w:tcW w:w="1260" w:type="dxa"/>
            <w:vAlign w:val="bottom"/>
          </w:tcPr>
          <w:p>
            <w:pPr>
              <w:jc w:val="center"/>
              <w:ind w:left="245"/>
              <w:spacing w:after="0"/>
              <w:rPr>
                <w:sz w:val="20"/>
                <w:szCs w:val="20"/>
                <w:color w:val="auto"/>
              </w:rPr>
            </w:pPr>
            <w:r>
              <w:rPr>
                <w:rFonts w:ascii="Arial" w:cs="Arial" w:eastAsia="Arial" w:hAnsi="Arial"/>
                <w:sz w:val="15"/>
                <w:szCs w:val="15"/>
                <w:b w:val="1"/>
                <w:bCs w:val="1"/>
                <w:color w:val="auto"/>
                <w:w w:val="85"/>
              </w:rPr>
              <w:t>Segment</w:t>
            </w:r>
          </w:p>
        </w:tc>
        <w:tc>
          <w:tcPr>
            <w:tcW w:w="2080" w:type="dxa"/>
            <w:vAlign w:val="bottom"/>
            <w:gridSpan w:val="3"/>
          </w:tcPr>
          <w:p>
            <w:pPr>
              <w:jc w:val="right"/>
              <w:ind w:right="245"/>
              <w:spacing w:after="0"/>
              <w:rPr>
                <w:sz w:val="20"/>
                <w:szCs w:val="20"/>
                <w:color w:val="auto"/>
              </w:rPr>
            </w:pPr>
            <w:r>
              <w:rPr>
                <w:rFonts w:ascii="Arial" w:cs="Arial" w:eastAsia="Arial" w:hAnsi="Arial"/>
                <w:sz w:val="15"/>
                <w:szCs w:val="15"/>
                <w:b w:val="1"/>
                <w:bCs w:val="1"/>
                <w:color w:val="auto"/>
              </w:rPr>
              <w:t>Components Segment</w:t>
            </w:r>
          </w:p>
        </w:tc>
        <w:tc>
          <w:tcPr>
            <w:tcW w:w="720" w:type="dxa"/>
            <w:vAlign w:val="bottom"/>
          </w:tcPr>
          <w:p>
            <w:pPr>
              <w:jc w:val="right"/>
              <w:ind w:right="65"/>
              <w:spacing w:after="0"/>
              <w:rPr>
                <w:sz w:val="20"/>
                <w:szCs w:val="20"/>
                <w:color w:val="auto"/>
              </w:rPr>
            </w:pPr>
            <w:r>
              <w:rPr>
                <w:rFonts w:ascii="Arial" w:cs="Arial" w:eastAsia="Arial" w:hAnsi="Arial"/>
                <w:sz w:val="15"/>
                <w:szCs w:val="15"/>
                <w:b w:val="1"/>
                <w:bCs w:val="1"/>
                <w:color w:val="auto"/>
              </w:rPr>
              <w:t>Total</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January 1, 2006</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rPr>
              <w:t>474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tcPr>
          <w:p>
            <w:pPr>
              <w:ind w:left="120"/>
              <w:spacing w:after="0"/>
              <w:rPr>
                <w:sz w:val="20"/>
                <w:szCs w:val="20"/>
                <w:color w:val="auto"/>
              </w:rPr>
            </w:pPr>
            <w:r>
              <w:rPr>
                <w:rFonts w:ascii="Arial" w:cs="Arial" w:eastAsia="Arial" w:hAnsi="Arial"/>
                <w:sz w:val="15"/>
                <w:szCs w:val="15"/>
                <w:color w:val="auto"/>
              </w:rPr>
              <w:t>Acquisition of Intangibles</w:t>
            </w: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jc w:val="right"/>
              <w:ind w:right="125"/>
              <w:spacing w:after="0"/>
              <w:rPr>
                <w:sz w:val="20"/>
                <w:szCs w:val="20"/>
                <w:color w:val="auto"/>
              </w:rPr>
            </w:pPr>
            <w:r>
              <w:rPr>
                <w:rFonts w:ascii="Arial" w:cs="Arial" w:eastAsia="Arial" w:hAnsi="Arial"/>
                <w:sz w:val="15"/>
                <w:szCs w:val="15"/>
                <w:color w:val="auto"/>
                <w:w w:val="85"/>
              </w:rPr>
              <w:t>7,180</w:t>
            </w:r>
          </w:p>
        </w:tc>
        <w:tc>
          <w:tcPr>
            <w:tcW w:w="92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Arial" w:cs="Arial" w:eastAsia="Arial" w:hAnsi="Arial"/>
                <w:sz w:val="15"/>
                <w:szCs w:val="15"/>
                <w:color w:val="auto"/>
                <w:w w:val="90"/>
              </w:rPr>
              <w:t>1,855</w:t>
            </w:r>
          </w:p>
        </w:tc>
        <w:tc>
          <w:tcPr>
            <w:tcW w:w="7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9,035</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w:t>
            </w:r>
          </w:p>
        </w:tc>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(39)</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6"/>
              </w:rPr>
              <w:t>(402)</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tcPr>
          <w:p>
            <w:pPr>
              <w:ind w:left="120"/>
              <w:spacing w:after="0"/>
              <w:rPr>
                <w:sz w:val="20"/>
                <w:szCs w:val="20"/>
                <w:color w:val="auto"/>
              </w:rPr>
            </w:pPr>
            <w:r>
              <w:rPr>
                <w:rFonts w:ascii="Arial" w:cs="Arial" w:eastAsia="Arial" w:hAnsi="Arial"/>
                <w:sz w:val="15"/>
                <w:szCs w:val="15"/>
                <w:color w:val="auto"/>
              </w:rPr>
              <w:t>Currency impacts</w:t>
            </w: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163</w:t>
            </w: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as of December 31, 2006</w:t>
            </w:r>
          </w:p>
        </w:tc>
        <w:tc>
          <w:tcPr>
            <w:tcW w:w="1820" w:type="dxa"/>
            <w:vAlign w:val="bottom"/>
            <w:tcBorders>
              <w:bottom w:val="single" w:sz="8" w:color="auto"/>
            </w:tcBorders>
            <w:gridSpan w:val="3"/>
            <w:shd w:val="clear" w:color="auto" w:fill="CCEEFF"/>
          </w:tcPr>
          <w:p>
            <w:pPr>
              <w:jc w:val="right"/>
              <w:ind w:right="125"/>
              <w:spacing w:after="0"/>
              <w:rPr>
                <w:sz w:val="20"/>
                <w:szCs w:val="20"/>
                <w:color w:val="auto"/>
              </w:rPr>
            </w:pPr>
            <w:r>
              <w:rPr>
                <w:rFonts w:ascii="Arial" w:cs="Arial" w:eastAsia="Arial" w:hAnsi="Arial"/>
                <w:sz w:val="15"/>
                <w:szCs w:val="15"/>
                <w:color w:val="auto"/>
              </w:rPr>
              <w:t>$ 7,141</w:t>
            </w: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90"/>
              </w:rPr>
              <w:t>2,090</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$ 9,231</w:t>
            </w: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420" w:type="dxa"/>
            <w:vAlign w:val="bottom"/>
            <w:vMerge w:val="restart"/>
          </w:tcPr>
          <w:p>
            <w:pPr>
              <w:spacing w:after="0"/>
              <w:rPr>
                <w:sz w:val="16"/>
                <w:szCs w:val="16"/>
                <w:color w:val="auto"/>
              </w:rPr>
            </w:pPr>
          </w:p>
        </w:tc>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January 1, 2007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7,141</w:t>
            </w: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0"/>
              </w:rPr>
              <w:t>2,090</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9,231</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tcPr>
          <w:p>
            <w:pPr>
              <w:ind w:left="120"/>
              <w:spacing w:after="0"/>
              <w:rPr>
                <w:sz w:val="20"/>
                <w:szCs w:val="20"/>
                <w:color w:val="auto"/>
              </w:rPr>
            </w:pPr>
            <w:r>
              <w:rPr>
                <w:rFonts w:ascii="Arial" w:cs="Arial" w:eastAsia="Arial" w:hAnsi="Arial"/>
                <w:sz w:val="15"/>
                <w:szCs w:val="15"/>
                <w:color w:val="auto"/>
              </w:rPr>
              <w:t>Acquisition of Intangibles</w:t>
            </w: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Arial" w:cs="Arial" w:eastAsia="Arial" w:hAnsi="Arial"/>
                <w:sz w:val="15"/>
                <w:szCs w:val="15"/>
                <w:color w:val="auto"/>
              </w:rPr>
              <w:t>66</w:t>
            </w:r>
          </w:p>
        </w:tc>
        <w:tc>
          <w:tcPr>
            <w:tcW w:w="7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Amortization</w:t>
            </w:r>
          </w:p>
        </w:tc>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6"/>
              </w:rPr>
              <w:t>(267)</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tcPr>
          <w:p>
            <w:pPr>
              <w:ind w:left="120"/>
              <w:spacing w:after="0"/>
              <w:rPr>
                <w:sz w:val="20"/>
                <w:szCs w:val="20"/>
                <w:color w:val="auto"/>
              </w:rPr>
            </w:pPr>
            <w:r>
              <w:rPr>
                <w:rFonts w:ascii="Arial" w:cs="Arial" w:eastAsia="Arial" w:hAnsi="Arial"/>
                <w:sz w:val="15"/>
                <w:szCs w:val="15"/>
                <w:color w:val="auto"/>
              </w:rPr>
              <w:t>Currency impacts</w:t>
            </w: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Arial" w:cs="Arial" w:eastAsia="Arial" w:hAnsi="Arial"/>
                <w:sz w:val="15"/>
                <w:szCs w:val="15"/>
                <w:color w:val="auto"/>
              </w:rPr>
              <w:t>43</w:t>
            </w:r>
          </w:p>
        </w:tc>
        <w:tc>
          <w:tcPr>
            <w:tcW w:w="7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Impairment</w:t>
            </w:r>
          </w:p>
        </w:tc>
        <w:tc>
          <w:tcPr>
            <w:tcW w:w="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gridSpan w:val="2"/>
            <w:shd w:val="clear" w:color="auto" w:fill="CCEEFF"/>
          </w:tcPr>
          <w:p>
            <w:pPr>
              <w:jc w:val="right"/>
              <w:ind w:right="185"/>
              <w:spacing w:after="0"/>
              <w:rPr>
                <w:sz w:val="20"/>
                <w:szCs w:val="20"/>
                <w:color w:val="auto"/>
              </w:rPr>
            </w:pPr>
            <w:r>
              <w:rPr>
                <w:rFonts w:ascii="Arial" w:cs="Arial" w:eastAsia="Arial" w:hAnsi="Arial"/>
                <w:sz w:val="15"/>
                <w:szCs w:val="15"/>
                <w:color w:val="auto"/>
              </w:rPr>
              <w:t>(1,932)</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(1,932)</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Balance as of June 30, 2007</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6,904</w:t>
            </w:r>
          </w:p>
        </w:tc>
        <w:tc>
          <w:tcPr>
            <w:tcW w:w="9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6,904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40"/>
        <w:spacing w:after="0" w:line="302" w:lineRule="auto"/>
        <w:rPr>
          <w:sz w:val="20"/>
          <w:szCs w:val="20"/>
          <w:color w:val="auto"/>
        </w:rPr>
      </w:pPr>
      <w:r>
        <w:rPr>
          <w:rFonts w:ascii="Arial" w:cs="Arial" w:eastAsia="Arial" w:hAnsi="Arial"/>
          <w:sz w:val="13"/>
          <w:szCs w:val="13"/>
          <w:color w:val="auto"/>
        </w:rPr>
        <w:t>Of the intangible assets within the Precision Metal Components Segment, the majority of the value is a customer relationship intangible with an estimated fair value of $6,900. This intangible asset has an estimated useful life of 20 years and $173 of amortization expense was recorded in 2007. The remaining balance is made up of a covenant not to compete of $150 and a favorable leasehold interest of $130. These items are amortizable over two and two and a half years, respectively, and $38 and $26 in amortization expense was recorded in 2007. The accumulated amortization related to all of these intangible assets at June 30, 2007 was $276. Additionally, in the Precision Metal Components Segment is an intangible asset not subject to amortization of $900 related to the value of the trade names of Whirlaway. The Company is still in the process of finalizing the valuation and estimated useful lives of these intangible assets.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3" w:name="page14"/>
    <w:bookmarkEnd w:id="13"/>
    <w:p>
      <w:pPr>
        <w:ind w:left="5480"/>
        <w:spacing w:after="0"/>
        <w:rPr>
          <w:sz w:val="20"/>
          <w:szCs w:val="20"/>
          <w:color w:val="auto"/>
        </w:rPr>
      </w:pPr>
      <w:r>
        <w:rPr>
          <w:rFonts w:ascii="Arial" w:cs="Arial" w:eastAsia="Arial" w:hAnsi="Arial"/>
          <w:sz w:val="15"/>
          <w:szCs w:val="15"/>
          <w:b w:val="1"/>
          <w:bCs w:val="1"/>
          <w:color w:val="auto"/>
        </w:rPr>
        <w:t>NN, Inc.</w:t>
      </w:r>
    </w:p>
    <w:p>
      <w:pPr>
        <w:spacing w:after="0" w:line="29"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9"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(unaudited)</w:t>
      </w:r>
    </w:p>
    <w:p>
      <w:pPr>
        <w:spacing w:after="0" w:line="212"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The intangible asset within the Metal Bearing Components Segment is a contract intangible related to the SNR purchase agreement and related supply agreement. This intangible asset was originally subject to amortization over approximately 5 years and amortization expense was originally to approximate $500 for each of the five years. For the six month period ended June 30, 2007, the amortization expense totaled $267 and accumulated amortization totaled $812 at June 30, 2007. At June 30, 2007, the net value of this intangible asset of $1,932 was deemed to be fully impaired as a result of the European restructuring (see Note 2). The fair value was determined using a present value of expected future cash flows method pursuant to SFAS 144 and the impairment charge was included within Restructuring and impairment charges of the Consolidated Statements of Income.</w:t>
      </w:r>
    </w:p>
    <w:p>
      <w:pPr>
        <w:spacing w:after="0" w:line="185"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b w:val="1"/>
          <w:bCs w:val="1"/>
          <w:color w:val="auto"/>
        </w:rPr>
        <w:t>Note 12.</w:t>
      </w:r>
      <w:r>
        <w:rPr>
          <w:sz w:val="20"/>
          <w:szCs w:val="20"/>
          <w:color w:val="auto"/>
        </w:rPr>
        <w:tab/>
      </w:r>
      <w:r>
        <w:rPr>
          <w:rFonts w:ascii="Arial" w:cs="Arial" w:eastAsia="Arial" w:hAnsi="Arial"/>
          <w:sz w:val="13"/>
          <w:szCs w:val="13"/>
          <w:b w:val="1"/>
          <w:bCs w:val="1"/>
          <w:color w:val="auto"/>
        </w:rPr>
        <w:t>Stock Compensation</w:t>
      </w: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In the three and six month periods ended June 30, 2007 and 2006, approximately $234 and $368 for 2007 and $103 and $206 for 2006, respectively, of compensation expense was recognized in selling, general and administrative expense for all share-based awards. On March 1, 2007 and May 25, 2007 the Company granted 30,000 and 161,500 options, respectively, to directors and certain employees of the Company. The fair value of the options cannot be determined by market value as our options are not traded in an open market. Accordingly, a financial pricing model is utilized to determine fair value. The Company utilizes the Black-Scholes model which relies on certain assumptions to estimate an option's fair value.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reconciliation of option activity for the six month period ended June 30, 2007:</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Weighted-</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89"/>
              </w:rPr>
              <w:t>Weighted-Average</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Average Exercise</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1"/>
              </w:rPr>
              <w:t>Remaining</w:t>
            </w:r>
          </w:p>
        </w:tc>
        <w:tc>
          <w:tcPr>
            <w:tcW w:w="260" w:type="dxa"/>
            <w:vAlign w:val="bottom"/>
          </w:tcPr>
          <w:p>
            <w:pPr>
              <w:spacing w:after="0"/>
              <w:rPr>
                <w:sz w:val="15"/>
                <w:szCs w:val="15"/>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Aggregate Intrinsic</w:t>
            </w:r>
          </w:p>
        </w:tc>
      </w:tr>
      <w:tr>
        <w:trPr>
          <w:trHeight w:val="196"/>
        </w:trPr>
        <w:tc>
          <w:tcPr>
            <w:tcW w:w="20" w:type="dxa"/>
            <w:vAlign w:val="bottom"/>
          </w:tcPr>
          <w:p>
            <w:pPr>
              <w:spacing w:after="0"/>
              <w:rPr>
                <w:sz w:val="17"/>
                <w:szCs w:val="17"/>
                <w:color w:val="auto"/>
              </w:rPr>
            </w:pPr>
          </w:p>
        </w:tc>
        <w:tc>
          <w:tcPr>
            <w:tcW w:w="3340" w:type="dxa"/>
            <w:vAlign w:val="bottom"/>
            <w:tcBorders>
              <w:bottom w:val="single" w:sz="8" w:color="auto"/>
            </w:tcBorders>
          </w:tcPr>
          <w:p>
            <w:pPr>
              <w:ind w:left="1400"/>
              <w:spacing w:after="0"/>
              <w:rPr>
                <w:sz w:val="20"/>
                <w:szCs w:val="20"/>
                <w:color w:val="auto"/>
              </w:rPr>
            </w:pPr>
            <w:r>
              <w:rPr>
                <w:rFonts w:ascii="Arial" w:cs="Arial" w:eastAsia="Arial" w:hAnsi="Arial"/>
                <w:sz w:val="15"/>
                <w:szCs w:val="15"/>
                <w:b w:val="1"/>
                <w:bCs w:val="1"/>
                <w:color w:val="auto"/>
              </w:rPr>
              <w:t>Options</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6"/>
              </w:rPr>
              <w:t>Shares (000’s)</w:t>
            </w:r>
          </w:p>
        </w:tc>
        <w:tc>
          <w:tcPr>
            <w:tcW w:w="260" w:type="dxa"/>
            <w:vAlign w:val="bottom"/>
          </w:tcPr>
          <w:p>
            <w:pPr>
              <w:spacing w:after="0"/>
              <w:rPr>
                <w:sz w:val="17"/>
                <w:szCs w:val="17"/>
                <w:color w:val="auto"/>
              </w:rPr>
            </w:pPr>
          </w:p>
        </w:tc>
        <w:tc>
          <w:tcPr>
            <w:tcW w:w="800" w:type="dxa"/>
            <w:vAlign w:val="bottom"/>
            <w:tcBorders>
              <w:bottom w:val="single" w:sz="8" w:color="auto"/>
            </w:tcBorders>
          </w:tcPr>
          <w:p>
            <w:pPr>
              <w:jc w:val="center"/>
              <w:ind w:left="265"/>
              <w:spacing w:after="0"/>
              <w:rPr>
                <w:sz w:val="20"/>
                <w:szCs w:val="20"/>
                <w:color w:val="auto"/>
              </w:rPr>
            </w:pPr>
            <w:r>
              <w:rPr>
                <w:rFonts w:ascii="Arial" w:cs="Arial" w:eastAsia="Arial" w:hAnsi="Arial"/>
                <w:sz w:val="15"/>
                <w:szCs w:val="15"/>
                <w:b w:val="1"/>
                <w:bCs w:val="1"/>
                <w:color w:val="auto"/>
                <w:w w:val="92"/>
              </w:rPr>
              <w:t>Price</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Contractual Term</w:t>
            </w:r>
          </w:p>
        </w:tc>
        <w:tc>
          <w:tcPr>
            <w:tcW w:w="260" w:type="dxa"/>
            <w:vAlign w:val="bottom"/>
          </w:tcPr>
          <w:p>
            <w:pPr>
              <w:spacing w:after="0"/>
              <w:rPr>
                <w:sz w:val="17"/>
                <w:szCs w:val="17"/>
                <w:color w:val="auto"/>
              </w:rPr>
            </w:pPr>
          </w:p>
        </w:tc>
        <w:tc>
          <w:tcPr>
            <w:tcW w:w="1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Value ($000)</w:t>
            </w:r>
          </w:p>
        </w:tc>
      </w:tr>
      <w:tr>
        <w:trPr>
          <w:trHeight w:val="179"/>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January 1, 2007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9.81</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Granted</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192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90"/>
              </w:rPr>
              <w:t>12.05</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10.95</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Forfeited or expired</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90"/>
              </w:rPr>
              <w:t>12.54</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52"/>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June 30, 2007</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1,577</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line="212" w:lineRule="exact"/>
              <w:rPr>
                <w:sz w:val="20"/>
                <w:szCs w:val="20"/>
                <w:color w:val="auto"/>
              </w:rPr>
            </w:pPr>
            <w:r>
              <w:rPr>
                <w:rFonts w:ascii="Arial" w:cs="Arial" w:eastAsia="Arial" w:hAnsi="Arial"/>
                <w:sz w:val="15"/>
                <w:szCs w:val="15"/>
                <w:color w:val="auto"/>
              </w:rPr>
              <w:t>$ 2,850</w:t>
            </w:r>
            <w:r>
              <w:rPr>
                <w:rFonts w:ascii="Arial" w:cs="Arial" w:eastAsia="Arial" w:hAnsi="Arial"/>
                <w:sz w:val="24"/>
                <w:szCs w:val="24"/>
                <w:color w:val="auto"/>
                <w:vertAlign w:val="superscript"/>
              </w:rPr>
              <w:t>(1)</w:t>
            </w:r>
          </w:p>
        </w:tc>
      </w:tr>
      <w:tr>
        <w:trPr>
          <w:trHeight w:val="197"/>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Exercisable at June 30, 2007</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1,216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9.46</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5.05</w:t>
            </w:r>
          </w:p>
        </w:tc>
        <w:tc>
          <w:tcPr>
            <w:tcW w:w="1700" w:type="dxa"/>
            <w:vAlign w:val="bottom"/>
            <w:gridSpan w:val="2"/>
          </w:tcPr>
          <w:p>
            <w:pPr>
              <w:jc w:val="right"/>
              <w:spacing w:after="0" w:line="198" w:lineRule="exact"/>
              <w:rPr>
                <w:sz w:val="20"/>
                <w:szCs w:val="20"/>
                <w:color w:val="auto"/>
              </w:rPr>
            </w:pPr>
            <w:r>
              <w:rPr>
                <w:rFonts w:ascii="Arial" w:cs="Arial" w:eastAsia="Arial" w:hAnsi="Arial"/>
                <w:sz w:val="14"/>
                <w:szCs w:val="14"/>
                <w:color w:val="auto"/>
              </w:rPr>
              <w:t xml:space="preserve">$ 2,850 </w:t>
            </w:r>
            <w:r>
              <w:rPr>
                <w:rFonts w:ascii="Arial" w:cs="Arial" w:eastAsia="Arial" w:hAnsi="Arial"/>
                <w:sz w:val="22"/>
                <w:szCs w:val="22"/>
                <w:color w:val="auto"/>
                <w:vertAlign w:val="superscript"/>
              </w:rPr>
              <w:t>(1)</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0" w:hanging="191"/>
        <w:spacing w:after="0"/>
        <w:tabs>
          <w:tab w:leader="none" w:pos="200"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Intrinsic value is the amount by which the market price of the stock exceeds the weighted average exercise price of the options at June 30, 2007.</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 Awards</w:t>
      </w:r>
    </w:p>
    <w:p>
      <w:pPr>
        <w:spacing w:after="0" w:line="212"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auto"/>
        </w:rPr>
        <w:t>The unrecognized compensation cost before tax for these awards at June 30, 2007 and 2006 total approximately $63 and $262, respectively, to be recognized over approximately one and two years, respectively. As of June 30, 2007, the actual cumulative forfeiture rate of the awards granted was approximately 10%. Below is a summary of the status of the non-vested restricted stock as of June 30, 2007 and changes during the six month period ended June 30, 2007:</w:t>
      </w:r>
    </w:p>
    <w:p>
      <w:pPr>
        <w:spacing w:after="0" w:line="173" w:lineRule="exact"/>
        <w:rPr>
          <w:sz w:val="20"/>
          <w:szCs w:val="20"/>
          <w:color w:val="auto"/>
        </w:rPr>
      </w:pPr>
    </w:p>
    <w:tbl>
      <w:tblPr>
        <w:tblLayout w:type="fixed"/>
        <w:tblInd w:w="11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5"/>
                <w:szCs w:val="15"/>
                <w:b w:val="1"/>
                <w:bCs w:val="1"/>
                <w:color w:val="auto"/>
                <w:w w:val="91"/>
              </w:rPr>
              <w:t>Weighted-Average Grant-Date</w:t>
            </w:r>
          </w:p>
        </w:tc>
      </w:tr>
      <w:tr>
        <w:trPr>
          <w:trHeight w:val="196"/>
        </w:trPr>
        <w:tc>
          <w:tcPr>
            <w:tcW w:w="20" w:type="dxa"/>
            <w:vAlign w:val="bottom"/>
          </w:tcPr>
          <w:p>
            <w:pPr>
              <w:spacing w:after="0"/>
              <w:rPr>
                <w:sz w:val="17"/>
                <w:szCs w:val="17"/>
                <w:color w:val="auto"/>
              </w:rPr>
            </w:pPr>
          </w:p>
        </w:tc>
        <w:tc>
          <w:tcPr>
            <w:tcW w:w="5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w w:val="88"/>
              </w:rPr>
              <w:t>Shares (000’s)</w:t>
            </w:r>
          </w:p>
        </w:tc>
        <w:tc>
          <w:tcPr>
            <w:tcW w:w="2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b w:val="1"/>
                <w:bCs w:val="1"/>
                <w:color w:val="auto"/>
              </w:rPr>
              <w:t>Fair Value</w:t>
            </w:r>
          </w:p>
        </w:tc>
      </w:tr>
      <w:tr>
        <w:trPr>
          <w:trHeight w:val="179"/>
        </w:trPr>
        <w:tc>
          <w:tcPr>
            <w:tcW w:w="20" w:type="dxa"/>
            <w:vAlign w:val="bottom"/>
          </w:tcPr>
          <w:p>
            <w:pPr>
              <w:spacing w:after="0"/>
              <w:rPr>
                <w:sz w:val="15"/>
                <w:szCs w:val="15"/>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Non-vested at January 1, 2007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240" w:type="dxa"/>
            <w:vAlign w:val="bottom"/>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$ 12.70</w:t>
            </w:r>
          </w:p>
        </w:tc>
      </w:tr>
      <w:tr>
        <w:trPr>
          <w:trHeight w:val="179"/>
        </w:trPr>
        <w:tc>
          <w:tcPr>
            <w:tcW w:w="20" w:type="dxa"/>
            <w:vAlign w:val="bottom"/>
          </w:tcPr>
          <w:p>
            <w:pPr>
              <w:spacing w:after="0"/>
              <w:rPr>
                <w:sz w:val="15"/>
                <w:szCs w:val="15"/>
                <w:color w:val="auto"/>
              </w:rPr>
            </w:pPr>
          </w:p>
        </w:tc>
        <w:tc>
          <w:tcPr>
            <w:tcW w:w="6660" w:type="dxa"/>
            <w:vAlign w:val="bottom"/>
            <w:gridSpan w:val="3"/>
          </w:tcPr>
          <w:p>
            <w:pPr>
              <w:spacing w:after="0"/>
              <w:rPr>
                <w:sz w:val="20"/>
                <w:szCs w:val="20"/>
                <w:color w:val="auto"/>
              </w:rPr>
            </w:pPr>
            <w:r>
              <w:rPr>
                <w:rFonts w:ascii="Arial" w:cs="Arial" w:eastAsia="Arial" w:hAnsi="Arial"/>
                <w:sz w:val="15"/>
                <w:szCs w:val="15"/>
                <w:color w:val="auto"/>
              </w:rPr>
              <w:t>Granted</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240" w:type="dxa"/>
            <w:vAlign w:val="bottom"/>
            <w:gridSpan w:val="2"/>
          </w:tcPr>
          <w:p>
            <w:pPr>
              <w:jc w:val="right"/>
              <w:ind w:right="145"/>
              <w:spacing w:after="0"/>
              <w:rPr>
                <w:sz w:val="20"/>
                <w:szCs w:val="20"/>
                <w:color w:val="auto"/>
              </w:rPr>
            </w:pPr>
            <w:r>
              <w:rPr>
                <w:rFonts w:ascii="Arial" w:cs="Arial" w:eastAsia="Arial" w:hAnsi="Arial"/>
                <w:sz w:val="15"/>
                <w:szCs w:val="15"/>
                <w:color w:val="auto"/>
              </w:rPr>
              <w:t>--</w:t>
            </w:r>
          </w:p>
        </w:tc>
      </w:tr>
      <w:tr>
        <w:trPr>
          <w:trHeight w:val="179"/>
        </w:trPr>
        <w:tc>
          <w:tcPr>
            <w:tcW w:w="20" w:type="dxa"/>
            <w:vAlign w:val="bottom"/>
          </w:tcPr>
          <w:p>
            <w:pPr>
              <w:spacing w:after="0"/>
              <w:rPr>
                <w:sz w:val="15"/>
                <w:szCs w:val="15"/>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Vested</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40" w:type="dxa"/>
            <w:vAlign w:val="bottom"/>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2240" w:type="dxa"/>
            <w:vAlign w:val="bottom"/>
            <w:gridSpan w:val="2"/>
          </w:tcPr>
          <w:p>
            <w:pPr>
              <w:jc w:val="right"/>
              <w:ind w:right="145"/>
              <w:spacing w:after="0"/>
              <w:rPr>
                <w:sz w:val="20"/>
                <w:szCs w:val="20"/>
                <w:color w:val="auto"/>
              </w:rPr>
            </w:pPr>
            <w:r>
              <w:rPr>
                <w:rFonts w:ascii="Arial" w:cs="Arial" w:eastAsia="Arial" w:hAnsi="Arial"/>
                <w:sz w:val="15"/>
                <w:szCs w:val="15"/>
                <w:color w:val="auto"/>
              </w:rPr>
              <w:t>$12.70</w:t>
            </w:r>
          </w:p>
        </w:tc>
      </w:tr>
      <w:tr>
        <w:trPr>
          <w:trHeight w:val="219"/>
        </w:trPr>
        <w:tc>
          <w:tcPr>
            <w:tcW w:w="20" w:type="dxa"/>
            <w:vAlign w:val="bottom"/>
          </w:tcPr>
          <w:p>
            <w:pPr>
              <w:spacing w:after="0"/>
              <w:rPr>
                <w:sz w:val="19"/>
                <w:szCs w:val="19"/>
                <w:color w:val="auto"/>
              </w:rPr>
            </w:pPr>
          </w:p>
        </w:tc>
        <w:tc>
          <w:tcPr>
            <w:tcW w:w="5480" w:type="dxa"/>
            <w:vAlign w:val="bottom"/>
            <w:tcBorders>
              <w:bottom w:val="single" w:sz="8" w:color="CCEEFF"/>
            </w:tcBorders>
            <w:gridSpan w:val="2"/>
            <w:shd w:val="clear" w:color="auto" w:fill="CCEEFF"/>
          </w:tcPr>
          <w:p>
            <w:pPr>
              <w:spacing w:after="0" w:line="159" w:lineRule="exact"/>
              <w:rPr>
                <w:sz w:val="20"/>
                <w:szCs w:val="20"/>
                <w:color w:val="auto"/>
              </w:rPr>
            </w:pPr>
            <w:r>
              <w:rPr>
                <w:rFonts w:ascii="Arial" w:cs="Arial" w:eastAsia="Arial" w:hAnsi="Arial"/>
                <w:sz w:val="15"/>
                <w:szCs w:val="15"/>
                <w:color w:val="auto"/>
              </w:rPr>
              <w:t>Non-vested at June 30, 2007</w:t>
            </w:r>
          </w:p>
        </w:tc>
        <w:tc>
          <w:tcPr>
            <w:tcW w:w="1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30</w:t>
            </w:r>
          </w:p>
        </w:tc>
        <w:tc>
          <w:tcPr>
            <w:tcW w:w="2240" w:type="dxa"/>
            <w:vAlign w:val="bottom"/>
            <w:tcBorders>
              <w:bottom w:val="single" w:sz="8" w:color="CCEEFF"/>
            </w:tcBorders>
            <w:gridSpan w:val="2"/>
            <w:shd w:val="clear" w:color="auto" w:fill="CCEEFF"/>
          </w:tcPr>
          <w:p>
            <w:pPr>
              <w:jc w:val="right"/>
              <w:ind w:right="145"/>
              <w:spacing w:after="0" w:line="159" w:lineRule="exact"/>
              <w:rPr>
                <w:sz w:val="20"/>
                <w:szCs w:val="20"/>
                <w:color w:val="auto"/>
              </w:rPr>
            </w:pPr>
            <w:r>
              <w:rPr>
                <w:rFonts w:ascii="Arial" w:cs="Arial" w:eastAsia="Arial" w:hAnsi="Arial"/>
                <w:sz w:val="15"/>
                <w:szCs w:val="15"/>
                <w:color w:val="auto"/>
              </w:rPr>
              <w:t>$ 12.70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 term Incentive Plan</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On June 29, 2007, the Company granted certain directors and other key employees an award of 50,500 performance units pursuant to the NN, Inc. 2005 Incentive Plan. Each unit is equal to one share of NN common stock. The award entitles the grantee to earn in a range from 90% to 150% of the total number of units based upon achieving earnings per share and return on capital employed targets over a defined performance cycle. The value of the performance units is determined by using the Black-Scholes model which relies on certain assumptions to estimate a unit's fair value. The performance period is fiscal years 2007, 2008 and 2009 and the shares vest on December 31, 2009. There was no compensation expense recognized in the second quarter of 2007 related to these performance units.</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3"/>
          <w:szCs w:val="13"/>
          <w:b w:val="1"/>
          <w:bCs w:val="1"/>
          <w:color w:val="auto"/>
        </w:rPr>
        <w:t>Property, Plant and Equipment</w:t>
      </w:r>
    </w:p>
    <w:p>
      <w:pPr>
        <w:spacing w:after="0" w:line="212"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During the first quarter of 2006, we completed a sale of excess land and two buildings at our Pinerolo, Italy facility. The net book value of this land and buildings was $1,013 and was classified as held for sale at December 31, 2005. The proceeds from the sale were $2,804, resulting in a pre-tax gain of $1,791. In addition, the Pinerolo facility disposed of excess machinery in the first quarter of 2006 with a net book value of $1,087, resulting in a pre-tax loss of $1,062.</w:t>
      </w:r>
    </w:p>
    <w:p>
      <w:pPr>
        <w:spacing w:after="0" w:line="177"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Fixed assets at certain European operations of the Metal Bearing Components Segment were impaired as a result of the European restructuring (see Note 2.) The total reduction in fixed assets from the impairment charge was $3,320 and was reported in the Restructuring and impairment charges of the Consolidated Statements of Income.</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3"/>
          <w:szCs w:val="13"/>
          <w:b w:val="1"/>
          <w:bCs w:val="1"/>
          <w:color w:val="auto"/>
        </w:rPr>
        <w:t>Related Party Transactions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During the first quarter of 2007, the Company remitted $18,638 to the former sole shareholder of Whirlaway to partially repay the related party note payable. The payment was financed under our $135,000 credit facility.</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Note 15.</w:t>
      </w:r>
      <w:r>
        <w:rPr>
          <w:sz w:val="20"/>
          <w:szCs w:val="20"/>
          <w:color w:val="auto"/>
        </w:rPr>
        <w:tab/>
      </w:r>
      <w:r>
        <w:rPr>
          <w:rFonts w:ascii="Arial" w:cs="Arial" w:eastAsia="Arial" w:hAnsi="Arial"/>
          <w:sz w:val="13"/>
          <w:szCs w:val="13"/>
          <w:b w:val="1"/>
          <w:bCs w:val="1"/>
          <w:color w:val="auto"/>
        </w:rPr>
        <w:t>Provision for Income Taxes</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The Company adopted the provisions of FIN 48 on January 1, 2007. As a result of the implementation of FIN 48, the Company recognized a $600 increase in our income tax liabilities and a corresponding reduction in beginning retained earnings.</w:t>
      </w:r>
    </w:p>
    <w:p>
      <w:pPr>
        <w:spacing w:after="0" w:line="170" w:lineRule="exact"/>
        <w:rPr>
          <w:sz w:val="20"/>
          <w:szCs w:val="20"/>
          <w:color w:val="auto"/>
        </w:rPr>
      </w:pPr>
    </w:p>
    <w:p>
      <w:pPr>
        <w:ind w:right="300"/>
        <w:spacing w:after="0" w:line="295" w:lineRule="auto"/>
        <w:rPr>
          <w:sz w:val="20"/>
          <w:szCs w:val="20"/>
          <w:color w:val="auto"/>
        </w:rPr>
      </w:pPr>
      <w:r>
        <w:rPr>
          <w:rFonts w:ascii="Arial" w:cs="Arial" w:eastAsia="Arial" w:hAnsi="Arial"/>
          <w:sz w:val="13"/>
          <w:szCs w:val="13"/>
          <w:color w:val="auto"/>
        </w:rPr>
        <w:t>As of the date of adoption, the total unrecognized benefits were approximately $1,464 all of which, if recognized, would affect the effective tax rate. The amount of unrecognized benefits increased approximately $340 during the six months ended June 30, 2007. The increase in the unrecognized benefits in 2007 was a result of previous tax planning strategies</w:t>
      </w:r>
    </w:p>
    <w:p>
      <w:pPr>
        <w:spacing w:after="0"/>
        <w:rPr>
          <w:sz w:val="20"/>
          <w:szCs w:val="20"/>
          <w:color w:val="auto"/>
        </w:rPr>
      </w:pPr>
      <w:r>
        <w:rPr>
          <w:rFonts w:ascii="Arial" w:cs="Arial" w:eastAsia="Arial" w:hAnsi="Arial"/>
          <w:sz w:val="14"/>
          <w:szCs w:val="14"/>
          <w:color w:val="auto"/>
        </w:rPr>
        <w:t>from operations.  During the six months ended June 30, 2007, this balance was reduced by approximately $220 due to a state tax liability that was paid in the second quarter of 2007.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4" w:name="page15"/>
    <w:bookmarkEnd w:id="14"/>
    <w:p>
      <w:pPr>
        <w:ind w:left="5480"/>
        <w:spacing w:after="0"/>
        <w:rPr>
          <w:sz w:val="20"/>
          <w:szCs w:val="20"/>
          <w:color w:val="auto"/>
        </w:rPr>
      </w:pPr>
      <w:r>
        <w:rPr>
          <w:rFonts w:ascii="Arial" w:cs="Arial" w:eastAsia="Arial" w:hAnsi="Arial"/>
          <w:sz w:val="15"/>
          <w:szCs w:val="15"/>
          <w:b w:val="1"/>
          <w:bCs w:val="1"/>
          <w:color w:val="auto"/>
        </w:rPr>
        <w:t>NN, Inc.</w:t>
      </w:r>
    </w:p>
    <w:p>
      <w:pPr>
        <w:spacing w:after="0" w:line="29"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9"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(unaudited)</w:t>
      </w:r>
    </w:p>
    <w:p>
      <w:pPr>
        <w:spacing w:after="0" w:line="212" w:lineRule="exact"/>
        <w:rPr>
          <w:sz w:val="20"/>
          <w:szCs w:val="20"/>
          <w:color w:val="auto"/>
        </w:rPr>
      </w:pPr>
    </w:p>
    <w:p>
      <w:pPr>
        <w:ind w:right="360"/>
        <w:spacing w:after="0" w:line="271" w:lineRule="auto"/>
        <w:rPr>
          <w:sz w:val="20"/>
          <w:szCs w:val="20"/>
          <w:color w:val="auto"/>
        </w:rPr>
      </w:pPr>
      <w:r>
        <w:rPr>
          <w:rFonts w:ascii="Arial" w:cs="Arial" w:eastAsia="Arial" w:hAnsi="Arial"/>
          <w:sz w:val="15"/>
          <w:szCs w:val="15"/>
          <w:color w:val="auto"/>
        </w:rPr>
        <w:t>Interest and penalties related to federal, state, and foreign income tax matters are recorded as a component of the provision for income taxes in our statements of income. We recorded an insignificant amount of foreign interest and penalties to the provision for income taxes in the three and six months ended June 30, 2007.</w:t>
      </w:r>
    </w:p>
    <w:p>
      <w:pPr>
        <w:spacing w:after="0" w:line="170" w:lineRule="exact"/>
        <w:rPr>
          <w:sz w:val="20"/>
          <w:szCs w:val="20"/>
          <w:color w:val="auto"/>
        </w:rPr>
      </w:pPr>
    </w:p>
    <w:p>
      <w:pPr>
        <w:jc w:val="both"/>
        <w:ind w:right="80"/>
        <w:spacing w:after="0" w:line="260" w:lineRule="auto"/>
        <w:rPr>
          <w:sz w:val="20"/>
          <w:szCs w:val="20"/>
          <w:color w:val="auto"/>
        </w:rPr>
      </w:pPr>
      <w:r>
        <w:rPr>
          <w:rFonts w:ascii="Arial" w:cs="Arial" w:eastAsia="Arial" w:hAnsi="Arial"/>
          <w:sz w:val="15"/>
          <w:szCs w:val="15"/>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2001. The Company is no longer subject to non-U.S. income tax examinations within various European Union countries for years before 2002.</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For the six months ended June 30, 2007, the difference between the federal statutory tax rate of 34% and our effective tax rate of negative 78% is primarily due to the large impairment charges for the European restructuring with only an 8% effective tax rate. The effective tax rate of the impairments is low as the tax benefits created by these impairments have limited ability to be used in the future based on expected income to be generated at the locations effected by the impairments.</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Factoring out the impairment impacts, the effective tax rate would have been 44.1%. The rate is higher than usual due to a valuation reserve being placed on a deferred tax asset from tax loss carry forwards at a location still incurring losses (7.4%). Additionally, the rate is higher due to non-U.S. based earnings taxed at higher rates (1.7%), net of elimination of a $300 foreign tax reserve due to a tax claim that was favorably settled, and non deductible incentive stock option expense (1.0%).</w:t>
      </w:r>
    </w:p>
    <w:p>
      <w:pPr>
        <w:spacing w:after="0" w:line="196"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Note 16.</w:t>
      </w:r>
      <w:r>
        <w:rPr>
          <w:sz w:val="20"/>
          <w:szCs w:val="20"/>
          <w:color w:val="auto"/>
        </w:rPr>
        <w:tab/>
      </w:r>
      <w:r>
        <w:rPr>
          <w:rFonts w:ascii="Arial" w:cs="Arial" w:eastAsia="Arial" w:hAnsi="Arial"/>
          <w:sz w:val="13"/>
          <w:szCs w:val="13"/>
          <w:b w:val="1"/>
          <w:bCs w:val="1"/>
          <w:color w:val="auto"/>
        </w:rPr>
        <w:t>Contingencies</w:t>
      </w:r>
    </w:p>
    <w:p>
      <w:pPr>
        <w:spacing w:after="0" w:line="212"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do not know whether we have any liability related to this vendor’s actions or estimatable range for any potential liability.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147" w:right="239" w:bottom="1440" w:gutter="0" w:footer="0" w:header="0"/>
        </w:sectPr>
      </w:pPr>
    </w:p>
    <w:bookmarkStart w:id="15" w:name="page16"/>
    <w:bookmarkEnd w:id="15"/>
    <w:p>
      <w:pPr>
        <w:ind w:left="20"/>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Our risk factors are disclosed in our Annual Report on Form 10-K for the fiscal year ended December 31, 2006 under Item 1.A. “Risk Factors”. There have been no material changes to these risk factors since 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40" w:type="dxa"/>
            <w:vAlign w:val="bottom"/>
            <w:gridSpan w:val="2"/>
          </w:tcPr>
          <w:p>
            <w:pPr>
              <w:spacing w:after="0"/>
              <w:rPr>
                <w:sz w:val="20"/>
                <w:szCs w:val="20"/>
                <w:color w:val="auto"/>
              </w:rPr>
            </w:pPr>
            <w:r>
              <w:rPr>
                <w:rFonts w:ascii="Arial" w:cs="Arial" w:eastAsia="Arial" w:hAnsi="Arial"/>
                <w:sz w:val="15"/>
                <w:szCs w:val="15"/>
                <w:b w:val="1"/>
                <w:bCs w:val="1"/>
                <w:color w:val="auto"/>
              </w:rPr>
              <w:t>Results of Operations</w:t>
            </w:r>
          </w:p>
        </w:tc>
        <w:tc>
          <w:tcPr>
            <w:tcW w:w="1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80"/>
        </w:trPr>
        <w:tc>
          <w:tcPr>
            <w:tcW w:w="6240" w:type="dxa"/>
            <w:vAlign w:val="bottom"/>
            <w:gridSpan w:val="2"/>
          </w:tcPr>
          <w:p>
            <w:pPr>
              <w:spacing w:after="0"/>
              <w:rPr>
                <w:sz w:val="20"/>
                <w:szCs w:val="20"/>
                <w:color w:val="auto"/>
              </w:rPr>
            </w:pPr>
            <w:r>
              <w:rPr>
                <w:rFonts w:ascii="Arial" w:cs="Arial" w:eastAsia="Arial" w:hAnsi="Arial"/>
                <w:sz w:val="15"/>
                <w:szCs w:val="15"/>
                <w:b w:val="1"/>
                <w:bCs w:val="1"/>
                <w:i w:val="1"/>
                <w:iCs w:val="1"/>
                <w:color w:val="auto"/>
                <w:w w:val="98"/>
              </w:rPr>
              <w:t>Three Months Ended June 30, 2007 Compared to the Three Months Ended June 30, 2006.</w:t>
            </w: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0"/>
        </w:trPr>
        <w:tc>
          <w:tcPr>
            <w:tcW w:w="6240" w:type="dxa"/>
            <w:vAlign w:val="bottom"/>
            <w:gridSpan w:val="2"/>
          </w:tcPr>
          <w:p>
            <w:pPr>
              <w:spacing w:after="0"/>
              <w:rPr>
                <w:sz w:val="20"/>
                <w:szCs w:val="20"/>
                <w:color w:val="auto"/>
              </w:rPr>
            </w:pPr>
            <w:r>
              <w:rPr>
                <w:rFonts w:ascii="Arial" w:cs="Arial" w:eastAsia="Arial" w:hAnsi="Arial"/>
                <w:sz w:val="15"/>
                <w:szCs w:val="15"/>
                <w:b w:val="1"/>
                <w:bCs w:val="1"/>
                <w:color w:val="auto"/>
              </w:rPr>
              <w:t>OVERALL RESULTS</w:t>
            </w: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3"/>
        </w:trPr>
        <w:tc>
          <w:tcPr>
            <w:tcW w:w="6240" w:type="dxa"/>
            <w:vAlign w:val="bottom"/>
            <w:gridSpan w:val="2"/>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320" w:type="dxa"/>
            <w:vAlign w:val="bottom"/>
          </w:tcPr>
          <w:p>
            <w:pPr>
              <w:spacing w:after="0"/>
              <w:rPr>
                <w:sz w:val="24"/>
                <w:szCs w:val="24"/>
                <w:color w:val="auto"/>
              </w:rPr>
            </w:pPr>
          </w:p>
        </w:tc>
        <w:tc>
          <w:tcPr>
            <w:tcW w:w="1740" w:type="dxa"/>
            <w:vAlign w:val="bottom"/>
          </w:tcPr>
          <w:p>
            <w:pPr>
              <w:jc w:val="right"/>
              <w:ind w:right="245"/>
              <w:spacing w:after="0"/>
              <w:rPr>
                <w:sz w:val="20"/>
                <w:szCs w:val="20"/>
                <w:color w:val="auto"/>
              </w:rPr>
            </w:pPr>
            <w:r>
              <w:rPr>
                <w:rFonts w:ascii="Arial" w:cs="Arial" w:eastAsia="Arial" w:hAnsi="Arial"/>
                <w:sz w:val="15"/>
                <w:szCs w:val="15"/>
                <w:b w:val="1"/>
                <w:bCs w:val="1"/>
                <w:color w:val="auto"/>
                <w:w w:val="90"/>
              </w:rPr>
              <w:t>Consolidated NN, Inc.</w:t>
            </w:r>
          </w:p>
        </w:tc>
        <w:tc>
          <w:tcPr>
            <w:tcW w:w="1020" w:type="dxa"/>
            <w:vAlign w:val="bottom"/>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5080" w:type="dxa"/>
            <w:vAlign w:val="bottom"/>
            <w:tcBorders>
              <w:top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17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2006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79"/>
        </w:trPr>
        <w:tc>
          <w:tcPr>
            <w:tcW w:w="116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$ 107,302</w:t>
            </w:r>
          </w:p>
        </w:tc>
        <w:tc>
          <w:tcPr>
            <w:tcW w:w="174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rPr>
              <w:t>$ 83,554</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$ 23,748</w:t>
            </w:r>
          </w:p>
        </w:tc>
      </w:tr>
      <w:tr>
        <w:trPr>
          <w:trHeight w:val="168"/>
        </w:trPr>
        <w:tc>
          <w:tcPr>
            <w:tcW w:w="116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Cost of products sold (exclusive of depreciation</w:t>
            </w:r>
          </w:p>
        </w:tc>
        <w:tc>
          <w:tcPr>
            <w:tcW w:w="1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1160" w:type="dxa"/>
            <w:vAlign w:val="bottom"/>
          </w:tcPr>
          <w:p>
            <w:pPr>
              <w:spacing w:after="0"/>
              <w:rPr>
                <w:sz w:val="16"/>
                <w:szCs w:val="16"/>
                <w:color w:val="auto"/>
              </w:rPr>
            </w:pPr>
          </w:p>
        </w:tc>
        <w:tc>
          <w:tcPr>
            <w:tcW w:w="5080" w:type="dxa"/>
            <w:vAlign w:val="bottom"/>
          </w:tcPr>
          <w:p>
            <w:pPr>
              <w:ind w:left="80"/>
              <w:spacing w:after="0"/>
              <w:rPr>
                <w:sz w:val="20"/>
                <w:szCs w:val="20"/>
                <w:color w:val="auto"/>
              </w:rPr>
            </w:pPr>
            <w:r>
              <w:rPr>
                <w:rFonts w:ascii="Arial" w:cs="Arial" w:eastAsia="Arial" w:hAnsi="Arial"/>
                <w:sz w:val="15"/>
                <w:szCs w:val="15"/>
                <w:color w:val="auto"/>
              </w:rPr>
              <w:t>and amortization shown separately below)</w:t>
            </w:r>
          </w:p>
        </w:tc>
        <w:tc>
          <w:tcPr>
            <w:tcW w:w="1320" w:type="dxa"/>
            <w:vAlign w:val="bottom"/>
          </w:tcPr>
          <w:p>
            <w:pPr>
              <w:jc w:val="right"/>
              <w:spacing w:after="0"/>
              <w:rPr>
                <w:sz w:val="20"/>
                <w:szCs w:val="20"/>
                <w:color w:val="auto"/>
              </w:rPr>
            </w:pPr>
            <w:r>
              <w:rPr>
                <w:rFonts w:ascii="Arial" w:cs="Arial" w:eastAsia="Arial" w:hAnsi="Arial"/>
                <w:sz w:val="15"/>
                <w:szCs w:val="15"/>
                <w:color w:val="auto"/>
              </w:rPr>
              <w:t>85,929</w:t>
            </w:r>
          </w:p>
        </w:tc>
        <w:tc>
          <w:tcPr>
            <w:tcW w:w="1740" w:type="dxa"/>
            <w:vAlign w:val="bottom"/>
          </w:tcPr>
          <w:p>
            <w:pPr>
              <w:jc w:val="right"/>
              <w:ind w:right="525"/>
              <w:spacing w:after="0"/>
              <w:rPr>
                <w:sz w:val="20"/>
                <w:szCs w:val="20"/>
                <w:color w:val="auto"/>
              </w:rPr>
            </w:pPr>
            <w:r>
              <w:rPr>
                <w:rFonts w:ascii="Arial" w:cs="Arial" w:eastAsia="Arial" w:hAnsi="Arial"/>
                <w:sz w:val="15"/>
                <w:szCs w:val="15"/>
                <w:color w:val="auto"/>
              </w:rPr>
              <w:t>64,905</w:t>
            </w:r>
          </w:p>
        </w:tc>
        <w:tc>
          <w:tcPr>
            <w:tcW w:w="1020" w:type="dxa"/>
            <w:vAlign w:val="bottom"/>
          </w:tcPr>
          <w:p>
            <w:pPr>
              <w:jc w:val="right"/>
              <w:spacing w:after="0"/>
              <w:rPr>
                <w:sz w:val="20"/>
                <w:szCs w:val="20"/>
                <w:color w:val="auto"/>
              </w:rPr>
            </w:pPr>
            <w:r>
              <w:rPr>
                <w:rFonts w:ascii="Arial" w:cs="Arial" w:eastAsia="Arial" w:hAnsi="Arial"/>
                <w:sz w:val="15"/>
                <w:szCs w:val="15"/>
                <w:color w:val="auto"/>
              </w:rPr>
              <w:t>21,024</w:t>
            </w:r>
          </w:p>
        </w:tc>
      </w:tr>
      <w:tr>
        <w:trPr>
          <w:trHeight w:val="180"/>
        </w:trPr>
        <w:tc>
          <w:tcPr>
            <w:tcW w:w="116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9,558</w:t>
            </w:r>
          </w:p>
        </w:tc>
        <w:tc>
          <w:tcPr>
            <w:tcW w:w="174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rPr>
              <w:t>7,063</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2,495</w:t>
            </w:r>
          </w:p>
        </w:tc>
      </w:tr>
      <w:tr>
        <w:trPr>
          <w:trHeight w:val="179"/>
        </w:trPr>
        <w:tc>
          <w:tcPr>
            <w:tcW w:w="116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320" w:type="dxa"/>
            <w:vAlign w:val="bottom"/>
          </w:tcPr>
          <w:p>
            <w:pPr>
              <w:jc w:val="right"/>
              <w:spacing w:after="0"/>
              <w:rPr>
                <w:sz w:val="20"/>
                <w:szCs w:val="20"/>
                <w:color w:val="auto"/>
              </w:rPr>
            </w:pPr>
            <w:r>
              <w:rPr>
                <w:rFonts w:ascii="Arial" w:cs="Arial" w:eastAsia="Arial" w:hAnsi="Arial"/>
                <w:sz w:val="15"/>
                <w:szCs w:val="15"/>
                <w:color w:val="auto"/>
              </w:rPr>
              <w:t>5,658</w:t>
            </w:r>
          </w:p>
        </w:tc>
        <w:tc>
          <w:tcPr>
            <w:tcW w:w="1740" w:type="dxa"/>
            <w:vAlign w:val="bottom"/>
          </w:tcPr>
          <w:p>
            <w:pPr>
              <w:jc w:val="right"/>
              <w:ind w:right="525"/>
              <w:spacing w:after="0"/>
              <w:rPr>
                <w:sz w:val="20"/>
                <w:szCs w:val="20"/>
                <w:color w:val="auto"/>
              </w:rPr>
            </w:pPr>
            <w:r>
              <w:rPr>
                <w:rFonts w:ascii="Arial" w:cs="Arial" w:eastAsia="Arial" w:hAnsi="Arial"/>
                <w:sz w:val="15"/>
                <w:szCs w:val="15"/>
                <w:color w:val="auto"/>
              </w:rPr>
              <w:t>4,425</w:t>
            </w:r>
          </w:p>
        </w:tc>
        <w:tc>
          <w:tcPr>
            <w:tcW w:w="1020" w:type="dxa"/>
            <w:vAlign w:val="bottom"/>
          </w:tcPr>
          <w:p>
            <w:pPr>
              <w:jc w:val="right"/>
              <w:spacing w:after="0"/>
              <w:rPr>
                <w:sz w:val="20"/>
                <w:szCs w:val="20"/>
                <w:color w:val="auto"/>
              </w:rPr>
            </w:pPr>
            <w:r>
              <w:rPr>
                <w:rFonts w:ascii="Arial" w:cs="Arial" w:eastAsia="Arial" w:hAnsi="Arial"/>
                <w:sz w:val="15"/>
                <w:szCs w:val="15"/>
                <w:color w:val="auto"/>
              </w:rPr>
              <w:t>1,233</w:t>
            </w:r>
          </w:p>
        </w:tc>
      </w:tr>
      <w:tr>
        <w:trPr>
          <w:trHeight w:val="179"/>
        </w:trPr>
        <w:tc>
          <w:tcPr>
            <w:tcW w:w="116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asset impairment charges</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15,269</w:t>
            </w:r>
          </w:p>
        </w:tc>
        <w:tc>
          <w:tcPr>
            <w:tcW w:w="174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15,269</w:t>
            </w:r>
          </w:p>
        </w:tc>
      </w:tr>
      <w:tr>
        <w:trPr>
          <w:trHeight w:val="179"/>
        </w:trPr>
        <w:tc>
          <w:tcPr>
            <w:tcW w:w="116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5"/>
                <w:szCs w:val="15"/>
                <w:color w:val="auto"/>
              </w:rPr>
              <w:t>Interest expense, net</w:t>
            </w:r>
          </w:p>
        </w:tc>
        <w:tc>
          <w:tcPr>
            <w:tcW w:w="1320" w:type="dxa"/>
            <w:vAlign w:val="bottom"/>
          </w:tcPr>
          <w:p>
            <w:pPr>
              <w:jc w:val="right"/>
              <w:spacing w:after="0"/>
              <w:rPr>
                <w:sz w:val="20"/>
                <w:szCs w:val="20"/>
                <w:color w:val="auto"/>
              </w:rPr>
            </w:pPr>
            <w:r>
              <w:rPr>
                <w:rFonts w:ascii="Arial" w:cs="Arial" w:eastAsia="Arial" w:hAnsi="Arial"/>
                <w:sz w:val="15"/>
                <w:szCs w:val="15"/>
                <w:color w:val="auto"/>
              </w:rPr>
              <w:t>1,630</w:t>
            </w:r>
          </w:p>
        </w:tc>
        <w:tc>
          <w:tcPr>
            <w:tcW w:w="1740" w:type="dxa"/>
            <w:vAlign w:val="bottom"/>
          </w:tcPr>
          <w:p>
            <w:pPr>
              <w:jc w:val="right"/>
              <w:ind w:right="525"/>
              <w:spacing w:after="0"/>
              <w:rPr>
                <w:sz w:val="20"/>
                <w:szCs w:val="20"/>
                <w:color w:val="auto"/>
              </w:rPr>
            </w:pPr>
            <w:r>
              <w:rPr>
                <w:rFonts w:ascii="Arial" w:cs="Arial" w:eastAsia="Arial" w:hAnsi="Arial"/>
                <w:sz w:val="15"/>
                <w:szCs w:val="15"/>
                <w:color w:val="auto"/>
              </w:rPr>
              <w:t>1,021</w:t>
            </w:r>
          </w:p>
        </w:tc>
        <w:tc>
          <w:tcPr>
            <w:tcW w:w="1020" w:type="dxa"/>
            <w:vAlign w:val="bottom"/>
          </w:tcPr>
          <w:p>
            <w:pPr>
              <w:jc w:val="right"/>
              <w:spacing w:after="0"/>
              <w:rPr>
                <w:sz w:val="20"/>
                <w:szCs w:val="20"/>
                <w:color w:val="auto"/>
              </w:rPr>
            </w:pPr>
            <w:r>
              <w:rPr>
                <w:rFonts w:ascii="Arial" w:cs="Arial" w:eastAsia="Arial" w:hAnsi="Arial"/>
                <w:sz w:val="15"/>
                <w:szCs w:val="15"/>
                <w:color w:val="auto"/>
              </w:rPr>
              <w:t>609</w:t>
            </w:r>
          </w:p>
        </w:tc>
      </w:tr>
      <w:tr>
        <w:trPr>
          <w:trHeight w:val="179"/>
        </w:trPr>
        <w:tc>
          <w:tcPr>
            <w:tcW w:w="116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(Gain) loss on disposal of assets</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74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81"/>
        </w:trPr>
        <w:tc>
          <w:tcPr>
            <w:tcW w:w="6240" w:type="dxa"/>
            <w:vAlign w:val="bottom"/>
            <w:gridSpan w:val="2"/>
          </w:tcPr>
          <w:p>
            <w:pPr>
              <w:ind w:left="1160"/>
              <w:spacing w:after="0"/>
              <w:rPr>
                <w:sz w:val="20"/>
                <w:szCs w:val="20"/>
                <w:color w:val="auto"/>
              </w:rPr>
            </w:pPr>
            <w:r>
              <w:rPr>
                <w:rFonts w:ascii="Arial" w:cs="Arial" w:eastAsia="Arial" w:hAnsi="Arial"/>
                <w:sz w:val="15"/>
                <w:szCs w:val="15"/>
                <w:color w:val="auto"/>
              </w:rPr>
              <w:t>Other (income) expense, net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74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rPr>
              <w:t>449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w:t>
            </w:r>
          </w:p>
        </w:tc>
      </w:tr>
      <w:tr>
        <w:trPr>
          <w:trHeight w:val="179"/>
        </w:trPr>
        <w:tc>
          <w:tcPr>
            <w:tcW w:w="116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for income taxes</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(10,714)</w:t>
            </w:r>
          </w:p>
        </w:tc>
        <w:tc>
          <w:tcPr>
            <w:tcW w:w="174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rPr>
              <w:t>5,687</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(16,401)</w:t>
            </w:r>
          </w:p>
        </w:tc>
      </w:tr>
      <w:tr>
        <w:trPr>
          <w:trHeight w:val="181"/>
        </w:trPr>
        <w:tc>
          <w:tcPr>
            <w:tcW w:w="6240" w:type="dxa"/>
            <w:vAlign w:val="bottom"/>
            <w:gridSpan w:val="2"/>
          </w:tcPr>
          <w:p>
            <w:pPr>
              <w:ind w:left="1160"/>
              <w:spacing w:after="0"/>
              <w:rPr>
                <w:sz w:val="20"/>
                <w:szCs w:val="20"/>
                <w:color w:val="auto"/>
              </w:rPr>
            </w:pPr>
            <w:r>
              <w:rPr>
                <w:rFonts w:ascii="Arial" w:cs="Arial" w:eastAsia="Arial" w:hAnsi="Arial"/>
                <w:sz w:val="15"/>
                <w:szCs w:val="15"/>
                <w:color w:val="auto"/>
              </w:rPr>
              <w:t>Provision for income taxes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w:t>
            </w:r>
          </w:p>
        </w:tc>
        <w:tc>
          <w:tcPr>
            <w:tcW w:w="174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rPr>
              <w:t>2,234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(1,130)</w:t>
            </w:r>
          </w:p>
        </w:tc>
      </w:tr>
      <w:tr>
        <w:trPr>
          <w:trHeight w:val="219"/>
        </w:trPr>
        <w:tc>
          <w:tcPr>
            <w:tcW w:w="116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5"/>
                <w:szCs w:val="15"/>
                <w:color w:val="auto"/>
              </w:rPr>
              <w:t>Net income (loss)</w:t>
            </w:r>
          </w:p>
        </w:tc>
        <w:tc>
          <w:tcPr>
            <w:tcW w:w="1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 (11,818)</w:t>
            </w:r>
          </w:p>
        </w:tc>
        <w:tc>
          <w:tcPr>
            <w:tcW w:w="1740" w:type="dxa"/>
            <w:vAlign w:val="bottom"/>
            <w:tcBorders>
              <w:bottom w:val="single" w:sz="8" w:color="auto"/>
            </w:tcBorders>
            <w:shd w:val="clear" w:color="auto" w:fill="CCEEFF"/>
          </w:tcPr>
          <w:p>
            <w:pPr>
              <w:jc w:val="right"/>
              <w:ind w:right="525"/>
              <w:spacing w:after="0" w:line="159" w:lineRule="exact"/>
              <w:rPr>
                <w:sz w:val="20"/>
                <w:szCs w:val="20"/>
                <w:color w:val="auto"/>
              </w:rPr>
            </w:pPr>
            <w:r>
              <w:rPr>
                <w:rFonts w:ascii="Arial" w:cs="Arial" w:eastAsia="Arial" w:hAnsi="Arial"/>
                <w:sz w:val="15"/>
                <w:szCs w:val="15"/>
                <w:color w:val="auto"/>
              </w:rPr>
              <w:t>$ 3,453</w:t>
            </w:r>
          </w:p>
        </w:tc>
        <w:tc>
          <w:tcPr>
            <w:tcW w:w="10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  (15,271)</w:t>
            </w:r>
          </w:p>
        </w:tc>
      </w:tr>
    </w:tbl>
    <w:p>
      <w:pPr>
        <w:spacing w:after="0" w:line="191"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Sales have increased due to the addition of the Precision Metal Components Segment with the acquisition of Whirlaway in November 2006 ($17.1 million), from increases in sales</w:t>
      </w:r>
      <w:r>
        <w:rPr>
          <w:rFonts w:ascii="Arial" w:cs="Arial" w:eastAsia="Arial" w:hAnsi="Arial"/>
          <w:sz w:val="15"/>
          <w:szCs w:val="15"/>
          <w:i w:val="1"/>
          <w:iCs w:val="1"/>
          <w:color w:val="auto"/>
        </w:rPr>
        <w:t xml:space="preserve"> </w:t>
      </w:r>
      <w:r>
        <w:rPr>
          <w:rFonts w:ascii="Arial" w:cs="Arial" w:eastAsia="Arial" w:hAnsi="Arial"/>
          <w:sz w:val="15"/>
          <w:szCs w:val="15"/>
          <w:color w:val="auto"/>
        </w:rPr>
        <w:t>volume in our European operations ($2.6 million), and due to appreciation in value of Euro denominated sales relative to the U.S. Dollar ($3.8 million). In addition, sales have increased due to passing through raw material inflation to customers ($1.6 million). Partially offsetting these increases are reductions from price decreases given to several large customers in agreement with contractual terms ($1.1 million) and unfavorable product mix to existing customers ($0.3 million).</w:t>
      </w:r>
    </w:p>
    <w:p>
      <w:pPr>
        <w:spacing w:after="0" w:line="181" w:lineRule="exact"/>
        <w:rPr>
          <w:sz w:val="20"/>
          <w:szCs w:val="20"/>
          <w:color w:val="auto"/>
        </w:rPr>
      </w:pPr>
    </w:p>
    <w:p>
      <w:pPr>
        <w:jc w:val="both"/>
        <w:ind w:right="100"/>
        <w:spacing w:after="0" w:line="256" w:lineRule="auto"/>
        <w:rPr>
          <w:sz w:val="20"/>
          <w:szCs w:val="20"/>
          <w:color w:val="auto"/>
        </w:rPr>
      </w:pPr>
      <w:r>
        <w:rPr>
          <w:rFonts w:ascii="Arial" w:cs="Arial" w:eastAsia="Arial" w:hAnsi="Arial"/>
          <w:sz w:val="15"/>
          <w:szCs w:val="15"/>
          <w:i w:val="1"/>
          <w:iCs w:val="1"/>
          <w:color w:val="auto"/>
        </w:rPr>
        <w:t xml:space="preserve">Cost of Products Sold (exclusive of depreciation and amortization). </w:t>
      </w:r>
      <w:r>
        <w:rPr>
          <w:rFonts w:ascii="Arial" w:cs="Arial" w:eastAsia="Arial" w:hAnsi="Arial"/>
          <w:sz w:val="15"/>
          <w:szCs w:val="15"/>
          <w:color w:val="auto"/>
        </w:rPr>
        <w:t>Cost of products sold increased primarily due to the addition of the Precision Metal Components Segment in November</w:t>
      </w:r>
      <w:r>
        <w:rPr>
          <w:rFonts w:ascii="Arial" w:cs="Arial" w:eastAsia="Arial" w:hAnsi="Arial"/>
          <w:sz w:val="15"/>
          <w:szCs w:val="15"/>
          <w:i w:val="1"/>
          <w:iCs w:val="1"/>
          <w:color w:val="auto"/>
        </w:rPr>
        <w:t xml:space="preserve"> </w:t>
      </w:r>
      <w:r>
        <w:rPr>
          <w:rFonts w:ascii="Arial" w:cs="Arial" w:eastAsia="Arial" w:hAnsi="Arial"/>
          <w:sz w:val="15"/>
          <w:szCs w:val="15"/>
          <w:color w:val="auto"/>
        </w:rPr>
        <w:t>2006 ($15.0 million) and due to the increase in value of Euro denominated costs relative to the U.S. Dollar ($3.0 million). In addition, costs increased related to higher sales volume overall ($2.1 million). Finally, raw material, labor and utility inflation increased ($2.8 million). Offsetting these increases were favorable mix impacts to cost of products sold ($0.3 million) and the impact of projects focused at reducing cost of manufacturing ($1.6 million).</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i w:val="1"/>
          <w:iCs w:val="1"/>
          <w:color w:val="auto"/>
        </w:rPr>
        <w:t xml:space="preserve">Selling, General and Administrative Expenses. </w:t>
      </w:r>
      <w:r>
        <w:rPr>
          <w:rFonts w:ascii="Arial" w:cs="Arial" w:eastAsia="Arial" w:hAnsi="Arial"/>
          <w:sz w:val="14"/>
          <w:szCs w:val="14"/>
          <w:color w:val="auto"/>
        </w:rPr>
        <w:t>The increase was primarily due to the addition of the Precision Metal Components Segment in November 2006 ($1.1 million). In addition,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total increased due to the appreciation in the value of the Euro relative to the U.S. Dollar ($0.3 million). Finally, the total was higher due to recognizing stock option expense ($0.2 million), from higher spending on consulting and professional fees ($0.2 million), higher travel and salary cost ($0.2 million) and additional bad debt expense ($0.2 million).</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These costs are higher due to the acquisition of the Precision Metal Components Segment ($1.0 million) and due to the increase in the value of the Euro based</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depreciation and amortization relative to the U.S. Dollar ($0.2 million).</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i w:val="1"/>
          <w:iCs w:val="1"/>
          <w:color w:val="auto"/>
        </w:rPr>
        <w:t>Interest expense.</w:t>
      </w:r>
      <w:r>
        <w:rPr>
          <w:sz w:val="20"/>
          <w:szCs w:val="20"/>
          <w:color w:val="auto"/>
        </w:rPr>
        <w:tab/>
      </w:r>
      <w:r>
        <w:rPr>
          <w:rFonts w:ascii="Arial" w:cs="Arial" w:eastAsia="Arial" w:hAnsi="Arial"/>
          <w:sz w:val="13"/>
          <w:szCs w:val="13"/>
          <w:color w:val="auto"/>
        </w:rPr>
        <w:t>Interest expense is higher due to the additional debt assumed to acquire the Precision Metal Components Segment in November 2006 ($0.6 million).</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5"/>
          <w:szCs w:val="15"/>
          <w:i w:val="1"/>
          <w:iCs w:val="1"/>
          <w:color w:val="auto"/>
        </w:rPr>
        <w:t xml:space="preserve">Restructuring and Asset Impairment Changes. </w:t>
      </w:r>
      <w:r>
        <w:rPr>
          <w:rFonts w:ascii="Arial" w:cs="Arial" w:eastAsia="Arial" w:hAnsi="Arial"/>
          <w:sz w:val="15"/>
          <w:szCs w:val="15"/>
          <w:color w:val="auto"/>
        </w:rPr>
        <w:t>The Company has begun to take steps to appropriately adjust our cost structure and align our plant capacity in our Metal Bearing Components</w:t>
      </w:r>
      <w:r>
        <w:rPr>
          <w:rFonts w:ascii="Arial" w:cs="Arial" w:eastAsia="Arial" w:hAnsi="Arial"/>
          <w:sz w:val="15"/>
          <w:szCs w:val="15"/>
          <w:i w:val="1"/>
          <w:iCs w:val="1"/>
          <w:color w:val="auto"/>
        </w:rPr>
        <w:t xml:space="preserve"> </w:t>
      </w:r>
      <w:r>
        <w:rPr>
          <w:rFonts w:ascii="Arial" w:cs="Arial" w:eastAsia="Arial" w:hAnsi="Arial"/>
          <w:sz w:val="15"/>
          <w:szCs w:val="15"/>
          <w:color w:val="auto"/>
        </w:rPr>
        <w:t>Segment. This will include restructuring at our European operations of the Metal Bearing Components Segment as we adjust our global precision ball manufacturing capacity to better take advantage of favorable cost structures at our Slovakian and Chinese Metal Bearing Components manufacturing facilities. As a result of this restructuring, certain goodwill, intangible assets, and fixed assets in our European operations are now considered impaired. During the second quarter, we recorded approximately $15.3 million ($14.1 million after-tax) of non-cash impairment costs. These costs include the write-down of certain excess production equipment and the impairment of goodwill and other intangible assets to levels supported by projected cash flows after the restructuring.</w:t>
      </w:r>
    </w:p>
    <w:p>
      <w:pPr>
        <w:spacing w:after="0" w:line="184" w:lineRule="exact"/>
        <w:rPr>
          <w:sz w:val="20"/>
          <w:szCs w:val="20"/>
          <w:color w:val="auto"/>
        </w:rPr>
      </w:pPr>
    </w:p>
    <w:p>
      <w:pPr>
        <w:ind w:right="120"/>
        <w:spacing w:after="0" w:line="256" w:lineRule="auto"/>
        <w:rPr>
          <w:sz w:val="20"/>
          <w:szCs w:val="20"/>
          <w:color w:val="auto"/>
        </w:rPr>
      </w:pPr>
      <w:r>
        <w:rPr>
          <w:rFonts w:ascii="Arial" w:cs="Arial" w:eastAsia="Arial" w:hAnsi="Arial"/>
          <w:sz w:val="15"/>
          <w:szCs w:val="15"/>
          <w:i w:val="1"/>
          <w:iCs w:val="1"/>
          <w:color w:val="auto"/>
        </w:rPr>
        <w:t xml:space="preserve">Provision for income taxes. </w:t>
      </w:r>
      <w:r>
        <w:rPr>
          <w:rFonts w:ascii="Arial" w:cs="Arial" w:eastAsia="Arial" w:hAnsi="Arial"/>
          <w:sz w:val="15"/>
          <w:szCs w:val="15"/>
          <w:color w:val="auto"/>
        </w:rPr>
        <w:t>The second quarter of 2007 effective tax rate of negative 10.30% is primarily due to the large impairment charges for the European restructuring with only an 8%</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tax benefit. Factoring out the impairment impacts, the tax rate would have been 50%. A valuation reserve was placed on a loss carry forward deferred tax asset at a location still incurring losses which increased the rate 18%. Factoring about the valuation reserve the rate would have been lower than normal by 6% due to a tax reserve being removed related to a tax claim that was favorably settled.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40" w:type="dxa"/>
            <w:vAlign w:val="bottom"/>
            <w:gridSpan w:val="3"/>
          </w:tcPr>
          <w:p>
            <w:pPr>
              <w:spacing w:after="0"/>
              <w:rPr>
                <w:sz w:val="20"/>
                <w:szCs w:val="20"/>
                <w:color w:val="auto"/>
              </w:rPr>
            </w:pPr>
            <w:r>
              <w:rPr>
                <w:rFonts w:ascii="Arial" w:cs="Arial" w:eastAsia="Arial" w:hAnsi="Arial"/>
                <w:sz w:val="15"/>
                <w:szCs w:val="15"/>
                <w:b w:val="1"/>
                <w:bCs w:val="1"/>
                <w:color w:val="auto"/>
              </w:rPr>
              <w:t>RESULTS BY SEGMENT</w:t>
            </w:r>
          </w:p>
        </w:tc>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5640" w:type="dxa"/>
            <w:vAlign w:val="bottom"/>
            <w:gridSpan w:val="3"/>
          </w:tcPr>
          <w:p>
            <w:pPr>
              <w:spacing w:after="0"/>
              <w:rPr>
                <w:sz w:val="20"/>
                <w:szCs w:val="20"/>
                <w:color w:val="auto"/>
              </w:rPr>
            </w:pPr>
            <w:r>
              <w:rPr>
                <w:rFonts w:ascii="Arial" w:cs="Arial" w:eastAsia="Arial" w:hAnsi="Arial"/>
                <w:sz w:val="15"/>
                <w:szCs w:val="15"/>
                <w:b w:val="1"/>
                <w:bCs w:val="1"/>
                <w:color w:val="auto"/>
              </w:rPr>
              <w:t>METAL BEARING COMPONENTS SEGMENT</w:t>
            </w: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160" w:type="dxa"/>
            <w:vAlign w:val="bottom"/>
            <w:tcBorders>
              <w:top w:val="single" w:sz="8" w:color="auto"/>
            </w:tcBorders>
            <w:gridSpan w:val="2"/>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2480" w:type="dxa"/>
            <w:vAlign w:val="bottom"/>
          </w:tcPr>
          <w:p>
            <w:pPr>
              <w:spacing w:after="0"/>
              <w:rPr>
                <w:sz w:val="24"/>
                <w:szCs w:val="24"/>
                <w:color w:val="auto"/>
              </w:rPr>
            </w:pPr>
          </w:p>
        </w:tc>
        <w:tc>
          <w:tcPr>
            <w:tcW w:w="3640" w:type="dxa"/>
            <w:vAlign w:val="bottom"/>
            <w:gridSpan w:val="3"/>
          </w:tcPr>
          <w:p>
            <w:pPr>
              <w:jc w:val="right"/>
              <w:ind w:right="265"/>
              <w:spacing w:after="0"/>
              <w:rPr>
                <w:sz w:val="20"/>
                <w:szCs w:val="20"/>
                <w:color w:val="auto"/>
              </w:rPr>
            </w:pPr>
            <w:r>
              <w:rPr>
                <w:rFonts w:ascii="Arial" w:cs="Arial" w:eastAsia="Arial" w:hAnsi="Arial"/>
                <w:sz w:val="15"/>
                <w:szCs w:val="15"/>
                <w:b w:val="1"/>
                <w:bCs w:val="1"/>
                <w:color w:val="auto"/>
              </w:rPr>
              <w:t>Three Months Ended June 30,</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212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2007</w:t>
            </w:r>
          </w:p>
        </w:tc>
        <w:tc>
          <w:tcPr>
            <w:tcW w:w="6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2006</w:t>
            </w:r>
          </w:p>
        </w:tc>
        <w:tc>
          <w:tcPr>
            <w:tcW w:w="5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Change</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212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rPr>
              <w:t>$ 76,275</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69,965</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6,310</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0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Segment profit, excluding restructuring and impairment charges</w:t>
            </w:r>
          </w:p>
        </w:tc>
        <w:tc>
          <w:tcPr>
            <w:tcW w:w="212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rPr>
              <w:t>4,826</w:t>
            </w: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4,120</w:t>
            </w: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Arial" w:cs="Arial" w:eastAsia="Arial" w:hAnsi="Arial"/>
                <w:sz w:val="15"/>
                <w:szCs w:val="15"/>
                <w:color w:val="auto"/>
              </w:rPr>
              <w:t>Restructuring and impairment charges</w:t>
            </w:r>
          </w:p>
        </w:tc>
        <w:tc>
          <w:tcPr>
            <w:tcW w:w="2120" w:type="dxa"/>
            <w:vAlign w:val="bottom"/>
          </w:tcPr>
          <w:p>
            <w:pPr>
              <w:jc w:val="right"/>
              <w:ind w:right="445"/>
              <w:spacing w:after="0"/>
              <w:rPr>
                <w:sz w:val="20"/>
                <w:szCs w:val="20"/>
                <w:color w:val="auto"/>
              </w:rPr>
            </w:pPr>
            <w:r>
              <w:rPr>
                <w:rFonts w:ascii="Arial" w:cs="Arial" w:eastAsia="Arial" w:hAnsi="Arial"/>
                <w:sz w:val="15"/>
                <w:szCs w:val="15"/>
                <w:color w:val="auto"/>
              </w:rPr>
              <w:t>(15,269)</w:t>
            </w:r>
          </w:p>
        </w:tc>
        <w:tc>
          <w:tcPr>
            <w:tcW w:w="640" w:type="dxa"/>
            <w:vAlign w:val="bottom"/>
          </w:tcPr>
          <w:p>
            <w:pPr>
              <w:spacing w:after="0"/>
              <w:rPr>
                <w:sz w:val="17"/>
                <w:szCs w:val="17"/>
                <w:color w:val="auto"/>
              </w:rPr>
            </w:pPr>
          </w:p>
        </w:tc>
        <w:tc>
          <w:tcPr>
            <w:tcW w:w="8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3"/>
              </w:rPr>
              <w:t>(15,269)</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Deferred income tax impacts</w:t>
            </w:r>
          </w:p>
        </w:tc>
        <w:tc>
          <w:tcPr>
            <w:tcW w:w="2120" w:type="dxa"/>
            <w:vAlign w:val="bottom"/>
            <w:tcBorders>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rPr>
              <w:t>396</w:t>
            </w:r>
          </w:p>
        </w:tc>
        <w:tc>
          <w:tcPr>
            <w:tcW w:w="6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0" w:type="dxa"/>
            <w:vAlign w:val="bottom"/>
          </w:tcPr>
          <w:p>
            <w:pPr>
              <w:spacing w:after="0"/>
              <w:rPr>
                <w:sz w:val="1"/>
                <w:szCs w:val="1"/>
                <w:color w:val="auto"/>
              </w:rPr>
            </w:pPr>
          </w:p>
        </w:tc>
      </w:tr>
      <w:tr>
        <w:trPr>
          <w:trHeight w:val="179"/>
        </w:trPr>
        <w:tc>
          <w:tcPr>
            <w:tcW w:w="5640" w:type="dxa"/>
            <w:vAlign w:val="bottom"/>
            <w:gridSpan w:val="3"/>
          </w:tcPr>
          <w:p>
            <w:pPr>
              <w:ind w:left="1160"/>
              <w:spacing w:after="0" w:line="159" w:lineRule="exact"/>
              <w:rPr>
                <w:sz w:val="20"/>
                <w:szCs w:val="20"/>
                <w:color w:val="auto"/>
              </w:rPr>
            </w:pPr>
            <w:r>
              <w:rPr>
                <w:rFonts w:ascii="Arial" w:cs="Arial" w:eastAsia="Arial" w:hAnsi="Arial"/>
                <w:sz w:val="15"/>
                <w:szCs w:val="15"/>
                <w:color w:val="auto"/>
              </w:rPr>
              <w:t>Net income (loss)</w:t>
            </w:r>
          </w:p>
        </w:tc>
        <w:tc>
          <w:tcPr>
            <w:tcW w:w="2120" w:type="dxa"/>
            <w:vAlign w:val="bottom"/>
            <w:tcBorders>
              <w:bottom w:val="single" w:sz="8" w:color="auto"/>
            </w:tcBorders>
          </w:tcPr>
          <w:p>
            <w:pPr>
              <w:jc w:val="right"/>
              <w:ind w:right="445"/>
              <w:spacing w:after="0" w:line="159" w:lineRule="exact"/>
              <w:rPr>
                <w:sz w:val="20"/>
                <w:szCs w:val="20"/>
                <w:color w:val="auto"/>
              </w:rPr>
            </w:pPr>
            <w:r>
              <w:rPr>
                <w:rFonts w:ascii="Arial" w:cs="Arial" w:eastAsia="Arial" w:hAnsi="Arial"/>
                <w:sz w:val="15"/>
                <w:szCs w:val="15"/>
                <w:color w:val="auto"/>
              </w:rPr>
              <w:t>$(10,047)</w:t>
            </w: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25"/>
              <w:spacing w:after="0" w:line="159" w:lineRule="exact"/>
              <w:rPr>
                <w:sz w:val="20"/>
                <w:szCs w:val="20"/>
                <w:color w:val="auto"/>
              </w:rPr>
            </w:pPr>
            <w:r>
              <w:rPr>
                <w:rFonts w:ascii="Arial" w:cs="Arial" w:eastAsia="Arial" w:hAnsi="Arial"/>
                <w:sz w:val="15"/>
                <w:szCs w:val="15"/>
                <w:color w:val="auto"/>
              </w:rPr>
              <w:t>4,120</w:t>
            </w: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3"/>
              </w:rPr>
              <w:t>(14,167)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80"/>
        <w:spacing w:after="0" w:line="256" w:lineRule="auto"/>
        <w:rPr>
          <w:sz w:val="20"/>
          <w:szCs w:val="20"/>
          <w:color w:val="auto"/>
        </w:rPr>
      </w:pPr>
      <w:r>
        <w:rPr>
          <w:rFonts w:ascii="Arial" w:cs="Arial" w:eastAsia="Arial" w:hAnsi="Arial"/>
          <w:sz w:val="15"/>
          <w:szCs w:val="15"/>
          <w:color w:val="auto"/>
        </w:rPr>
        <w:t>The sales increase at the Metal Bearing Components Segment was primarily due to the positive impacts from the appreciation in value of Euro based sales relative to the U.S. Dollar ($3.8 million). Additionally, the Metal Bearing Components Segment experienced higher volume with existing European customers ($2.9 million) and increases related to passing through raw material inflation to customers ($1.0 million). The increases in sales were partially offset by unfavorable product mix to existing customers ($0.3 million) and due to contractual price decreases to certain large customers ($1.1 million).</w:t>
      </w:r>
    </w:p>
    <w:p>
      <w:pPr>
        <w:spacing w:after="0" w:line="181" w:lineRule="exact"/>
        <w:rPr>
          <w:sz w:val="20"/>
          <w:szCs w:val="20"/>
          <w:color w:val="auto"/>
        </w:rPr>
      </w:pPr>
    </w:p>
    <w:p>
      <w:pPr>
        <w:ind w:right="160"/>
        <w:spacing w:after="0" w:line="274" w:lineRule="auto"/>
        <w:rPr>
          <w:sz w:val="20"/>
          <w:szCs w:val="20"/>
          <w:color w:val="auto"/>
        </w:rPr>
      </w:pPr>
      <w:r>
        <w:rPr>
          <w:rFonts w:ascii="Arial" w:cs="Arial" w:eastAsia="Arial" w:hAnsi="Arial"/>
          <w:sz w:val="14"/>
          <w:szCs w:val="14"/>
          <w:color w:val="auto"/>
        </w:rPr>
        <w:t>The segment profit excluding restructuring and impairment charges, a non-GAAP accounting measure, in the second quarter of 2007 was favorably impacted by higher sales volumes in Europe ($0.5 million, net of tax). Euro denominated profits were favorably impacted by the increase in the value of the Euro against the U.S. Dollar ($0.2 million, net of tax). Additionally, the second quarter of 2006 had an unfavorable effect related to the decrease in value of the Slovakian Koruna that did not repeat in 2007 ($0.4 million, net of tax). Finally, the second quarter of 2007 was favorably impacted by the removal of a tax reserve related to a tax claim that was favorably settled ($0.3 million.) Partially offsetting these positive impacts were the effect of price decreases given to certain customers under contractual terms ($0.7 million, net of tax). Raw material cost inflation was offset by price increases under contractual terms to certain customers, resulting in little impact on segment profit. Additionally, cost reduction projects offset utility and labor inflation.</w:t>
      </w:r>
    </w:p>
    <w:p>
      <w:pPr>
        <w:sectPr>
          <w:pgSz w:w="11900" w:h="16838" w:orient="portrait"/>
          <w:cols w:equalWidth="0" w:num="1">
            <w:col w:w="11420"/>
          </w:cols>
          <w:pgMar w:left="220" w:top="326" w:right="259" w:bottom="113" w:gutter="0" w:footer="0" w:header="0"/>
        </w:sectPr>
      </w:pP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7583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20"/>
          </w:cols>
          <w:pgMar w:left="220" w:top="326" w:right="259" w:bottom="113"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2"/>
        </w:trPr>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9"/>
              </w:rPr>
              <w:t>PRECISION METAL COMPONENTS SEGMENT</w:t>
            </w:r>
          </w:p>
        </w:tc>
        <w:tc>
          <w:tcPr>
            <w:tcW w:w="31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6440" w:type="dxa"/>
            <w:vAlign w:val="bottom"/>
            <w:gridSpan w:val="4"/>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40" w:type="dxa"/>
            <w:vAlign w:val="bottom"/>
          </w:tcPr>
          <w:p>
            <w:pPr>
              <w:spacing w:after="0"/>
              <w:rPr>
                <w:sz w:val="24"/>
                <w:szCs w:val="24"/>
                <w:color w:val="auto"/>
              </w:rPr>
            </w:pPr>
          </w:p>
        </w:tc>
        <w:tc>
          <w:tcPr>
            <w:tcW w:w="2480" w:type="dxa"/>
            <w:vAlign w:val="bottom"/>
            <w:gridSpan w:val="3"/>
          </w:tcPr>
          <w:p>
            <w:pPr>
              <w:jc w:val="right"/>
              <w:ind w:right="125"/>
              <w:spacing w:after="0"/>
              <w:rPr>
                <w:sz w:val="20"/>
                <w:szCs w:val="20"/>
                <w:color w:val="auto"/>
              </w:rPr>
            </w:pPr>
            <w:r>
              <w:rPr>
                <w:rFonts w:ascii="Arial" w:cs="Arial" w:eastAsia="Arial" w:hAnsi="Arial"/>
                <w:sz w:val="15"/>
                <w:szCs w:val="15"/>
                <w:b w:val="1"/>
                <w:bCs w:val="1"/>
                <w:color w:val="auto"/>
              </w:rPr>
              <w:t>Three Months Ended June 30,</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4320" w:type="dxa"/>
            <w:vAlign w:val="bottom"/>
            <w:tcBorders>
              <w:top w:val="single" w:sz="8" w:color="auto"/>
            </w:tcBorders>
            <w:gridSpan w:val="2"/>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2006</w:t>
            </w:r>
          </w:p>
        </w:tc>
        <w:tc>
          <w:tcPr>
            <w:tcW w:w="5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Change</w:t>
            </w:r>
          </w:p>
        </w:tc>
        <w:tc>
          <w:tcPr>
            <w:tcW w:w="4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1"/>
              </w:rPr>
              <w:t>17,108</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17,108</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(507)</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340"/>
        <w:spacing w:after="0" w:line="271" w:lineRule="auto"/>
        <w:rPr>
          <w:sz w:val="20"/>
          <w:szCs w:val="20"/>
          <w:color w:val="auto"/>
        </w:rPr>
      </w:pPr>
      <w:r>
        <w:rPr>
          <w:rFonts w:ascii="Arial" w:cs="Arial" w:eastAsia="Arial" w:hAnsi="Arial"/>
          <w:sz w:val="15"/>
          <w:szCs w:val="15"/>
          <w:color w:val="auto"/>
        </w:rPr>
        <w:t>The Precision Metal Components Segment was added on November 30, 2006 with the purchase of Whirlaway. Therefore, the segment was not included in the financial statements of the quarter ended June 30, 2006.</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The second quarter 2007 results of Whirlaway are not indicative of normalized annual operations. Volume in the second quarter of 2007 was down dramatically against historical sales levels due to lower demand at customers that serve the U.S. heavy truck and heating, ventilation, and air conditioning (“HVAC”) equipment markets. The demand in the heavy truck and HVAC markets was abnormally low in the second quarter of 2007 due to large amounts of purchases made in the fourth quarter of 2006 of heavy trucks and HVAC equipment. These purchases were made ahead of required environmental changes to these products on January 1,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4"/>
          </w:tcPr>
          <w:p>
            <w:pPr>
              <w:spacing w:after="0"/>
              <w:rPr>
                <w:sz w:val="20"/>
                <w:szCs w:val="20"/>
                <w:color w:val="auto"/>
              </w:rPr>
            </w:pPr>
            <w:r>
              <w:rPr>
                <w:rFonts w:ascii="Arial" w:cs="Arial" w:eastAsia="Arial" w:hAnsi="Arial"/>
                <w:sz w:val="15"/>
                <w:szCs w:val="15"/>
                <w:b w:val="1"/>
                <w:bCs w:val="1"/>
                <w:color w:val="auto"/>
              </w:rPr>
              <w:t>PLASTIC AND RUBBER COMPONENTS SEGMENT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3560" w:type="dxa"/>
            <w:vAlign w:val="bottom"/>
            <w:tcBorders>
              <w:top w:val="single" w:sz="8" w:color="auto"/>
            </w:tcBorders>
            <w:gridSpan w:val="2"/>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20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gridSpan w:val="2"/>
          </w:tcPr>
          <w:p>
            <w:pPr>
              <w:jc w:val="right"/>
              <w:ind w:right="265"/>
              <w:spacing w:after="0"/>
              <w:rPr>
                <w:sz w:val="20"/>
                <w:szCs w:val="20"/>
                <w:color w:val="auto"/>
              </w:rPr>
            </w:pPr>
            <w:r>
              <w:rPr>
                <w:rFonts w:ascii="Arial" w:cs="Arial" w:eastAsia="Arial" w:hAnsi="Arial"/>
                <w:sz w:val="15"/>
                <w:szCs w:val="15"/>
                <w:b w:val="1"/>
                <w:bCs w:val="1"/>
                <w:color w:val="auto"/>
                <w:w w:val="97"/>
              </w:rPr>
              <w:t>Three Months Ended June 30,</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3540" w:type="dxa"/>
            <w:vAlign w:val="bottom"/>
            <w:tcBorders>
              <w:top w:val="single" w:sz="8" w:color="auto"/>
            </w:tcBorders>
            <w:gridSpan w:val="2"/>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1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2006</w:t>
            </w:r>
          </w:p>
        </w:tc>
        <w:tc>
          <w:tcPr>
            <w:tcW w:w="8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Change</w:t>
            </w:r>
          </w:p>
        </w:tc>
        <w:tc>
          <w:tcPr>
            <w:tcW w:w="4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87"/>
              </w:rPr>
              <w:t>13,919</w:t>
            </w:r>
          </w:p>
        </w:tc>
        <w:tc>
          <w:tcPr>
            <w:tcW w:w="15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13,589</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630</w:t>
            </w:r>
          </w:p>
        </w:tc>
        <w:tc>
          <w:tcPr>
            <w:tcW w:w="15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777</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400"/>
        <w:spacing w:after="0" w:line="271" w:lineRule="auto"/>
        <w:rPr>
          <w:sz w:val="20"/>
          <w:szCs w:val="20"/>
          <w:color w:val="auto"/>
        </w:rPr>
      </w:pPr>
      <w:r>
        <w:rPr>
          <w:rFonts w:ascii="Arial" w:cs="Arial" w:eastAsia="Arial" w:hAnsi="Arial"/>
          <w:sz w:val="15"/>
          <w:szCs w:val="15"/>
          <w:color w:val="auto"/>
        </w:rPr>
        <w:t>Revenues in the Plastic and Rubber Components Segment were up primarily due to raw material inflation pass through ($0.6 million). Additionally, the segment experienced lower sales volume into the automotive market ($0.3 million).</w:t>
      </w:r>
    </w:p>
    <w:p>
      <w:pPr>
        <w:spacing w:after="0" w:line="170" w:lineRule="exact"/>
        <w:rPr>
          <w:sz w:val="20"/>
          <w:szCs w:val="20"/>
          <w:color w:val="auto"/>
        </w:rPr>
      </w:pPr>
    </w:p>
    <w:p>
      <w:pPr>
        <w:ind w:right="240"/>
        <w:spacing w:after="0" w:line="271" w:lineRule="auto"/>
        <w:rPr>
          <w:sz w:val="20"/>
          <w:szCs w:val="20"/>
          <w:color w:val="auto"/>
        </w:rPr>
      </w:pPr>
      <w:r>
        <w:rPr>
          <w:rFonts w:ascii="Arial" w:cs="Arial" w:eastAsia="Arial" w:hAnsi="Arial"/>
          <w:sz w:val="15"/>
          <w:szCs w:val="15"/>
          <w:color w:val="auto"/>
        </w:rPr>
        <w:t>Net income was negatively affected by the volume decreases in sales of products into the automotive market ($0.1 million, after tax). The increases in sales from raw material pass through were offset by raw material inflation.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gridSpan w:val="2"/>
          </w:tcPr>
          <w:p>
            <w:pPr>
              <w:spacing w:after="0"/>
              <w:rPr>
                <w:sz w:val="20"/>
                <w:szCs w:val="20"/>
                <w:color w:val="auto"/>
              </w:rPr>
            </w:pPr>
            <w:r>
              <w:rPr>
                <w:rFonts w:ascii="Arial" w:cs="Arial" w:eastAsia="Arial" w:hAnsi="Arial"/>
                <w:sz w:val="15"/>
                <w:szCs w:val="15"/>
                <w:b w:val="1"/>
                <w:bCs w:val="1"/>
                <w:i w:val="1"/>
                <w:iCs w:val="1"/>
                <w:color w:val="auto"/>
                <w:w w:val="91"/>
              </w:rPr>
              <w:t>Six Months Ended June 30, 2007 Compared to the Six Months Ended June 30, 2006.</w:t>
            </w: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0"/>
        </w:trPr>
        <w:tc>
          <w:tcPr>
            <w:tcW w:w="5460" w:type="dxa"/>
            <w:vAlign w:val="bottom"/>
            <w:gridSpan w:val="2"/>
          </w:tcPr>
          <w:p>
            <w:pPr>
              <w:spacing w:after="0"/>
              <w:rPr>
                <w:sz w:val="20"/>
                <w:szCs w:val="20"/>
                <w:color w:val="auto"/>
              </w:rPr>
            </w:pPr>
            <w:r>
              <w:rPr>
                <w:rFonts w:ascii="Arial" w:cs="Arial" w:eastAsia="Arial" w:hAnsi="Arial"/>
                <w:sz w:val="15"/>
                <w:szCs w:val="15"/>
                <w:b w:val="1"/>
                <w:bCs w:val="1"/>
                <w:color w:val="auto"/>
              </w:rPr>
              <w:t>OVERALL RESULTS</w:t>
            </w: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5460" w:type="dxa"/>
            <w:vAlign w:val="bottom"/>
            <w:gridSpan w:val="2"/>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880" w:type="dxa"/>
            <w:vAlign w:val="bottom"/>
          </w:tcPr>
          <w:p>
            <w:pPr>
              <w:spacing w:after="0"/>
              <w:rPr>
                <w:sz w:val="24"/>
                <w:szCs w:val="24"/>
                <w:color w:val="auto"/>
              </w:rPr>
            </w:pPr>
          </w:p>
        </w:tc>
        <w:tc>
          <w:tcPr>
            <w:tcW w:w="2880" w:type="dxa"/>
            <w:vAlign w:val="bottom"/>
            <w:gridSpan w:val="2"/>
          </w:tcPr>
          <w:p>
            <w:pPr>
              <w:jc w:val="right"/>
              <w:ind w:right="125"/>
              <w:spacing w:after="0"/>
              <w:rPr>
                <w:sz w:val="20"/>
                <w:szCs w:val="20"/>
                <w:color w:val="auto"/>
              </w:rPr>
            </w:pPr>
            <w:r>
              <w:rPr>
                <w:rFonts w:ascii="Arial" w:cs="Arial" w:eastAsia="Arial" w:hAnsi="Arial"/>
                <w:sz w:val="15"/>
                <w:szCs w:val="15"/>
                <w:b w:val="1"/>
                <w:bCs w:val="1"/>
                <w:color w:val="auto"/>
              </w:rPr>
              <w:t>Consolidated NN, Inc.</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1"/>
        </w:trPr>
        <w:tc>
          <w:tcPr>
            <w:tcW w:w="1160" w:type="dxa"/>
            <w:vAlign w:val="bottom"/>
          </w:tcPr>
          <w:p>
            <w:pPr>
              <w:spacing w:after="0"/>
              <w:rPr>
                <w:sz w:val="15"/>
                <w:szCs w:val="15"/>
                <w:color w:val="auto"/>
              </w:rPr>
            </w:pPr>
          </w:p>
        </w:tc>
        <w:tc>
          <w:tcPr>
            <w:tcW w:w="4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b w:val="1"/>
                <w:bCs w:val="1"/>
                <w:color w:val="auto"/>
              </w:rPr>
              <w:t>2007</w:t>
            </w:r>
          </w:p>
        </w:tc>
        <w:tc>
          <w:tcPr>
            <w:tcW w:w="132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b w:val="1"/>
                <w:bCs w:val="1"/>
                <w:color w:val="auto"/>
              </w:rPr>
              <w:t>2006</w:t>
            </w:r>
          </w:p>
        </w:tc>
        <w:tc>
          <w:tcPr>
            <w:tcW w:w="11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Change</w:t>
            </w:r>
          </w:p>
        </w:tc>
        <w:tc>
          <w:tcPr>
            <w:tcW w:w="114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440" w:type="dxa"/>
            <w:vAlign w:val="bottom"/>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$215,246</w:t>
            </w:r>
          </w:p>
        </w:tc>
        <w:tc>
          <w:tcPr>
            <w:tcW w:w="1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$ 169,571</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$45,675</w:t>
            </w:r>
          </w:p>
        </w:tc>
        <w:tc>
          <w:tcPr>
            <w:tcW w:w="1140" w:type="dxa"/>
            <w:vAlign w:val="bottom"/>
          </w:tcPr>
          <w:p>
            <w:pPr>
              <w:spacing w:after="0"/>
              <w:rPr>
                <w:sz w:val="15"/>
                <w:szCs w:val="15"/>
                <w:color w:val="auto"/>
              </w:rPr>
            </w:pPr>
          </w:p>
        </w:tc>
      </w:tr>
      <w:tr>
        <w:trPr>
          <w:trHeight w:val="168"/>
        </w:trPr>
        <w:tc>
          <w:tcPr>
            <w:tcW w:w="1160" w:type="dxa"/>
            <w:vAlign w:val="bottom"/>
          </w:tcPr>
          <w:p>
            <w:pPr>
              <w:spacing w:after="0"/>
              <w:rPr>
                <w:sz w:val="14"/>
                <w:szCs w:val="14"/>
                <w:color w:val="auto"/>
              </w:rPr>
            </w:pPr>
          </w:p>
        </w:tc>
        <w:tc>
          <w:tcPr>
            <w:tcW w:w="4300" w:type="dxa"/>
            <w:vAlign w:val="bottom"/>
          </w:tcPr>
          <w:p>
            <w:pPr>
              <w:spacing w:after="0" w:line="169" w:lineRule="exact"/>
              <w:rPr>
                <w:sz w:val="20"/>
                <w:szCs w:val="20"/>
                <w:color w:val="auto"/>
              </w:rPr>
            </w:pPr>
            <w:r>
              <w:rPr>
                <w:rFonts w:ascii="Arial" w:cs="Arial" w:eastAsia="Arial" w:hAnsi="Arial"/>
                <w:sz w:val="15"/>
                <w:szCs w:val="15"/>
                <w:color w:val="auto"/>
              </w:rPr>
              <w:t>Cost of products sold (exclusive of depreciation</w:t>
            </w: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1160" w:type="dxa"/>
            <w:vAlign w:val="bottom"/>
          </w:tcPr>
          <w:p>
            <w:pPr>
              <w:spacing w:after="0"/>
              <w:rPr>
                <w:sz w:val="16"/>
                <w:szCs w:val="16"/>
                <w:color w:val="auto"/>
              </w:rPr>
            </w:pPr>
          </w:p>
        </w:tc>
        <w:tc>
          <w:tcPr>
            <w:tcW w:w="4300" w:type="dxa"/>
            <w:vAlign w:val="bottom"/>
          </w:tcPr>
          <w:p>
            <w:pPr>
              <w:ind w:left="80"/>
              <w:spacing w:after="0"/>
              <w:rPr>
                <w:sz w:val="20"/>
                <w:szCs w:val="20"/>
                <w:color w:val="auto"/>
              </w:rPr>
            </w:pPr>
            <w:r>
              <w:rPr>
                <w:rFonts w:ascii="Arial" w:cs="Arial" w:eastAsia="Arial" w:hAnsi="Arial"/>
                <w:sz w:val="15"/>
                <w:szCs w:val="15"/>
                <w:color w:val="auto"/>
              </w:rPr>
              <w:t>and amortization shown separately below)</w:t>
            </w:r>
          </w:p>
        </w:tc>
        <w:tc>
          <w:tcPr>
            <w:tcW w:w="2440" w:type="dxa"/>
            <w:vAlign w:val="bottom"/>
            <w:gridSpan w:val="2"/>
          </w:tcPr>
          <w:p>
            <w:pPr>
              <w:jc w:val="right"/>
              <w:ind w:right="165"/>
              <w:spacing w:after="0"/>
              <w:rPr>
                <w:sz w:val="20"/>
                <w:szCs w:val="20"/>
                <w:color w:val="auto"/>
              </w:rPr>
            </w:pPr>
            <w:r>
              <w:rPr>
                <w:rFonts w:ascii="Arial" w:cs="Arial" w:eastAsia="Arial" w:hAnsi="Arial"/>
                <w:sz w:val="15"/>
                <w:szCs w:val="15"/>
                <w:color w:val="auto"/>
              </w:rPr>
              <w:t>171,010</w:t>
            </w:r>
          </w:p>
        </w:tc>
        <w:tc>
          <w:tcPr>
            <w:tcW w:w="1320" w:type="dxa"/>
            <w:vAlign w:val="bottom"/>
          </w:tcPr>
          <w:p>
            <w:pPr>
              <w:jc w:val="right"/>
              <w:ind w:right="165"/>
              <w:spacing w:after="0"/>
              <w:rPr>
                <w:sz w:val="20"/>
                <w:szCs w:val="20"/>
                <w:color w:val="auto"/>
              </w:rPr>
            </w:pPr>
            <w:r>
              <w:rPr>
                <w:rFonts w:ascii="Arial" w:cs="Arial" w:eastAsia="Arial" w:hAnsi="Arial"/>
                <w:sz w:val="15"/>
                <w:szCs w:val="15"/>
                <w:color w:val="auto"/>
              </w:rPr>
              <w:t>130,904</w:t>
            </w:r>
          </w:p>
        </w:tc>
        <w:tc>
          <w:tcPr>
            <w:tcW w:w="1100" w:type="dxa"/>
            <w:vAlign w:val="bottom"/>
          </w:tcPr>
          <w:p>
            <w:pPr>
              <w:jc w:val="right"/>
              <w:spacing w:after="0"/>
              <w:rPr>
                <w:sz w:val="20"/>
                <w:szCs w:val="20"/>
                <w:color w:val="auto"/>
              </w:rPr>
            </w:pPr>
            <w:r>
              <w:rPr>
                <w:rFonts w:ascii="Arial" w:cs="Arial" w:eastAsia="Arial" w:hAnsi="Arial"/>
                <w:sz w:val="15"/>
                <w:szCs w:val="15"/>
                <w:color w:val="auto"/>
              </w:rPr>
              <w:t>40,106</w:t>
            </w:r>
          </w:p>
        </w:tc>
        <w:tc>
          <w:tcPr>
            <w:tcW w:w="1140" w:type="dxa"/>
            <w:vAlign w:val="bottom"/>
          </w:tcPr>
          <w:p>
            <w:pPr>
              <w:spacing w:after="0"/>
              <w:rPr>
                <w:sz w:val="16"/>
                <w:szCs w:val="16"/>
                <w:color w:val="auto"/>
              </w:rPr>
            </w:pPr>
          </w:p>
        </w:tc>
      </w:tr>
      <w:tr>
        <w:trPr>
          <w:trHeight w:val="180"/>
        </w:trPr>
        <w:tc>
          <w:tcPr>
            <w:tcW w:w="116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2440" w:type="dxa"/>
            <w:vAlign w:val="bottom"/>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18,983</w:t>
            </w:r>
          </w:p>
        </w:tc>
        <w:tc>
          <w:tcPr>
            <w:tcW w:w="1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14,744</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4,239</w:t>
            </w:r>
          </w:p>
        </w:tc>
        <w:tc>
          <w:tcPr>
            <w:tcW w:w="114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2440" w:type="dxa"/>
            <w:vAlign w:val="bottom"/>
            <w:gridSpan w:val="2"/>
          </w:tcPr>
          <w:p>
            <w:pPr>
              <w:jc w:val="right"/>
              <w:ind w:right="165"/>
              <w:spacing w:after="0"/>
              <w:rPr>
                <w:sz w:val="20"/>
                <w:szCs w:val="20"/>
                <w:color w:val="auto"/>
              </w:rPr>
            </w:pPr>
            <w:r>
              <w:rPr>
                <w:rFonts w:ascii="Arial" w:cs="Arial" w:eastAsia="Arial" w:hAnsi="Arial"/>
                <w:sz w:val="15"/>
                <w:szCs w:val="15"/>
                <w:color w:val="auto"/>
              </w:rPr>
              <w:t>11,180</w:t>
            </w:r>
          </w:p>
        </w:tc>
        <w:tc>
          <w:tcPr>
            <w:tcW w:w="1320" w:type="dxa"/>
            <w:vAlign w:val="bottom"/>
          </w:tcPr>
          <w:p>
            <w:pPr>
              <w:jc w:val="right"/>
              <w:ind w:right="165"/>
              <w:spacing w:after="0"/>
              <w:rPr>
                <w:sz w:val="20"/>
                <w:szCs w:val="20"/>
                <w:color w:val="auto"/>
              </w:rPr>
            </w:pPr>
            <w:r>
              <w:rPr>
                <w:rFonts w:ascii="Arial" w:cs="Arial" w:eastAsia="Arial" w:hAnsi="Arial"/>
                <w:sz w:val="15"/>
                <w:szCs w:val="15"/>
                <w:color w:val="auto"/>
              </w:rPr>
              <w:t>8,587</w:t>
            </w:r>
          </w:p>
        </w:tc>
        <w:tc>
          <w:tcPr>
            <w:tcW w:w="1100" w:type="dxa"/>
            <w:vAlign w:val="bottom"/>
          </w:tcPr>
          <w:p>
            <w:pPr>
              <w:jc w:val="right"/>
              <w:spacing w:after="0"/>
              <w:rPr>
                <w:sz w:val="20"/>
                <w:szCs w:val="20"/>
                <w:color w:val="auto"/>
              </w:rPr>
            </w:pPr>
            <w:r>
              <w:rPr>
                <w:rFonts w:ascii="Arial" w:cs="Arial" w:eastAsia="Arial" w:hAnsi="Arial"/>
                <w:sz w:val="15"/>
                <w:szCs w:val="15"/>
                <w:color w:val="auto"/>
              </w:rPr>
              <w:t>2,593</w:t>
            </w:r>
          </w:p>
        </w:tc>
        <w:tc>
          <w:tcPr>
            <w:tcW w:w="114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asset impairment charges</w:t>
            </w:r>
          </w:p>
        </w:tc>
        <w:tc>
          <w:tcPr>
            <w:tcW w:w="2440" w:type="dxa"/>
            <w:vAlign w:val="bottom"/>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15,269</w:t>
            </w:r>
          </w:p>
        </w:tc>
        <w:tc>
          <w:tcPr>
            <w:tcW w:w="1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15,269</w:t>
            </w:r>
          </w:p>
        </w:tc>
        <w:tc>
          <w:tcPr>
            <w:tcW w:w="114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Arial" w:cs="Arial" w:eastAsia="Arial" w:hAnsi="Arial"/>
                <w:sz w:val="15"/>
                <w:szCs w:val="15"/>
                <w:color w:val="auto"/>
              </w:rPr>
              <w:t>Interest expense, net</w:t>
            </w:r>
          </w:p>
        </w:tc>
        <w:tc>
          <w:tcPr>
            <w:tcW w:w="2440" w:type="dxa"/>
            <w:vAlign w:val="bottom"/>
            <w:gridSpan w:val="2"/>
          </w:tcPr>
          <w:p>
            <w:pPr>
              <w:jc w:val="right"/>
              <w:ind w:right="165"/>
              <w:spacing w:after="0"/>
              <w:rPr>
                <w:sz w:val="20"/>
                <w:szCs w:val="20"/>
                <w:color w:val="auto"/>
              </w:rPr>
            </w:pPr>
            <w:r>
              <w:rPr>
                <w:rFonts w:ascii="Arial" w:cs="Arial" w:eastAsia="Arial" w:hAnsi="Arial"/>
                <w:sz w:val="15"/>
                <w:szCs w:val="15"/>
                <w:color w:val="auto"/>
              </w:rPr>
              <w:t>3,325</w:t>
            </w:r>
          </w:p>
        </w:tc>
        <w:tc>
          <w:tcPr>
            <w:tcW w:w="1320" w:type="dxa"/>
            <w:vAlign w:val="bottom"/>
          </w:tcPr>
          <w:p>
            <w:pPr>
              <w:jc w:val="right"/>
              <w:ind w:right="165"/>
              <w:spacing w:after="0"/>
              <w:rPr>
                <w:sz w:val="20"/>
                <w:szCs w:val="20"/>
                <w:color w:val="auto"/>
              </w:rPr>
            </w:pPr>
            <w:r>
              <w:rPr>
                <w:rFonts w:ascii="Arial" w:cs="Arial" w:eastAsia="Arial" w:hAnsi="Arial"/>
                <w:sz w:val="15"/>
                <w:szCs w:val="15"/>
                <w:color w:val="auto"/>
              </w:rPr>
              <w:t>2,007</w:t>
            </w:r>
          </w:p>
        </w:tc>
        <w:tc>
          <w:tcPr>
            <w:tcW w:w="1100" w:type="dxa"/>
            <w:vAlign w:val="bottom"/>
          </w:tcPr>
          <w:p>
            <w:pPr>
              <w:jc w:val="right"/>
              <w:spacing w:after="0"/>
              <w:rPr>
                <w:sz w:val="20"/>
                <w:szCs w:val="20"/>
                <w:color w:val="auto"/>
              </w:rPr>
            </w:pPr>
            <w:r>
              <w:rPr>
                <w:rFonts w:ascii="Arial" w:cs="Arial" w:eastAsia="Arial" w:hAnsi="Arial"/>
                <w:sz w:val="15"/>
                <w:szCs w:val="15"/>
                <w:color w:val="auto"/>
              </w:rPr>
              <w:t>1,318</w:t>
            </w:r>
          </w:p>
        </w:tc>
        <w:tc>
          <w:tcPr>
            <w:tcW w:w="114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Gain on disposal of assets</w:t>
            </w:r>
          </w:p>
        </w:tc>
        <w:tc>
          <w:tcPr>
            <w:tcW w:w="2440" w:type="dxa"/>
            <w:vAlign w:val="bottom"/>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(11)</w:t>
            </w:r>
          </w:p>
        </w:tc>
        <w:tc>
          <w:tcPr>
            <w:tcW w:w="1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(726)</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w:t>
            </w:r>
          </w:p>
        </w:tc>
        <w:tc>
          <w:tcPr>
            <w:tcW w:w="1140" w:type="dxa"/>
            <w:vAlign w:val="bottom"/>
          </w:tcPr>
          <w:p>
            <w:pPr>
              <w:spacing w:after="0"/>
              <w:rPr>
                <w:sz w:val="15"/>
                <w:szCs w:val="15"/>
                <w:color w:val="auto"/>
              </w:rPr>
            </w:pPr>
          </w:p>
        </w:tc>
      </w:tr>
      <w:tr>
        <w:trPr>
          <w:trHeight w:val="181"/>
        </w:trPr>
        <w:tc>
          <w:tcPr>
            <w:tcW w:w="5460" w:type="dxa"/>
            <w:vAlign w:val="bottom"/>
            <w:gridSpan w:val="2"/>
          </w:tcPr>
          <w:p>
            <w:pPr>
              <w:ind w:left="1160"/>
              <w:spacing w:after="0"/>
              <w:rPr>
                <w:sz w:val="20"/>
                <w:szCs w:val="20"/>
                <w:color w:val="auto"/>
              </w:rPr>
            </w:pPr>
            <w:r>
              <w:rPr>
                <w:rFonts w:ascii="Arial" w:cs="Arial" w:eastAsia="Arial" w:hAnsi="Arial"/>
                <w:sz w:val="15"/>
                <w:szCs w:val="15"/>
                <w:color w:val="auto"/>
              </w:rPr>
              <w:t>Other expense, net</w:t>
            </w:r>
          </w:p>
        </w:tc>
        <w:tc>
          <w:tcPr>
            <w:tcW w:w="880" w:type="dxa"/>
            <w:vAlign w:val="bottom"/>
          </w:tcPr>
          <w:p>
            <w:pPr>
              <w:spacing w:after="0"/>
              <w:rPr>
                <w:sz w:val="15"/>
                <w:szCs w:val="15"/>
                <w:color w:val="auto"/>
              </w:rPr>
            </w:pPr>
          </w:p>
        </w:tc>
        <w:tc>
          <w:tcPr>
            <w:tcW w:w="156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3</w:t>
            </w:r>
          </w:p>
        </w:tc>
        <w:tc>
          <w:tcPr>
            <w:tcW w:w="1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240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w:t>
            </w:r>
          </w:p>
        </w:tc>
        <w:tc>
          <w:tcPr>
            <w:tcW w:w="114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for income taxes</w:t>
            </w:r>
          </w:p>
        </w:tc>
        <w:tc>
          <w:tcPr>
            <w:tcW w:w="2440" w:type="dxa"/>
            <w:vAlign w:val="bottom"/>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(4,513)</w:t>
            </w:r>
          </w:p>
        </w:tc>
        <w:tc>
          <w:tcPr>
            <w:tcW w:w="1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13,815</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(18,328)</w:t>
            </w:r>
          </w:p>
        </w:tc>
        <w:tc>
          <w:tcPr>
            <w:tcW w:w="1140" w:type="dxa"/>
            <w:vAlign w:val="bottom"/>
          </w:tcPr>
          <w:p>
            <w:pPr>
              <w:spacing w:after="0"/>
              <w:rPr>
                <w:sz w:val="15"/>
                <w:szCs w:val="15"/>
                <w:color w:val="auto"/>
              </w:rPr>
            </w:pPr>
          </w:p>
        </w:tc>
      </w:tr>
      <w:tr>
        <w:trPr>
          <w:trHeight w:val="181"/>
        </w:trPr>
        <w:tc>
          <w:tcPr>
            <w:tcW w:w="5460" w:type="dxa"/>
            <w:vAlign w:val="bottom"/>
            <w:gridSpan w:val="2"/>
          </w:tcPr>
          <w:p>
            <w:pPr>
              <w:ind w:left="1160"/>
              <w:spacing w:after="0"/>
              <w:rPr>
                <w:sz w:val="20"/>
                <w:szCs w:val="20"/>
                <w:color w:val="auto"/>
              </w:rPr>
            </w:pPr>
            <w:r>
              <w:rPr>
                <w:rFonts w:ascii="Arial" w:cs="Arial" w:eastAsia="Arial" w:hAnsi="Arial"/>
                <w:sz w:val="15"/>
                <w:szCs w:val="15"/>
                <w:color w:val="auto"/>
              </w:rPr>
              <w:t>Provision for income taxes</w:t>
            </w:r>
          </w:p>
        </w:tc>
        <w:tc>
          <w:tcPr>
            <w:tcW w:w="880" w:type="dxa"/>
            <w:vAlign w:val="bottom"/>
          </w:tcPr>
          <w:p>
            <w:pPr>
              <w:spacing w:after="0"/>
              <w:rPr>
                <w:sz w:val="15"/>
                <w:szCs w:val="15"/>
                <w:color w:val="auto"/>
              </w:rPr>
            </w:pPr>
          </w:p>
        </w:tc>
        <w:tc>
          <w:tcPr>
            <w:tcW w:w="156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3,550</w:t>
            </w:r>
          </w:p>
        </w:tc>
        <w:tc>
          <w:tcPr>
            <w:tcW w:w="1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5,100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(1,550)</w:t>
            </w:r>
          </w:p>
        </w:tc>
        <w:tc>
          <w:tcPr>
            <w:tcW w:w="1140" w:type="dxa"/>
            <w:vAlign w:val="bottom"/>
          </w:tcPr>
          <w:p>
            <w:pPr>
              <w:spacing w:after="0"/>
              <w:rPr>
                <w:sz w:val="15"/>
                <w:szCs w:val="15"/>
                <w:color w:val="auto"/>
              </w:rPr>
            </w:pPr>
          </w:p>
        </w:tc>
      </w:tr>
      <w:tr>
        <w:trPr>
          <w:trHeight w:val="219"/>
        </w:trPr>
        <w:tc>
          <w:tcPr>
            <w:tcW w:w="1160" w:type="dxa"/>
            <w:vAlign w:val="bottom"/>
          </w:tcPr>
          <w:p>
            <w:pPr>
              <w:spacing w:after="0"/>
              <w:rPr>
                <w:sz w:val="19"/>
                <w:szCs w:val="19"/>
                <w:color w:val="auto"/>
              </w:rPr>
            </w:pPr>
          </w:p>
        </w:tc>
        <w:tc>
          <w:tcPr>
            <w:tcW w:w="430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Net income (loss)</w:t>
            </w:r>
          </w:p>
        </w:tc>
        <w:tc>
          <w:tcPr>
            <w:tcW w:w="2440" w:type="dxa"/>
            <w:vAlign w:val="bottom"/>
            <w:gridSpan w:val="2"/>
            <w:shd w:val="clear" w:color="auto" w:fill="CCEEFF"/>
          </w:tcPr>
          <w:p>
            <w:pPr>
              <w:jc w:val="right"/>
              <w:ind w:right="165"/>
              <w:spacing w:after="0" w:line="159" w:lineRule="exact"/>
              <w:rPr>
                <w:sz w:val="20"/>
                <w:szCs w:val="20"/>
                <w:color w:val="auto"/>
              </w:rPr>
            </w:pPr>
            <w:r>
              <w:rPr>
                <w:rFonts w:ascii="Arial" w:cs="Arial" w:eastAsia="Arial" w:hAnsi="Arial"/>
                <w:sz w:val="15"/>
                <w:szCs w:val="15"/>
                <w:color w:val="auto"/>
              </w:rPr>
              <w:t>$ (8,063)</w:t>
            </w:r>
          </w:p>
        </w:tc>
        <w:tc>
          <w:tcPr>
            <w:tcW w:w="1320" w:type="dxa"/>
            <w:vAlign w:val="bottom"/>
            <w:shd w:val="clear" w:color="auto" w:fill="CCEEFF"/>
          </w:tcPr>
          <w:p>
            <w:pPr>
              <w:jc w:val="right"/>
              <w:ind w:right="165"/>
              <w:spacing w:after="0" w:line="159" w:lineRule="exact"/>
              <w:rPr>
                <w:sz w:val="20"/>
                <w:szCs w:val="20"/>
                <w:color w:val="auto"/>
              </w:rPr>
            </w:pPr>
            <w:r>
              <w:rPr>
                <w:rFonts w:ascii="Arial" w:cs="Arial" w:eastAsia="Arial" w:hAnsi="Arial"/>
                <w:sz w:val="15"/>
                <w:szCs w:val="15"/>
                <w:color w:val="auto"/>
              </w:rPr>
              <w:t>$ 8,715</w:t>
            </w: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 (16,778)</w:t>
            </w:r>
          </w:p>
        </w:tc>
        <w:tc>
          <w:tcPr>
            <w:tcW w:w="1140" w:type="dxa"/>
            <w:vAlign w:val="bottom"/>
          </w:tcPr>
          <w:p>
            <w:pPr>
              <w:spacing w:after="0"/>
              <w:rPr>
                <w:sz w:val="19"/>
                <w:szCs w:val="19"/>
                <w:color w:val="auto"/>
              </w:rPr>
            </w:pPr>
          </w:p>
        </w:tc>
      </w:tr>
      <w:tr>
        <w:trPr>
          <w:trHeight w:val="522"/>
        </w:trPr>
        <w:tc>
          <w:tcPr>
            <w:tcW w:w="1160" w:type="dxa"/>
            <w:vAlign w:val="bottom"/>
          </w:tcPr>
          <w:p>
            <w:pPr>
              <w:spacing w:after="0"/>
              <w:rPr>
                <w:sz w:val="24"/>
                <w:szCs w:val="24"/>
                <w:color w:val="auto"/>
              </w:rPr>
            </w:pPr>
          </w:p>
        </w:tc>
        <w:tc>
          <w:tcPr>
            <w:tcW w:w="43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jc w:val="right"/>
              <w:ind w:right="467"/>
              <w:spacing w:after="0"/>
              <w:rPr>
                <w:sz w:val="20"/>
                <w:szCs w:val="20"/>
                <w:color w:val="auto"/>
              </w:rPr>
            </w:pPr>
            <w:r>
              <w:rPr>
                <w:rFonts w:ascii="Arial" w:cs="Arial" w:eastAsia="Arial" w:hAnsi="Arial"/>
                <w:sz w:val="12"/>
                <w:szCs w:val="12"/>
                <w:color w:val="auto"/>
              </w:rPr>
              <w:t>16</w:t>
            </w: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85"/>
        </w:trPr>
        <w:tc>
          <w:tcPr>
            <w:tcW w:w="1160" w:type="dxa"/>
            <w:vAlign w:val="bottom"/>
            <w:tcBorders>
              <w:bottom w:val="single" w:sz="8" w:color="808080"/>
            </w:tcBorders>
          </w:tcPr>
          <w:p>
            <w:pPr>
              <w:spacing w:after="0"/>
              <w:rPr>
                <w:sz w:val="7"/>
                <w:szCs w:val="7"/>
                <w:color w:val="auto"/>
              </w:rPr>
            </w:pPr>
          </w:p>
        </w:tc>
        <w:tc>
          <w:tcPr>
            <w:tcW w:w="43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56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4" w:right="219" w:bottom="1440" w:gutter="0" w:footer="0" w:header="0"/>
        </w:sectPr>
      </w:pPr>
    </w:p>
    <w:bookmarkStart w:id="17" w:name="page18"/>
    <w:bookmarkEnd w:id="17"/>
    <w:p>
      <w:pPr>
        <w:ind w:right="80"/>
        <w:spacing w:after="0" w:line="256"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Sales have increased due to the addition of the Precision Metal Components Segment with the acquisition of Whirlaway ($35.1 million) and due to appreciation in value of Euro</w:t>
      </w:r>
      <w:r>
        <w:rPr>
          <w:rFonts w:ascii="Arial" w:cs="Arial" w:eastAsia="Arial" w:hAnsi="Arial"/>
          <w:sz w:val="15"/>
          <w:szCs w:val="15"/>
          <w:i w:val="1"/>
          <w:iCs w:val="1"/>
          <w:color w:val="auto"/>
        </w:rPr>
        <w:t xml:space="preserve"> </w:t>
      </w:r>
      <w:r>
        <w:rPr>
          <w:rFonts w:ascii="Arial" w:cs="Arial" w:eastAsia="Arial" w:hAnsi="Arial"/>
          <w:sz w:val="15"/>
          <w:szCs w:val="15"/>
          <w:color w:val="auto"/>
        </w:rPr>
        <w:t>denominated sales relative to the U.S. Dollar ($9.3 million). In addition, sales have increased due to passing through raw material inflation to customers ($2.6 million) and due to higher volume to existing customers at our European operations ($2.6 million). Partially offsetting these increases are reductions from price decreases given to several large customers in agreement with contractual terms ($2.2 million) and unfavorable product mix to existing customers ($1.7 million).</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i w:val="1"/>
          <w:iCs w:val="1"/>
          <w:color w:val="auto"/>
        </w:rPr>
        <w:t xml:space="preserve">Cost of Products Sold (exclusive of depreciation and amortization). </w:t>
      </w:r>
      <w:r>
        <w:rPr>
          <w:rFonts w:ascii="Arial" w:cs="Arial" w:eastAsia="Arial" w:hAnsi="Arial"/>
          <w:sz w:val="15"/>
          <w:szCs w:val="15"/>
          <w:color w:val="auto"/>
        </w:rPr>
        <w:t>Cost of products sold increased primarily due to the addition of the Precision Metal Components Segment in November</w:t>
      </w:r>
      <w:r>
        <w:rPr>
          <w:rFonts w:ascii="Arial" w:cs="Arial" w:eastAsia="Arial" w:hAnsi="Arial"/>
          <w:sz w:val="15"/>
          <w:szCs w:val="15"/>
          <w:i w:val="1"/>
          <w:iCs w:val="1"/>
          <w:color w:val="auto"/>
        </w:rPr>
        <w:t xml:space="preserve"> </w:t>
      </w:r>
      <w:r>
        <w:rPr>
          <w:rFonts w:ascii="Arial" w:cs="Arial" w:eastAsia="Arial" w:hAnsi="Arial"/>
          <w:sz w:val="15"/>
          <w:szCs w:val="15"/>
          <w:color w:val="auto"/>
        </w:rPr>
        <w:t>2006 ($30.1 million) and due to the increase in value of Euro denominated costs relative to the U.S. Dollar ($7.3 million). In addition, raw material, labor and utility inflation increased ($4.8 million) and costs increased related to higher sales volume at our European operations ($2.0 million). Offsetting these increases were favorable mix impacts to cost of products sold ($1.3 million) and the impact of projects focused on reducing cost of manufacturing ($2.8 million).</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i w:val="1"/>
          <w:iCs w:val="1"/>
          <w:color w:val="auto"/>
        </w:rPr>
        <w:t xml:space="preserve">Selling, General and Administrative Expenses. </w:t>
      </w:r>
      <w:r>
        <w:rPr>
          <w:rFonts w:ascii="Arial" w:cs="Arial" w:eastAsia="Arial" w:hAnsi="Arial"/>
          <w:sz w:val="14"/>
          <w:szCs w:val="14"/>
          <w:color w:val="auto"/>
        </w:rPr>
        <w:t>The increase was primarily due to the addition of the Precision Metal Components Segment in November 2006 ($2.3 million). In addition,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total increased due to the appreciation in the value of the Euro relative to the U.S. Dollar ($0.6 million). Finally, the total was higher due to recognizing stock option expense ($0.3 million), from higher spending on consulting and professional fees ($0.3 million), higher travel and salary cost ($0.3 million) and additional bad debt expense ($0.2 million).</w:t>
      </w:r>
    </w:p>
    <w:p>
      <w:pPr>
        <w:spacing w:after="0" w:line="160"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These costs were higher due to the acquisition of the Precision Metal Components Segment ($2.1 million) and due to the increase in the value of the Euro</w:t>
      </w:r>
      <w:r>
        <w:rPr>
          <w:rFonts w:ascii="Arial" w:cs="Arial" w:eastAsia="Arial" w:hAnsi="Arial"/>
          <w:sz w:val="15"/>
          <w:szCs w:val="15"/>
          <w:i w:val="1"/>
          <w:iCs w:val="1"/>
          <w:color w:val="auto"/>
        </w:rPr>
        <w:t xml:space="preserve"> </w:t>
      </w:r>
      <w:r>
        <w:rPr>
          <w:rFonts w:ascii="Arial" w:cs="Arial" w:eastAsia="Arial" w:hAnsi="Arial"/>
          <w:sz w:val="15"/>
          <w:szCs w:val="15"/>
          <w:color w:val="auto"/>
        </w:rPr>
        <w:t>based depreciation and amortization relative to the U.S. Dollar ($0.5 million).</w:t>
      </w:r>
    </w:p>
    <w:p>
      <w:pPr>
        <w:spacing w:after="0" w:line="170"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is higher due to the additional debt assumed to acquire the Precision Metal Components Segment in November 2006 ($1.2 million) and from interest on a</w:t>
      </w:r>
      <w:r>
        <w:rPr>
          <w:rFonts w:ascii="Arial" w:cs="Arial" w:eastAsia="Arial" w:hAnsi="Arial"/>
          <w:sz w:val="15"/>
          <w:szCs w:val="15"/>
          <w:i w:val="1"/>
          <w:iCs w:val="1"/>
          <w:color w:val="auto"/>
        </w:rPr>
        <w:t xml:space="preserve"> </w:t>
      </w:r>
      <w:r>
        <w:rPr>
          <w:rFonts w:ascii="Arial" w:cs="Arial" w:eastAsia="Arial" w:hAnsi="Arial"/>
          <w:sz w:val="15"/>
          <w:szCs w:val="15"/>
          <w:color w:val="auto"/>
        </w:rPr>
        <w:t>note assumed with that acquisition ($0.1 million).</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5"/>
          <w:szCs w:val="15"/>
          <w:i w:val="1"/>
          <w:iCs w:val="1"/>
          <w:color w:val="auto"/>
        </w:rPr>
        <w:t xml:space="preserve">Gain on disposal of assets. </w:t>
      </w:r>
      <w:r>
        <w:rPr>
          <w:rFonts w:ascii="Arial" w:cs="Arial" w:eastAsia="Arial" w:hAnsi="Arial"/>
          <w:sz w:val="15"/>
          <w:szCs w:val="15"/>
          <w:color w:val="auto"/>
        </w:rPr>
        <w:t>In 2006, we incurred a gain from the sale of excess land at our Pinerolo, Italy facility ($1.8 million) partially offset by a loss on disposal of excess equipment at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facility ($1.1 million).</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i w:val="1"/>
          <w:iCs w:val="1"/>
          <w:color w:val="auto"/>
        </w:rPr>
        <w:t xml:space="preserve">Restructuring and Asset Impairment Changes. </w:t>
      </w:r>
      <w:r>
        <w:rPr>
          <w:rFonts w:ascii="Arial" w:cs="Arial" w:eastAsia="Arial" w:hAnsi="Arial"/>
          <w:sz w:val="15"/>
          <w:szCs w:val="15"/>
          <w:color w:val="auto"/>
        </w:rPr>
        <w:t>The Company has begun to take steps to appropriately adjust our cost structure and align our excess plant capacity in our Metal Bearing</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Components Segment. This will include restructuring at our European operations of the Metal Bearing Components Segment as we adjust our global precision ball manufacturing capacity to better take advantage of favorable cost structures at our Slovakian and Chinese Metal Bearing Components manufacturing facilities. As a result of this restructuring certain goodwill, intangible assets, and fixed assets in our European operations are now considered impaired. During the second quarter, we recorded approximately $15.3 million ($14.1 million after-tax) of non-cash impairment costs. These costs include the write-down of certain excess production equipment and the impairment of goodwill and other intangible assets to levels supported by projected cash flows after the restructuring.</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i w:val="1"/>
          <w:iCs w:val="1"/>
          <w:color w:val="auto"/>
        </w:rPr>
        <w:t xml:space="preserve">Provision for income taxes. </w:t>
      </w:r>
      <w:r>
        <w:rPr>
          <w:rFonts w:ascii="Arial" w:cs="Arial" w:eastAsia="Arial" w:hAnsi="Arial"/>
          <w:sz w:val="14"/>
          <w:szCs w:val="14"/>
          <w:color w:val="auto"/>
        </w:rPr>
        <w:t>The 2007 effective tax rate of negative 78.66% was primarily due to the large impairment charges for the European restructuring with only an 8% effective tax</w:t>
      </w:r>
      <w:r>
        <w:rPr>
          <w:rFonts w:ascii="Arial" w:cs="Arial" w:eastAsia="Arial" w:hAnsi="Arial"/>
          <w:sz w:val="14"/>
          <w:szCs w:val="14"/>
          <w:i w:val="1"/>
          <w:iCs w:val="1"/>
          <w:color w:val="auto"/>
        </w:rPr>
        <w:t xml:space="preserve"> </w:t>
      </w:r>
      <w:r>
        <w:rPr>
          <w:rFonts w:ascii="Arial" w:cs="Arial" w:eastAsia="Arial" w:hAnsi="Arial"/>
          <w:sz w:val="14"/>
          <w:szCs w:val="14"/>
          <w:color w:val="auto"/>
        </w:rPr>
        <w:t>rate. Factoring out the impairment impacts, the effective tax rate would have been 44%. A valuation reserve ($0.8 million) was placed on a loss carry forward deferred tax asset at a location still incurring losses which increased the 2007 rate 7%. Factoring about the valuation reserve the rate would have been lower than normal by 3% due to a tax reserve being removed related to a tax claim that was favorably settled. A tax reserve was removed related to a tax claim that was favorably settled reducing the 2007 rate 3%. The 2006 effective rate is lower than the historical effective rate due to the favorable 19% tax rate on the gain from sale of land at our Pinerolo, Italy facility.</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20"/>
          </w:cols>
          <w:pgMar w:left="220" w:top="129"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3"/>
        </w:trPr>
        <w:tc>
          <w:tcPr>
            <w:tcW w:w="6520" w:type="dxa"/>
            <w:vAlign w:val="bottom"/>
            <w:gridSpan w:val="4"/>
          </w:tcPr>
          <w:p>
            <w:pPr>
              <w:spacing w:after="0"/>
              <w:rPr>
                <w:sz w:val="20"/>
                <w:szCs w:val="20"/>
                <w:color w:val="auto"/>
              </w:rPr>
            </w:pPr>
            <w:r>
              <w:rPr>
                <w:rFonts w:ascii="Arial" w:cs="Arial" w:eastAsia="Arial" w:hAnsi="Arial"/>
                <w:sz w:val="15"/>
                <w:szCs w:val="15"/>
                <w:b w:val="1"/>
                <w:bCs w:val="1"/>
                <w:color w:val="auto"/>
              </w:rPr>
              <w:t>RESULTS BY SEGMENT</w:t>
            </w:r>
          </w:p>
        </w:tc>
        <w:tc>
          <w:tcPr>
            <w:tcW w:w="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6520" w:type="dxa"/>
            <w:vAlign w:val="bottom"/>
            <w:gridSpan w:val="4"/>
          </w:tcPr>
          <w:p>
            <w:pPr>
              <w:spacing w:after="0"/>
              <w:rPr>
                <w:sz w:val="20"/>
                <w:szCs w:val="20"/>
                <w:color w:val="auto"/>
              </w:rPr>
            </w:pPr>
            <w:r>
              <w:rPr>
                <w:rFonts w:ascii="Arial" w:cs="Arial" w:eastAsia="Arial" w:hAnsi="Arial"/>
                <w:sz w:val="15"/>
                <w:szCs w:val="15"/>
                <w:b w:val="1"/>
                <w:bCs w:val="1"/>
                <w:color w:val="auto"/>
              </w:rPr>
              <w:t>METAL BEARING COMPONENTS SEGMENT</w:t>
            </w: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160" w:type="dxa"/>
            <w:vAlign w:val="bottom"/>
            <w:tcBorders>
              <w:top w:val="single" w:sz="8" w:color="auto"/>
            </w:tcBorders>
            <w:gridSpan w:val="2"/>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3360" w:type="dxa"/>
            <w:vAlign w:val="bottom"/>
            <w:gridSpan w:val="2"/>
          </w:tcPr>
          <w:p>
            <w:pPr>
              <w:spacing w:after="0"/>
              <w:rPr>
                <w:sz w:val="24"/>
                <w:szCs w:val="24"/>
                <w:color w:val="auto"/>
              </w:rPr>
            </w:pPr>
          </w:p>
        </w:tc>
        <w:tc>
          <w:tcPr>
            <w:tcW w:w="2600" w:type="dxa"/>
            <w:vAlign w:val="bottom"/>
            <w:gridSpan w:val="2"/>
          </w:tcPr>
          <w:p>
            <w:pPr>
              <w:jc w:val="right"/>
              <w:ind w:right="245"/>
              <w:spacing w:after="0"/>
              <w:rPr>
                <w:sz w:val="20"/>
                <w:szCs w:val="20"/>
                <w:color w:val="auto"/>
              </w:rPr>
            </w:pPr>
            <w:r>
              <w:rPr>
                <w:rFonts w:ascii="Arial" w:cs="Arial" w:eastAsia="Arial" w:hAnsi="Arial"/>
                <w:sz w:val="15"/>
                <w:szCs w:val="15"/>
                <w:b w:val="1"/>
                <w:bCs w:val="1"/>
                <w:color w:val="auto"/>
              </w:rPr>
              <w:t>Six Months Ended June 30,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4400" w:type="dxa"/>
            <w:vAlign w:val="bottom"/>
            <w:tcBorders>
              <w:top w:val="single" w:sz="8" w:color="auto"/>
            </w:tcBorders>
            <w:gridSpan w:val="2"/>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98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b w:val="1"/>
                <w:bCs w:val="1"/>
                <w:color w:val="auto"/>
              </w:rPr>
              <w:t>2006</w:t>
            </w:r>
          </w:p>
        </w:tc>
        <w:tc>
          <w:tcPr>
            <w:tcW w:w="120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sales</w:t>
            </w:r>
          </w:p>
        </w:tc>
        <w:tc>
          <w:tcPr>
            <w:tcW w:w="98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89"/>
              </w:rPr>
              <w:t>$ 153,559</w:t>
            </w:r>
          </w:p>
        </w:tc>
        <w:tc>
          <w:tcPr>
            <w:tcW w:w="16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$ 141,305</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12,254</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0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536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Segment profit, excluding restructuring and asset impairment</w:t>
            </w:r>
          </w:p>
        </w:tc>
        <w:tc>
          <w:tcPr>
            <w:tcW w:w="9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changes</w:t>
            </w:r>
          </w:p>
        </w:tc>
        <w:tc>
          <w:tcPr>
            <w:tcW w:w="98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9,708</w:t>
            </w:r>
          </w:p>
        </w:tc>
        <w:tc>
          <w:tcPr>
            <w:tcW w:w="16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9,939</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Arial" w:cs="Arial" w:eastAsia="Arial" w:hAnsi="Arial"/>
                <w:sz w:val="15"/>
                <w:szCs w:val="15"/>
                <w:color w:val="auto"/>
              </w:rPr>
              <w:t>Restructuring and impairment charges</w:t>
            </w:r>
          </w:p>
        </w:tc>
        <w:tc>
          <w:tcPr>
            <w:tcW w:w="980" w:type="dxa"/>
            <w:vAlign w:val="bottom"/>
          </w:tcPr>
          <w:p>
            <w:pPr>
              <w:jc w:val="right"/>
              <w:ind w:right="285"/>
              <w:spacing w:after="0"/>
              <w:rPr>
                <w:sz w:val="20"/>
                <w:szCs w:val="20"/>
                <w:color w:val="auto"/>
              </w:rPr>
            </w:pPr>
            <w:r>
              <w:rPr>
                <w:rFonts w:ascii="Arial" w:cs="Arial" w:eastAsia="Arial" w:hAnsi="Arial"/>
                <w:sz w:val="15"/>
                <w:szCs w:val="15"/>
                <w:color w:val="auto"/>
              </w:rPr>
              <w:t>(15,269)</w:t>
            </w:r>
          </w:p>
        </w:tc>
        <w:tc>
          <w:tcPr>
            <w:tcW w:w="16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(15,269)</w:t>
            </w:r>
          </w:p>
        </w:tc>
        <w:tc>
          <w:tcPr>
            <w:tcW w:w="0" w:type="dxa"/>
            <w:vAlign w:val="bottom"/>
          </w:tcPr>
          <w:p>
            <w:pPr>
              <w:spacing w:after="0"/>
              <w:rPr>
                <w:sz w:val="1"/>
                <w:szCs w:val="1"/>
                <w:color w:val="auto"/>
              </w:rPr>
            </w:pPr>
          </w:p>
        </w:tc>
      </w:tr>
      <w:tr>
        <w:trPr>
          <w:trHeight w:val="192"/>
        </w:trPr>
        <w:tc>
          <w:tcPr>
            <w:tcW w:w="5560" w:type="dxa"/>
            <w:vAlign w:val="bottom"/>
            <w:gridSpan w:val="3"/>
          </w:tcPr>
          <w:p>
            <w:pPr>
              <w:ind w:left="1160"/>
              <w:spacing w:after="0"/>
              <w:rPr>
                <w:sz w:val="20"/>
                <w:szCs w:val="20"/>
                <w:color w:val="auto"/>
              </w:rPr>
            </w:pPr>
            <w:r>
              <w:rPr>
                <w:rFonts w:ascii="Arial" w:cs="Arial" w:eastAsia="Arial" w:hAnsi="Arial"/>
                <w:sz w:val="15"/>
                <w:szCs w:val="15"/>
                <w:color w:val="auto"/>
              </w:rPr>
              <w:t>Deferred income tax impacts</w:t>
            </w:r>
          </w:p>
        </w:tc>
        <w:tc>
          <w:tcPr>
            <w:tcW w:w="9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rPr>
              <w:t>396</w:t>
            </w:r>
          </w:p>
        </w:tc>
        <w:tc>
          <w:tcPr>
            <w:tcW w:w="16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w:t>
            </w: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4400" w:type="dxa"/>
            <w:vAlign w:val="bottom"/>
            <w:tcBorders>
              <w:bottom w:val="single" w:sz="8" w:color="CCEEFF"/>
            </w:tcBorders>
            <w:gridSpan w:val="2"/>
            <w:shd w:val="clear" w:color="auto" w:fill="CCEEFF"/>
          </w:tcPr>
          <w:p>
            <w:pPr>
              <w:spacing w:after="0" w:line="159" w:lineRule="exact"/>
              <w:rPr>
                <w:sz w:val="20"/>
                <w:szCs w:val="20"/>
                <w:color w:val="auto"/>
              </w:rPr>
            </w:pPr>
            <w:r>
              <w:rPr>
                <w:rFonts w:ascii="Arial" w:cs="Arial" w:eastAsia="Arial" w:hAnsi="Arial"/>
                <w:sz w:val="15"/>
                <w:szCs w:val="15"/>
                <w:color w:val="auto"/>
              </w:rPr>
              <w:t>Net income (loss)</w:t>
            </w:r>
          </w:p>
        </w:tc>
        <w:tc>
          <w:tcPr>
            <w:tcW w:w="9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85"/>
              <w:spacing w:after="0" w:line="159" w:lineRule="exact"/>
              <w:rPr>
                <w:sz w:val="20"/>
                <w:szCs w:val="20"/>
                <w:color w:val="auto"/>
              </w:rPr>
            </w:pPr>
            <w:r>
              <w:rPr>
                <w:rFonts w:ascii="Arial" w:cs="Arial" w:eastAsia="Arial" w:hAnsi="Arial"/>
                <w:sz w:val="15"/>
                <w:szCs w:val="15"/>
                <w:color w:val="auto"/>
                <w:w w:val="99"/>
              </w:rPr>
              <w:t>$ (5,165)</w:t>
            </w:r>
          </w:p>
        </w:tc>
        <w:tc>
          <w:tcPr>
            <w:tcW w:w="1620" w:type="dxa"/>
            <w:vAlign w:val="bottom"/>
            <w:tcBorders>
              <w:bottom w:val="single" w:sz="8" w:color="auto"/>
            </w:tcBorders>
            <w:shd w:val="clear" w:color="auto" w:fill="CCEEFF"/>
          </w:tcPr>
          <w:p>
            <w:pPr>
              <w:jc w:val="right"/>
              <w:ind w:right="145"/>
              <w:spacing w:after="0" w:line="159" w:lineRule="exact"/>
              <w:rPr>
                <w:sz w:val="20"/>
                <w:szCs w:val="20"/>
                <w:color w:val="auto"/>
              </w:rPr>
            </w:pPr>
            <w:r>
              <w:rPr>
                <w:rFonts w:ascii="Arial" w:cs="Arial" w:eastAsia="Arial" w:hAnsi="Arial"/>
                <w:sz w:val="15"/>
                <w:szCs w:val="15"/>
                <w:color w:val="auto"/>
              </w:rPr>
              <w:t>$   9,939</w:t>
            </w:r>
          </w:p>
        </w:tc>
        <w:tc>
          <w:tcPr>
            <w:tcW w:w="12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 (15,104)</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60"/>
        <w:spacing w:after="0" w:line="256" w:lineRule="auto"/>
        <w:rPr>
          <w:sz w:val="20"/>
          <w:szCs w:val="20"/>
          <w:color w:val="auto"/>
        </w:rPr>
      </w:pPr>
      <w:r>
        <w:rPr>
          <w:rFonts w:ascii="Arial" w:cs="Arial" w:eastAsia="Arial" w:hAnsi="Arial"/>
          <w:sz w:val="15"/>
          <w:szCs w:val="15"/>
          <w:color w:val="auto"/>
        </w:rPr>
        <w:t>The sales increase at the Metal Bearing Components Segment was primarily due to the positive impacts from the rise in value of Euro based sales relative to the U.S. Dollar ($9.3 million). Additionally, the Metal Bearing Components Segment experienced higher volume with existing European customers ($5.1 million) and increases related to passing through raw material inflation to customers ($1.8 million). These increases were partially offset by unfavorable product mix to existing customers ($1.7 million) and due to contractual price decreases to certain large customers ($2.2 million).</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3"/>
          <w:szCs w:val="13"/>
          <w:color w:val="auto"/>
        </w:rPr>
        <w:t>The $0.2 million difference in segment profit excluding restructuring and impairment charges, a non-GAAP accounting measure, was primarily related to price decreases given to certain customers under contractual terms in 2007 ($1.4 million, net of tax) and a gain on the sale of land at our Pinerolo, Italy facility in the first quarter of 2006 that did not repeat in 2007 ($0.8 million, net of tax). Raw material cost inflation was offset by price increases under contractual terms to certain customers, resulting in little impact on segment profit. Partially offsetting the negative impacts above were cost reduction projects that offset utility and labor inflation ($0.7 million, net of tax). Additionally, Euro denominated profits were favorably impacted by</w:t>
      </w:r>
    </w:p>
    <w:p>
      <w:pPr>
        <w:spacing w:after="0"/>
        <w:rPr>
          <w:sz w:val="20"/>
          <w:szCs w:val="20"/>
          <w:color w:val="auto"/>
        </w:rPr>
      </w:pPr>
      <w:r>
        <w:rPr>
          <w:rFonts w:ascii="Arial" w:cs="Arial" w:eastAsia="Arial" w:hAnsi="Arial"/>
          <w:sz w:val="13"/>
          <w:szCs w:val="13"/>
          <w:color w:val="auto"/>
        </w:rPr>
        <w:t>the appreciation in the value of the Euro against the U.S. Dollar ($0.6 million, net of tax). The effect from higher sales volumes in Europe favorably impacted 2007 ($0.4 million, net of tax).</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Finally, the removal of a tax reserve related to a tax claim that was favorably settled, had a positive impact on 2007 ($0.3 million).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9"/>
              </w:rPr>
              <w:t>PRECISION METAL COMPONENTS SEGMENT</w:t>
            </w:r>
          </w:p>
        </w:tc>
        <w:tc>
          <w:tcPr>
            <w:tcW w:w="31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6440" w:type="dxa"/>
            <w:vAlign w:val="bottom"/>
            <w:gridSpan w:val="4"/>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40" w:type="dxa"/>
            <w:vAlign w:val="bottom"/>
          </w:tcPr>
          <w:p>
            <w:pPr>
              <w:spacing w:after="0"/>
              <w:rPr>
                <w:sz w:val="24"/>
                <w:szCs w:val="24"/>
                <w:color w:val="auto"/>
              </w:rPr>
            </w:pPr>
          </w:p>
        </w:tc>
        <w:tc>
          <w:tcPr>
            <w:tcW w:w="2440" w:type="dxa"/>
            <w:vAlign w:val="bottom"/>
            <w:gridSpan w:val="3"/>
          </w:tcPr>
          <w:p>
            <w:pPr>
              <w:jc w:val="right"/>
              <w:ind w:right="185"/>
              <w:spacing w:after="0"/>
              <w:rPr>
                <w:sz w:val="20"/>
                <w:szCs w:val="20"/>
                <w:color w:val="auto"/>
              </w:rPr>
            </w:pPr>
            <w:r>
              <w:rPr>
                <w:rFonts w:ascii="Arial" w:cs="Arial" w:eastAsia="Arial" w:hAnsi="Arial"/>
                <w:sz w:val="15"/>
                <w:szCs w:val="15"/>
                <w:b w:val="1"/>
                <w:bCs w:val="1"/>
                <w:color w:val="auto"/>
              </w:rPr>
              <w:t>Six Months Ended June 30,</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4320" w:type="dxa"/>
            <w:vAlign w:val="bottom"/>
            <w:tcBorders>
              <w:top w:val="single" w:sz="8" w:color="auto"/>
            </w:tcBorders>
            <w:gridSpan w:val="2"/>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2006</w:t>
            </w:r>
          </w:p>
        </w:tc>
        <w:tc>
          <w:tcPr>
            <w:tcW w:w="4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Change</w:t>
            </w:r>
          </w:p>
        </w:tc>
        <w:tc>
          <w:tcPr>
            <w:tcW w:w="4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1"/>
              </w:rPr>
              <w:t>35,136</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35,136</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(460)</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The Precision Metal Components Segment was added on November 30, 2006 with the purchase of Whirlaway. Therefore, the segment was not included in the financial statements of the six months ended June 30, 2006.</w:t>
      </w:r>
    </w:p>
    <w:p>
      <w:pPr>
        <w:spacing w:after="0" w:line="170"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The six months ended June 30, 2007 results of Whirlaway are not indicative of normalized annual operations. The first quarter of this segment historically has had lower volume than average due to the purchasing patterns of the end markets served and the second quarter of 2007 was down due to abnormally low demand in customers that serve U.S. heavy truck and HVAC equipment markets.</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The demand in the heavy truck and HVAC markets was abnormally low in the second quarter of 2007 due to large amounts of purchases made in the fourth quarter of 2006 of heavy trucks and HVAC equipment. These purchases were made ahead of required environmental changes to these products on January 1, 2007.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326" w:right="2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2"/>
        </w:trPr>
        <w:tc>
          <w:tcPr>
            <w:tcW w:w="5440" w:type="dxa"/>
            <w:vAlign w:val="bottom"/>
            <w:gridSpan w:val="4"/>
          </w:tcPr>
          <w:p>
            <w:pPr>
              <w:spacing w:after="0"/>
              <w:rPr>
                <w:sz w:val="20"/>
                <w:szCs w:val="20"/>
                <w:color w:val="auto"/>
              </w:rPr>
            </w:pPr>
            <w:r>
              <w:rPr>
                <w:rFonts w:ascii="Arial" w:cs="Arial" w:eastAsia="Arial" w:hAnsi="Arial"/>
                <w:sz w:val="15"/>
                <w:szCs w:val="15"/>
                <w:b w:val="1"/>
                <w:bCs w:val="1"/>
                <w:color w:val="auto"/>
              </w:rPr>
              <w:t>PLASTIC AND RUBBER COMPONENTS SEGMENT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3560" w:type="dxa"/>
            <w:vAlign w:val="bottom"/>
            <w:tcBorders>
              <w:top w:val="single" w:sz="8" w:color="auto"/>
            </w:tcBorders>
            <w:gridSpan w:val="2"/>
          </w:tcPr>
          <w:p>
            <w:pPr>
              <w:ind w:left="1160"/>
              <w:spacing w:after="0"/>
              <w:rPr>
                <w:sz w:val="20"/>
                <w:szCs w:val="20"/>
                <w:color w:val="auto"/>
              </w:rPr>
            </w:pPr>
            <w:r>
              <w:rPr>
                <w:rFonts w:ascii="Arial" w:cs="Arial" w:eastAsia="Arial" w:hAnsi="Arial"/>
                <w:sz w:val="15"/>
                <w:szCs w:val="15"/>
                <w:i w:val="1"/>
                <w:iCs w:val="1"/>
                <w:color w:val="auto"/>
              </w:rPr>
              <w:t>(In Thousands of Dollars)</w:t>
            </w:r>
          </w:p>
        </w:tc>
        <w:tc>
          <w:tcPr>
            <w:tcW w:w="18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60" w:type="dxa"/>
            <w:vAlign w:val="bottom"/>
            <w:gridSpan w:val="2"/>
          </w:tcPr>
          <w:p>
            <w:pPr>
              <w:jc w:val="right"/>
              <w:ind w:right="385"/>
              <w:spacing w:after="0"/>
              <w:rPr>
                <w:sz w:val="20"/>
                <w:szCs w:val="20"/>
                <w:color w:val="auto"/>
              </w:rPr>
            </w:pPr>
            <w:r>
              <w:rPr>
                <w:rFonts w:ascii="Arial" w:cs="Arial" w:eastAsia="Arial" w:hAnsi="Arial"/>
                <w:sz w:val="15"/>
                <w:szCs w:val="15"/>
                <w:b w:val="1"/>
                <w:bCs w:val="1"/>
                <w:color w:val="auto"/>
              </w:rPr>
              <w:t>Six Months Ended June 30,</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3320" w:type="dxa"/>
            <w:vAlign w:val="bottom"/>
            <w:tcBorders>
              <w:top w:val="single" w:sz="8" w:color="auto"/>
            </w:tcBorders>
            <w:gridSpan w:val="2"/>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2006</w:t>
            </w:r>
          </w:p>
        </w:tc>
        <w:tc>
          <w:tcPr>
            <w:tcW w:w="8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Change</w:t>
            </w:r>
          </w:p>
        </w:tc>
        <w:tc>
          <w:tcPr>
            <w:tcW w:w="5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87"/>
              </w:rPr>
              <w:t>26,551</w:t>
            </w:r>
          </w:p>
        </w:tc>
        <w:tc>
          <w:tcPr>
            <w:tcW w:w="16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28,266</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(1,715)</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1,119</w:t>
            </w:r>
          </w:p>
        </w:tc>
        <w:tc>
          <w:tcPr>
            <w:tcW w:w="16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1,705</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Revenues in the Plastic and Rubber Components Segment were down due to lower sales volume into the automotive market ($1.7 million) and lower sales to certain specialty non-automotive customers ($0.8 million). Partially offsetting the volume decreases were benefits from raw material inflation pass through ($0.8 million).</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Net income was negatively affected by the volume decreases in sales net of cost of goods sold ($0.8 million, after tax). Partially offsetting the volume impacts were cost reduction projects net of inflation ($0.2 million, after tax). The increases in sales from raw material pass through were offset by raw material inflation.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Amounts outstanding under our $135.0 million credit facility and our $40.0 million notes as of June 30, 2007 were $65.1 million and $40.0 million, respectively. See Note 9 of the Notes to Consolidated Financial Statements. We were in compliance with all covenants of our $135.0 million syndicated credit facility and our $40.0 million senior notes as of June 30, 2007. The Company received an amendment to the $135.0 million credit facility, retroactive to June 30, 2007, that amends the definitions of certain components of the financial covenant calculations to exclude the negative impact of non-cash restructuring and impairment charges.</w:t>
      </w:r>
    </w:p>
    <w:p>
      <w:pPr>
        <w:spacing w:after="0" w:line="181"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As of June 30, 2007, the Company had $70 million of availability under the $135.0 million five year revolving credit facility. Our borrowings under the credit facility increased by $18.6 million related to the acquisition of Whirlaway. In addition, short-term borrowings increased $8.2 million due to short-term cash flow needs from increased receivable balances and increased cash balances at our European operations.</w:t>
      </w:r>
    </w:p>
    <w:p>
      <w:pPr>
        <w:spacing w:after="0" w:line="177"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Many of our locations use the Euro as their functional currency. In 2007, the fluctuation of the Euro against the U.S. Dollar favorably impacted revenue and income and increased the value of assets and liabilities, as the average Euro exchange rate was higher for the six months ended June 30, 2007 compared with the six months ended June 30, 2006 and the spot rate at June 30, 2007 was higher than the exchange rate at December 31, 2006. As of June 30, 2007, no currency hedges were in place. Changes in value of the U.S. Dollar and/or Euro against foreign currencies could impair our ability to compete with international competitors for foreign as well as domestic sales.</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Working capital, which consists principally of accounts receivable and inventories offset by accounts payable, was $58.1 million at June 30, 2007 as compared to $51.0 million at December 31, 2006. The ratio of current assets to current liabilities increased from 1.68:1 at December 31, 2006 to 1.70:1 at June 30, 2007. The increase in working capital was due primarily to the increase in the cash balance at our European operations ($1.1 million) and the increase in accounts receivable balances ($10.8 million) due to higher sales volume in the second quarter of 2007 compared to the fourth quarter of 2006. Partially offsetting these increases was a higher short-term debt balance ($8.2 million) offset by a lower accounts payable balance ($2.7 million)</w:t>
      </w:r>
    </w:p>
    <w:p>
      <w:pPr>
        <w:spacing w:after="0" w:line="149" w:lineRule="exact"/>
        <w:rPr>
          <w:sz w:val="20"/>
          <w:szCs w:val="20"/>
          <w:color w:val="auto"/>
        </w:rPr>
      </w:pPr>
    </w:p>
    <w:p>
      <w:pPr>
        <w:ind w:right="340"/>
        <w:spacing w:after="0" w:line="287" w:lineRule="auto"/>
        <w:rPr>
          <w:sz w:val="20"/>
          <w:szCs w:val="20"/>
          <w:color w:val="auto"/>
        </w:rPr>
      </w:pPr>
      <w:r>
        <w:rPr>
          <w:rFonts w:ascii="Arial" w:cs="Arial" w:eastAsia="Arial" w:hAnsi="Arial"/>
          <w:sz w:val="14"/>
          <w:szCs w:val="14"/>
          <w:color w:val="auto"/>
        </w:rPr>
        <w:t>Cash flow provided by operations was $4.0 million during the first six months of 2007, compared with cash flow provided by operations of $10.0 million during the first six months of 2006. The decrease in cash flow provided by operations is due to accounts receivable having increased in 2007 from higher sales volumes in the six months of 2007 and due to inventory having increased in 2007 from higher sales volumes and from building a level of customer service safety stock ahead of the European restructuring.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112" w:right="239" w:bottom="1440" w:gutter="0" w:footer="0" w:header="0"/>
        </w:sectPr>
      </w:pPr>
    </w:p>
    <w:bookmarkStart w:id="20" w:name="page21"/>
    <w:bookmarkEnd w:id="20"/>
    <w:p>
      <w:pPr>
        <w:ind w:right="200"/>
        <w:spacing w:after="0" w:line="295" w:lineRule="auto"/>
        <w:rPr>
          <w:sz w:val="20"/>
          <w:szCs w:val="20"/>
          <w:color w:val="auto"/>
        </w:rPr>
      </w:pPr>
      <w:r>
        <w:rPr>
          <w:rFonts w:ascii="Arial" w:cs="Arial" w:eastAsia="Arial" w:hAnsi="Arial"/>
          <w:sz w:val="13"/>
          <w:szCs w:val="13"/>
          <w:color w:val="auto"/>
        </w:rPr>
        <w:t>Total assets and current assets increased approximately $4.6 million and $1.7 million, respectively, from the December 31, 2006 balance due to appreciation of the Euro relative to the U.S. Dollar. Factoring out the foreign exchange effects, accounts receivable was up due to higher sales volume in the second quarter of 2007 than the fourth quarter of 2006 ($10.0</w:t>
      </w:r>
    </w:p>
    <w:p>
      <w:pPr>
        <w:jc w:val="both"/>
        <w:ind w:right="120"/>
        <w:spacing w:after="0" w:line="253" w:lineRule="auto"/>
        <w:rPr>
          <w:sz w:val="20"/>
          <w:szCs w:val="20"/>
          <w:color w:val="auto"/>
        </w:rPr>
      </w:pPr>
      <w:r>
        <w:rPr>
          <w:rFonts w:ascii="Arial" w:cs="Arial" w:eastAsia="Arial" w:hAnsi="Arial"/>
          <w:sz w:val="15"/>
          <w:szCs w:val="15"/>
          <w:color w:val="auto"/>
        </w:rPr>
        <w:t>million). Inventories were higher ($1.2 million) due to higher sales volumes and planned stock increases ahead of the European restructuring. Cash and cash equivalents were higher due to the positive cash flow at our European operations ($0.9 million). Factoring out foreign exchange effects, property, plant and equipment was lower due to certain fixed assets being impaired ($3.3 million) and from year to date capital spending having been lower than depreciation ($3.1 million).</w:t>
      </w:r>
    </w:p>
    <w:p>
      <w:pPr>
        <w:spacing w:after="0" w:line="183"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Total liabilities and current liabilities increased approximately $1.9 million and $1.3 million, respectively, from the December 31, 2006 balance due to appreciation of the Euro relative to the U.S. Dollar. Factoring out the foreign exchange effects, accounts payable was lower primarily due to the pay-off of certain payables from year end December 31, 2006 ($3.7 million). The short-term portion of long-term debt increased as we used our short-term swing line to finance the increase in working capital from year end. Finally, liabilities increased due to the accrual of taxes on first quarter income and from the adoption of FIN 48 ($0.7 million).</w:t>
      </w:r>
    </w:p>
    <w:p>
      <w:pPr>
        <w:spacing w:after="0" w:line="181" w:lineRule="exact"/>
        <w:rPr>
          <w:sz w:val="20"/>
          <w:szCs w:val="20"/>
          <w:color w:val="auto"/>
        </w:rPr>
      </w:pPr>
    </w:p>
    <w:p>
      <w:pPr>
        <w:ind w:right="160"/>
        <w:spacing w:after="0" w:line="260" w:lineRule="auto"/>
        <w:rPr>
          <w:sz w:val="20"/>
          <w:szCs w:val="20"/>
          <w:color w:val="auto"/>
        </w:rPr>
      </w:pPr>
      <w:r>
        <w:rPr>
          <w:rFonts w:ascii="Arial" w:cs="Arial" w:eastAsia="Arial" w:hAnsi="Arial"/>
          <w:sz w:val="15"/>
          <w:szCs w:val="15"/>
          <w:color w:val="auto"/>
        </w:rPr>
        <w:t>During the second quarter, we recorded approximately $15,269 ($14,076 after-tax) of non-cash impairment charges. These charges include the write-down to estimated fair market value of certain excess production equipment, the full impairment of goodwill at one location, and impairment of other intangible assets to levels supported by projected cash flows after the restructuring. These charges did not require the use of any of the company’s existing cash flows from operations or available credit lines.</w:t>
      </w:r>
    </w:p>
    <w:p>
      <w:pPr>
        <w:spacing w:after="0" w:line="177" w:lineRule="exact"/>
        <w:rPr>
          <w:sz w:val="20"/>
          <w:szCs w:val="20"/>
          <w:color w:val="auto"/>
        </w:rPr>
      </w:pPr>
    </w:p>
    <w:p>
      <w:pPr>
        <w:ind w:right="140"/>
        <w:spacing w:after="0" w:line="302" w:lineRule="auto"/>
        <w:rPr>
          <w:sz w:val="20"/>
          <w:szCs w:val="20"/>
          <w:color w:val="auto"/>
        </w:rPr>
      </w:pPr>
      <w:r>
        <w:rPr>
          <w:rFonts w:ascii="Arial" w:cs="Arial" w:eastAsia="Arial" w:hAnsi="Arial"/>
          <w:sz w:val="13"/>
          <w:szCs w:val="13"/>
          <w:color w:val="auto"/>
        </w:rPr>
        <w:t>During the third quarter of 2007, it is anticipated that we will take additional charges related to the European restructuring for adjustment of employment levels and legal costs related to the restructuring of European legal entities of approximately $0.5 million ($0.38 million after-tax). The second announced action taken to improve corporate financial performance is a cost reduction effort in the Precision Metal Components Segment to align production with forecasted lower levels of sales in certain end markets. This is anticipated to result in an adjustment in manufacturing employment levels and a realignment of sales and market personnel to support this business unit. Charges for this action in the third quarter are not expected to exceed $0.4 million ($0.26 million after-tax). These charges of approximately $0.9 million will require usage of cash and will be financed from existing cash flow from operations.</w:t>
      </w:r>
    </w:p>
    <w:p>
      <w:pPr>
        <w:spacing w:after="0" w:line="155"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During 2007, we plan to spend approximately $19.0 million on capital expenditures of which $11.3 million is related primarily to equipment, process upgrades, and replacements and approximately $7.7 million is related to geographic expansion of our manufacturing base. Of these amounts, approximately $6.8 million has been spent through June 30, 2007.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projected capital expenditure requirements and dividend payments through December 2007.</w:t>
      </w:r>
    </w:p>
    <w:p>
      <w:pPr>
        <w:spacing w:after="0" w:line="149"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During the first quarter of 2006, our Board of Directors authorized a stock repurchase program under which we are authorized to repurchase up to $10 million in our common stock during the subsequent 18 months in the open market or in private transactions, in accordance with applicable laws and regulations. During the three and six month periods ended June 30, 2007, the Company did not repurchase any shares under this plan or make any other repurchases of common stock.</w:t>
      </w:r>
    </w:p>
    <w:p>
      <w:pPr>
        <w:spacing w:after="0" w:line="179" w:lineRule="exact"/>
        <w:rPr>
          <w:sz w:val="20"/>
          <w:szCs w:val="20"/>
          <w:color w:val="auto"/>
        </w:rPr>
      </w:pPr>
    </w:p>
    <w:p>
      <w:pPr>
        <w:spacing w:after="0" w:line="213" w:lineRule="auto"/>
        <w:rPr>
          <w:sz w:val="20"/>
          <w:szCs w:val="20"/>
          <w:color w:val="auto"/>
        </w:rPr>
      </w:pPr>
      <w:r>
        <w:rPr>
          <w:rFonts w:ascii="Arial" w:cs="Arial" w:eastAsia="Arial" w:hAnsi="Arial"/>
          <w:sz w:val="15"/>
          <w:szCs w:val="15"/>
          <w:color w:val="auto"/>
        </w:rPr>
        <w:t>During the second quarter of 2007, a dividend declared on March 14, 2007 totaling $1.4 million was paid on April 6, 2007 and a dividend totaling $1.4 million declared on May 22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was paid on June 20, 2007.</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 and Fluctuation in Quarterly Results</w:t>
      </w:r>
    </w:p>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Our net sales in the Metal Bearing Components Segment historically have been of a seasonal nature due to the fact that a significant portion of our sales are to European customers that significantly slow production during the month of August. With the addition of the Precision Metal Components Segment, the seasonality of the Company should become less pronounced as sales volumes within this segment are lower in the first and fourth quarters and higher in the second and third quarters.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00"/>
          </w:cols>
          <w:pgMar w:left="220" w:top="129" w:right="27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12" w:lineRule="exact"/>
        <w:rPr>
          <w:sz w:val="20"/>
          <w:szCs w:val="20"/>
          <w:color w:val="auto"/>
        </w:rPr>
      </w:pPr>
    </w:p>
    <w:p>
      <w:pPr>
        <w:ind w:right="140"/>
        <w:spacing w:after="0" w:line="302" w:lineRule="auto"/>
        <w:rPr>
          <w:sz w:val="20"/>
          <w:szCs w:val="20"/>
          <w:color w:val="auto"/>
        </w:rPr>
      </w:pPr>
      <w:r>
        <w:rPr>
          <w:rFonts w:ascii="Arial" w:cs="Arial" w:eastAsia="Arial" w:hAnsi="Arial"/>
          <w:sz w:val="13"/>
          <w:szCs w:val="13"/>
          <w:color w:val="auto"/>
        </w:rPr>
        <w:t>Our significant accounting policies, including the assumptions and judgments underlying them, are disclosed in our annual report on Form 10-K for the year ended December 31, 2006,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only change during the three and six month periods ended June 30, 2007 was adoption of FIN 48 related to accounting for uncertain tax positions. FIN 48 has had an immaterial effect on the financial statements for the three and six month periods ended June 30, 2007.</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Concentration</w:t>
      </w:r>
    </w:p>
    <w:p>
      <w:pPr>
        <w:spacing w:after="0" w:line="212" w:lineRule="exact"/>
        <w:rPr>
          <w:sz w:val="20"/>
          <w:szCs w:val="20"/>
          <w:color w:val="auto"/>
        </w:rPr>
      </w:pPr>
    </w:p>
    <w:p>
      <w:pPr>
        <w:jc w:val="both"/>
        <w:ind w:right="280"/>
        <w:spacing w:after="0" w:line="350" w:lineRule="auto"/>
        <w:rPr>
          <w:sz w:val="20"/>
          <w:szCs w:val="20"/>
          <w:color w:val="auto"/>
        </w:rPr>
      </w:pPr>
      <w:r>
        <w:rPr>
          <w:rFonts w:ascii="Arial" w:cs="Arial" w:eastAsia="Arial" w:hAnsi="Arial"/>
          <w:sz w:val="13"/>
          <w:szCs w:val="13"/>
          <w:color w:val="auto"/>
        </w:rPr>
        <w:t>In January 2007, we entered into a two-year supply agreement with Schaeffler Group (INA) effective as of July 1, 2006 that replaced the agreement that expired on June 30, 2006. In May 2007, a new multi-year contract was signed with SKF effective January 1, 2007 with the terms being retroactively applied back to January 1, 2007 and effective until December 31, 2009.</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European Restructuring</w:t>
      </w:r>
    </w:p>
    <w:p>
      <w:pPr>
        <w:spacing w:after="0" w:line="212" w:lineRule="exact"/>
        <w:rPr>
          <w:sz w:val="20"/>
          <w:szCs w:val="20"/>
          <w:color w:val="auto"/>
        </w:rPr>
      </w:pPr>
    </w:p>
    <w:p>
      <w:pPr>
        <w:ind w:right="200"/>
        <w:spacing w:after="0" w:line="308" w:lineRule="auto"/>
        <w:rPr>
          <w:sz w:val="20"/>
          <w:szCs w:val="20"/>
          <w:color w:val="auto"/>
        </w:rPr>
      </w:pPr>
      <w:r>
        <w:rPr>
          <w:rFonts w:ascii="Arial" w:cs="Arial" w:eastAsia="Arial" w:hAnsi="Arial"/>
          <w:sz w:val="14"/>
          <w:szCs w:val="14"/>
          <w:color w:val="auto"/>
        </w:rPr>
        <w:t>As previously mentioned in our annual report on Form 10-K for the year ended December 31, 2006, during 2006 we entered into negotiations with representatives of the Eltmann, Germany plant employees. The negotiations seek significant wage reductions and changes in work rules. These negotiations are still in process as of the date of this report.</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the third quarter of 2007, we will begin to shift production to lower cost facilities, thereby incurring costs for the production shifts and further restructuring at the Eltmann facility, including actions leading to downsizing that location. In addition, in the second quarter of 2007, we incurred non-cash impairment charges related to the decision to begin shifting production away from Eltmann. See Note 2 of the Notes to Consolidated Financial Statements.</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212" w:lineRule="exact"/>
        <w:rPr>
          <w:sz w:val="20"/>
          <w:szCs w:val="20"/>
          <w:color w:val="auto"/>
        </w:rPr>
      </w:pPr>
    </w:p>
    <w:p>
      <w:pPr>
        <w:ind w:right="40"/>
        <w:spacing w:after="0" w:line="302" w:lineRule="auto"/>
        <w:rPr>
          <w:sz w:val="20"/>
          <w:szCs w:val="20"/>
          <w:color w:val="auto"/>
        </w:rPr>
      </w:pPr>
      <w:r>
        <w:rPr>
          <w:rFonts w:ascii="Arial" w:cs="Arial" w:eastAsia="Arial" w:hAnsi="Arial"/>
          <w:sz w:val="13"/>
          <w:szCs w:val="13"/>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2007, we had $65.1 million outstanding under the domestic credit facilities and $40.0 million aggregate principal amount of senior notes outstanding. See Note 9 of the Notes to Consolidated Financial Statements. At June 30, 2007, a one-percent increase in the interest rate charged on our outstanding borrowings under our credit facilities, which are subject to variable interest rates, would result in interest expense increasing annually by approximately $0.6 million.</w:t>
      </w:r>
    </w:p>
    <w:p>
      <w:pPr>
        <w:spacing w:after="0" w:line="155" w:lineRule="exact"/>
        <w:rPr>
          <w:sz w:val="20"/>
          <w:szCs w:val="20"/>
          <w:color w:val="auto"/>
        </w:rPr>
      </w:pPr>
    </w:p>
    <w:p>
      <w:pPr>
        <w:ind w:right="420"/>
        <w:spacing w:after="0" w:line="271" w:lineRule="auto"/>
        <w:rPr>
          <w:sz w:val="20"/>
          <w:szCs w:val="20"/>
          <w:color w:val="auto"/>
        </w:rPr>
      </w:pPr>
      <w:r>
        <w:rPr>
          <w:rFonts w:ascii="Arial" w:cs="Arial" w:eastAsia="Arial" w:hAnsi="Arial"/>
          <w:sz w:val="15"/>
          <w:szCs w:val="15"/>
          <w:color w:val="auto"/>
        </w:rPr>
        <w:t>Translation of our operating cash flows denominated in foreign currencies is impacted by changes in foreign exchange rates. We did not hold a position in any foreign currency hedging instruments as of June 30, 2007.</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4. Controls and Procedures</w:t>
      </w:r>
    </w:p>
    <w:p>
      <w:pPr>
        <w:spacing w:after="0" w:line="212" w:lineRule="exact"/>
        <w:rPr>
          <w:sz w:val="20"/>
          <w:szCs w:val="20"/>
          <w:color w:val="auto"/>
        </w:rPr>
      </w:pPr>
    </w:p>
    <w:p>
      <w:pPr>
        <w:ind w:right="120"/>
        <w:spacing w:after="0" w:line="256"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our management, including the Chief Executive Officer and Chief Financial Officer, concluded that our disclosure controls and procedures are effective as of June 30, 2007, the end of the period covered by this quarterly report.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2" w:name="page23"/>
    <w:bookmarkEnd w:id="22"/>
    <w:p>
      <w:pPr>
        <w:ind w:right="220"/>
        <w:spacing w:after="0" w:line="271" w:lineRule="auto"/>
        <w:rPr>
          <w:sz w:val="20"/>
          <w:szCs w:val="20"/>
          <w:color w:val="auto"/>
        </w:rPr>
      </w:pPr>
      <w:r>
        <w:rPr>
          <w:rFonts w:ascii="Arial" w:cs="Arial" w:eastAsia="Arial" w:hAnsi="Arial"/>
          <w:sz w:val="15"/>
          <w:szCs w:val="15"/>
          <w:color w:val="auto"/>
        </w:rPr>
        <w:t>There have been no changes in this fiscal quarter in our internal control over financial reporting or in other factors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Other Information</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1. Legal Proceedings</w:t>
      </w:r>
    </w:p>
    <w:p>
      <w:pPr>
        <w:spacing w:after="0" w:line="212"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do not know whether we have any liability related to this vendor’s actions or estimatable range for any potential liability.</w:t>
      </w:r>
    </w:p>
    <w:p>
      <w:pPr>
        <w:spacing w:after="0" w:line="177" w:lineRule="exact"/>
        <w:rPr>
          <w:sz w:val="20"/>
          <w:szCs w:val="20"/>
          <w:color w:val="auto"/>
        </w:rPr>
      </w:pPr>
    </w:p>
    <w:p>
      <w:pPr>
        <w:ind w:right="320"/>
        <w:spacing w:after="0" w:line="271" w:lineRule="auto"/>
        <w:rPr>
          <w:sz w:val="20"/>
          <w:szCs w:val="20"/>
          <w:color w:val="auto"/>
        </w:rPr>
      </w:pPr>
      <w:r>
        <w:rPr>
          <w:rFonts w:ascii="Arial" w:cs="Arial" w:eastAsia="Arial" w:hAnsi="Arial"/>
          <w:sz w:val="15"/>
          <w:szCs w:val="15"/>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There has not been any material changes in risk factors from those disclosed our annual report on Form 10-K for the year ended December 31, 2006 filed on March 16, 2007.</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0" w:lineRule="exact"/>
        <w:rPr>
          <w:sz w:val="20"/>
          <w:szCs w:val="20"/>
          <w:color w:val="auto"/>
        </w:rPr>
      </w:pPr>
    </w:p>
    <w:p>
      <w:pPr>
        <w:ind w:left="820" w:hanging="204"/>
        <w:spacing w:after="0"/>
        <w:tabs>
          <w:tab w:leader="none" w:pos="82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None</w:t>
      </w:r>
    </w:p>
    <w:p>
      <w:pPr>
        <w:spacing w:after="0" w:line="6" w:lineRule="exact"/>
        <w:rPr>
          <w:rFonts w:ascii="Arial" w:cs="Arial" w:eastAsia="Arial" w:hAnsi="Arial"/>
          <w:sz w:val="15"/>
          <w:szCs w:val="15"/>
          <w:b w:val="1"/>
          <w:bCs w:val="1"/>
          <w:color w:val="auto"/>
        </w:rPr>
      </w:pPr>
    </w:p>
    <w:p>
      <w:pPr>
        <w:ind w:left="820" w:hanging="212"/>
        <w:spacing w:after="0"/>
        <w:tabs>
          <w:tab w:leader="none" w:pos="82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None</w:t>
      </w:r>
    </w:p>
    <w:p>
      <w:pPr>
        <w:spacing w:after="0" w:line="6" w:lineRule="exact"/>
        <w:rPr>
          <w:rFonts w:ascii="Arial" w:cs="Arial" w:eastAsia="Arial" w:hAnsi="Arial"/>
          <w:sz w:val="15"/>
          <w:szCs w:val="15"/>
          <w:b w:val="1"/>
          <w:bCs w:val="1"/>
          <w:color w:val="auto"/>
        </w:rPr>
      </w:pPr>
    </w:p>
    <w:p>
      <w:pPr>
        <w:ind w:left="820" w:hanging="196"/>
        <w:spacing w:after="0"/>
        <w:tabs>
          <w:tab w:leader="none" w:pos="82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None</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4. Submission of Matters to a Vote of Security Holders</w:t>
      </w:r>
    </w:p>
    <w:p>
      <w:pPr>
        <w:spacing w:after="0" w:line="212" w:lineRule="exact"/>
        <w:rPr>
          <w:sz w:val="20"/>
          <w:szCs w:val="20"/>
          <w:color w:val="auto"/>
        </w:rPr>
      </w:pPr>
    </w:p>
    <w:p>
      <w:pPr>
        <w:ind w:right="660"/>
        <w:spacing w:after="0" w:line="260" w:lineRule="auto"/>
        <w:rPr>
          <w:sz w:val="20"/>
          <w:szCs w:val="20"/>
          <w:color w:val="auto"/>
        </w:rPr>
      </w:pPr>
      <w:r>
        <w:rPr>
          <w:rFonts w:ascii="Arial" w:cs="Arial" w:eastAsia="Arial" w:hAnsi="Arial"/>
          <w:sz w:val="15"/>
          <w:szCs w:val="15"/>
          <w:color w:val="auto"/>
        </w:rPr>
        <w:t>The Company’s Annual Meeting of Stockholders was held on May 17, 2007. As of March 30, 2007, the record date for the meeting, there were 16,848,082 shares of common stock outstanding and entitled to vote at the meeting. There were present at said meeting, in person or by proxy, stockholders holding 15,738,678 shares of common stock, constituting approximately 93% of the shares of common stock outstanding and entitled to vote, which constituted a quorum.</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The first matter voted upon at the meeting was the election of Michael E. Werner and Richard G. Fanelli as Class III Directors to serve for three-year terms each. The vote was 14,813,527 and 15,213,920 For and 925,151 and 524,758 Withheld for Messrs. Werner and Fanelli, respectively.</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4"/>
          <w:szCs w:val="14"/>
          <w:color w:val="auto"/>
        </w:rPr>
        <w:t>The nominees were elected to serve until the 2010 Annual Meeting of Stockholders and until their successors are duly elected and qualified. In addition to the foregoing directors, G. Ronald Morris and Steven T. Warshaw are serving terms that will expire in 2008, and Roderick R. Baty and Robert M. Aiken, Jr. are serving terms that will expire in 2009.</w:t>
      </w:r>
    </w:p>
    <w:p>
      <w:pPr>
        <w:spacing w:after="0" w:line="146"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The second matter voted upon at the meeting was the ratification of PricewaterhouseCoopers LLP as the Company’s registered independent public accounting firm for the fiscal year ending December 31, 2007. The vote was 15,173,765 For, 540,305 Against and 24,607 abstentions.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23" w:name="page24"/>
    <w:bookmarkEnd w:id="23"/>
    <w:p>
      <w:pPr>
        <w:ind w:left="20"/>
        <w:spacing w:after="0"/>
        <w:rPr>
          <w:sz w:val="20"/>
          <w:szCs w:val="20"/>
          <w:color w:val="auto"/>
        </w:rPr>
      </w:pPr>
      <w:r>
        <w:rPr>
          <w:rFonts w:ascii="Arial" w:cs="Arial" w:eastAsia="Arial" w:hAnsi="Arial"/>
          <w:sz w:val="15"/>
          <w:szCs w:val="15"/>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6. Exhibits</w:t>
      </w:r>
    </w:p>
    <w:p>
      <w:pPr>
        <w:spacing w:after="0" w:line="212" w:lineRule="exact"/>
        <w:rPr>
          <w:sz w:val="20"/>
          <w:szCs w:val="20"/>
          <w:color w:val="auto"/>
        </w:rPr>
      </w:pPr>
    </w:p>
    <w:p>
      <w:pPr>
        <w:ind w:left="940" w:hanging="625"/>
        <w:spacing w:after="0" w:line="271" w:lineRule="auto"/>
        <w:tabs>
          <w:tab w:leader="none" w:pos="9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Third Amendment Agreement dated as of July 31, 2007, among NN, Inc., Lenders as defined in the Credit Agreement, AmSouth Bank as Swing Line Lender, and Key Bank National Association, as Agent.</w:t>
      </w:r>
    </w:p>
    <w:p>
      <w:pPr>
        <w:spacing w:after="0" w:line="170"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5"/>
          <w:szCs w:val="15"/>
          <w:color w:val="auto"/>
        </w:rPr>
        <w:t>31.1</w:t>
      </w:r>
      <w:r>
        <w:rPr>
          <w:sz w:val="20"/>
          <w:szCs w:val="20"/>
          <w:color w:val="auto"/>
        </w:rPr>
        <w:tab/>
      </w:r>
      <w:r>
        <w:rPr>
          <w:rFonts w:ascii="Arial" w:cs="Arial" w:eastAsia="Arial" w:hAnsi="Arial"/>
          <w:sz w:val="13"/>
          <w:szCs w:val="13"/>
          <w:color w:val="auto"/>
        </w:rPr>
        <w:t>Certification of Chief Executive Officer pursuant to Section 302 of Sarbanes-Oxley Act.</w:t>
      </w:r>
    </w:p>
    <w:p>
      <w:pPr>
        <w:spacing w:after="0" w:line="20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5"/>
          <w:szCs w:val="15"/>
          <w:color w:val="auto"/>
        </w:rPr>
        <w:t>31.2</w:t>
      </w:r>
      <w:r>
        <w:rPr>
          <w:sz w:val="20"/>
          <w:szCs w:val="20"/>
          <w:color w:val="auto"/>
        </w:rPr>
        <w:tab/>
      </w:r>
      <w:r>
        <w:rPr>
          <w:rFonts w:ascii="Arial" w:cs="Arial" w:eastAsia="Arial" w:hAnsi="Arial"/>
          <w:sz w:val="13"/>
          <w:szCs w:val="13"/>
          <w:color w:val="auto"/>
        </w:rPr>
        <w:t>Certification of Chief Financial Officer pursuant to Section 302 of Sarbanes-Oxley Act.</w:t>
      </w:r>
    </w:p>
    <w:p>
      <w:pPr>
        <w:spacing w:after="0" w:line="208"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5"/>
          <w:szCs w:val="15"/>
          <w:color w:val="auto"/>
        </w:rPr>
        <w:t>32.1</w:t>
      </w:r>
      <w:r>
        <w:rPr>
          <w:sz w:val="20"/>
          <w:szCs w:val="20"/>
          <w:color w:val="auto"/>
        </w:rPr>
        <w:tab/>
      </w:r>
      <w:r>
        <w:rPr>
          <w:rFonts w:ascii="Arial" w:cs="Arial" w:eastAsia="Arial" w:hAnsi="Arial"/>
          <w:sz w:val="13"/>
          <w:szCs w:val="13"/>
          <w:color w:val="auto"/>
        </w:rPr>
        <w:t>Certification of Chief Executive Officer pursuant to Section 906 of Sarbanes-Oxley Act.</w:t>
      </w:r>
    </w:p>
    <w:p>
      <w:pPr>
        <w:spacing w:after="0" w:line="20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5"/>
          <w:szCs w:val="15"/>
          <w:color w:val="auto"/>
        </w:rPr>
        <w:t>32.2</w:t>
      </w:r>
      <w:r>
        <w:rPr>
          <w:sz w:val="20"/>
          <w:szCs w:val="20"/>
          <w:color w:val="auto"/>
        </w:rPr>
        <w:tab/>
      </w:r>
      <w:r>
        <w:rPr>
          <w:rFonts w:ascii="Arial" w:cs="Arial" w:eastAsia="Arial" w:hAnsi="Arial"/>
          <w:sz w:val="13"/>
          <w:szCs w:val="13"/>
          <w:color w:val="auto"/>
        </w:rPr>
        <w:t>Certification of Chief Financial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7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7583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0900"/>
          </w:cols>
          <w:pgMar w:left="220" w:top="125" w:right="779" w:bottom="1440" w:gutter="0" w:footer="0" w:header="0"/>
        </w:sectPr>
      </w:pPr>
    </w:p>
    <w:bookmarkStart w:id="24" w:name="page25"/>
    <w:bookmarkEnd w:id="24"/>
    <w:p>
      <w:pPr>
        <w:ind w:left="5260"/>
        <w:spacing w:after="0"/>
        <w:rPr>
          <w:sz w:val="20"/>
          <w:szCs w:val="20"/>
          <w:color w:val="auto"/>
        </w:rPr>
      </w:pPr>
      <w:r>
        <w:rPr>
          <w:rFonts w:ascii="Arial" w:cs="Arial" w:eastAsia="Arial" w:hAnsi="Arial"/>
          <w:sz w:val="15"/>
          <w:szCs w:val="15"/>
          <w:b w:val="1"/>
          <w:bCs w:val="1"/>
          <w:color w:val="auto"/>
        </w:rPr>
        <w:t>SIGNATURES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880"/>
          </w:cols>
          <w:pgMar w:left="220" w:top="326" w:right="799" w:bottom="1440" w:gutter="0" w:footer="0" w:header="0"/>
        </w:sect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NN, Inc.</w:t>
            </w:r>
          </w:p>
        </w:tc>
      </w:tr>
      <w:tr>
        <w:trPr>
          <w:trHeight w:val="192"/>
        </w:trPr>
        <w:tc>
          <w:tcPr>
            <w:tcW w:w="34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100" w:type="dxa"/>
            <w:vAlign w:val="bottom"/>
          </w:tcPr>
          <w:p>
            <w:pPr>
              <w:ind w:left="840"/>
              <w:spacing w:after="0"/>
              <w:rPr>
                <w:sz w:val="20"/>
                <w:szCs w:val="20"/>
                <w:color w:val="auto"/>
              </w:rPr>
            </w:pPr>
            <w:r>
              <w:rPr>
                <w:rFonts w:ascii="Arial" w:cs="Arial" w:eastAsia="Arial" w:hAnsi="Arial"/>
                <w:sz w:val="15"/>
                <w:szCs w:val="15"/>
                <w:b w:val="1"/>
                <w:bCs w:val="1"/>
                <w:color w:val="auto"/>
              </w:rPr>
              <w:t>(Registrant)</w:t>
            </w:r>
          </w:p>
        </w:tc>
      </w:tr>
      <w:tr>
        <w:trPr>
          <w:trHeight w:val="581"/>
        </w:trPr>
        <w:tc>
          <w:tcPr>
            <w:tcW w:w="3460" w:type="dxa"/>
            <w:vAlign w:val="bottom"/>
          </w:tcPr>
          <w:p>
            <w:pPr>
              <w:spacing w:after="0"/>
              <w:rPr>
                <w:sz w:val="20"/>
                <w:szCs w:val="20"/>
                <w:color w:val="auto"/>
              </w:rPr>
            </w:pPr>
            <w:r>
              <w:rPr>
                <w:rFonts w:ascii="Arial" w:cs="Arial" w:eastAsia="Arial" w:hAnsi="Arial"/>
                <w:sz w:val="15"/>
                <w:szCs w:val="15"/>
                <w:b w:val="1"/>
                <w:bCs w:val="1"/>
                <w:color w:val="auto"/>
              </w:rPr>
              <w:t>Signature</w:t>
            </w:r>
          </w:p>
        </w:tc>
        <w:tc>
          <w:tcPr>
            <w:tcW w:w="4980" w:type="dxa"/>
            <w:vAlign w:val="bottom"/>
            <w:gridSpan w:val="2"/>
          </w:tcPr>
          <w:p>
            <w:pPr>
              <w:ind w:left="1140"/>
              <w:spacing w:after="0"/>
              <w:rPr>
                <w:sz w:val="20"/>
                <w:szCs w:val="20"/>
                <w:color w:val="auto"/>
              </w:rPr>
            </w:pPr>
            <w:r>
              <w:rPr>
                <w:rFonts w:ascii="Arial" w:cs="Arial" w:eastAsia="Arial" w:hAnsi="Arial"/>
                <w:sz w:val="15"/>
                <w:szCs w:val="15"/>
                <w:b w:val="1"/>
                <w:bCs w:val="1"/>
                <w:color w:val="auto"/>
              </w:rPr>
              <w:t>Title</w:t>
            </w:r>
          </w:p>
        </w:tc>
      </w:tr>
      <w:tr>
        <w:trPr>
          <w:trHeight w:val="607"/>
        </w:trPr>
        <w:tc>
          <w:tcPr>
            <w:tcW w:w="3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Roderick R. Baty</w:t>
            </w:r>
          </w:p>
        </w:tc>
        <w:tc>
          <w:tcPr>
            <w:tcW w:w="18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72"/>
        </w:trPr>
        <w:tc>
          <w:tcPr>
            <w:tcW w:w="3460" w:type="dxa"/>
            <w:vAlign w:val="bottom"/>
          </w:tcPr>
          <w:p>
            <w:pPr>
              <w:spacing w:after="0"/>
              <w:rPr>
                <w:sz w:val="20"/>
                <w:szCs w:val="20"/>
                <w:color w:val="auto"/>
              </w:rPr>
            </w:pPr>
            <w:r>
              <w:rPr>
                <w:rFonts w:ascii="Arial" w:cs="Arial" w:eastAsia="Arial" w:hAnsi="Arial"/>
                <w:sz w:val="15"/>
                <w:szCs w:val="15"/>
                <w:color w:val="auto"/>
              </w:rPr>
              <w:t>Roderick R. Baty</w:t>
            </w:r>
          </w:p>
        </w:tc>
        <w:tc>
          <w:tcPr>
            <w:tcW w:w="4980" w:type="dxa"/>
            <w:vAlign w:val="bottom"/>
            <w:gridSpan w:val="2"/>
          </w:tcPr>
          <w:p>
            <w:pPr>
              <w:ind w:left="1180"/>
              <w:spacing w:after="0"/>
              <w:rPr>
                <w:sz w:val="20"/>
                <w:szCs w:val="20"/>
                <w:color w:val="auto"/>
              </w:rPr>
            </w:pPr>
            <w:r>
              <w:rPr>
                <w:rFonts w:ascii="Arial" w:cs="Arial" w:eastAsia="Arial" w:hAnsi="Arial"/>
                <w:sz w:val="15"/>
                <w:szCs w:val="15"/>
                <w:color w:val="auto"/>
              </w:rPr>
              <w:t>Chairman, President and Chief Executive Officer</w:t>
            </w:r>
          </w:p>
        </w:tc>
      </w:tr>
      <w:tr>
        <w:trPr>
          <w:trHeight w:val="184"/>
        </w:trPr>
        <w:tc>
          <w:tcPr>
            <w:tcW w:w="3460" w:type="dxa"/>
            <w:vAlign w:val="bottom"/>
          </w:tcPr>
          <w:p>
            <w:pPr>
              <w:spacing w:after="0"/>
              <w:rPr>
                <w:sz w:val="15"/>
                <w:szCs w:val="15"/>
                <w:color w:val="auto"/>
              </w:rPr>
            </w:pPr>
          </w:p>
        </w:tc>
        <w:tc>
          <w:tcPr>
            <w:tcW w:w="4980" w:type="dxa"/>
            <w:vAlign w:val="bottom"/>
            <w:gridSpan w:val="2"/>
          </w:tcPr>
          <w:p>
            <w:pPr>
              <w:ind w:left="1140"/>
              <w:spacing w:after="0"/>
              <w:rPr>
                <w:sz w:val="20"/>
                <w:szCs w:val="20"/>
                <w:color w:val="auto"/>
              </w:rPr>
            </w:pPr>
            <w:r>
              <w:rPr>
                <w:rFonts w:ascii="Arial" w:cs="Arial" w:eastAsia="Arial" w:hAnsi="Arial"/>
                <w:sz w:val="15"/>
                <w:szCs w:val="15"/>
                <w:color w:val="auto"/>
              </w:rPr>
              <w:t>(Duly Authorized Officer)</w:t>
            </w:r>
          </w:p>
        </w:tc>
      </w:tr>
      <w:tr>
        <w:trPr>
          <w:trHeight w:val="989"/>
        </w:trPr>
        <w:tc>
          <w:tcPr>
            <w:tcW w:w="3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James H. Dorton</w:t>
            </w:r>
          </w:p>
        </w:tc>
        <w:tc>
          <w:tcPr>
            <w:tcW w:w="18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72"/>
        </w:trPr>
        <w:tc>
          <w:tcPr>
            <w:tcW w:w="3460" w:type="dxa"/>
            <w:vAlign w:val="bottom"/>
          </w:tcPr>
          <w:p>
            <w:pPr>
              <w:spacing w:after="0"/>
              <w:rPr>
                <w:sz w:val="20"/>
                <w:szCs w:val="20"/>
                <w:color w:val="auto"/>
              </w:rPr>
            </w:pPr>
            <w:r>
              <w:rPr>
                <w:rFonts w:ascii="Arial" w:cs="Arial" w:eastAsia="Arial" w:hAnsi="Arial"/>
                <w:sz w:val="15"/>
                <w:szCs w:val="15"/>
                <w:color w:val="auto"/>
              </w:rPr>
              <w:t>James H. Dorton</w:t>
            </w:r>
          </w:p>
        </w:tc>
        <w:tc>
          <w:tcPr>
            <w:tcW w:w="4980" w:type="dxa"/>
            <w:vAlign w:val="bottom"/>
            <w:gridSpan w:val="2"/>
          </w:tcPr>
          <w:p>
            <w:pPr>
              <w:ind w:left="1140"/>
              <w:spacing w:after="0"/>
              <w:rPr>
                <w:sz w:val="20"/>
                <w:szCs w:val="20"/>
                <w:color w:val="auto"/>
              </w:rPr>
            </w:pPr>
            <w:r>
              <w:rPr>
                <w:rFonts w:ascii="Arial" w:cs="Arial" w:eastAsia="Arial" w:hAnsi="Arial"/>
                <w:sz w:val="15"/>
                <w:szCs w:val="15"/>
                <w:color w:val="auto"/>
              </w:rPr>
              <w:t>Vice President - Corporate Development and</w:t>
            </w:r>
          </w:p>
        </w:tc>
      </w:tr>
      <w:tr>
        <w:trPr>
          <w:trHeight w:val="179"/>
        </w:trPr>
        <w:tc>
          <w:tcPr>
            <w:tcW w:w="3460" w:type="dxa"/>
            <w:vAlign w:val="bottom"/>
          </w:tcPr>
          <w:p>
            <w:pPr>
              <w:spacing w:after="0"/>
              <w:rPr>
                <w:sz w:val="15"/>
                <w:szCs w:val="15"/>
                <w:color w:val="auto"/>
              </w:rPr>
            </w:pPr>
          </w:p>
        </w:tc>
        <w:tc>
          <w:tcPr>
            <w:tcW w:w="4980" w:type="dxa"/>
            <w:vAlign w:val="bottom"/>
            <w:gridSpan w:val="2"/>
          </w:tcPr>
          <w:p>
            <w:pPr>
              <w:ind w:left="1140"/>
              <w:spacing w:after="0"/>
              <w:rPr>
                <w:sz w:val="20"/>
                <w:szCs w:val="20"/>
                <w:color w:val="auto"/>
              </w:rPr>
            </w:pPr>
            <w:r>
              <w:rPr>
                <w:rFonts w:ascii="Arial" w:cs="Arial" w:eastAsia="Arial" w:hAnsi="Arial"/>
                <w:sz w:val="15"/>
                <w:szCs w:val="15"/>
                <w:color w:val="auto"/>
              </w:rPr>
              <w:t>Chief Financial Officer</w:t>
            </w:r>
          </w:p>
        </w:tc>
      </w:tr>
      <w:tr>
        <w:trPr>
          <w:trHeight w:val="179"/>
        </w:trPr>
        <w:tc>
          <w:tcPr>
            <w:tcW w:w="3460" w:type="dxa"/>
            <w:vAlign w:val="bottom"/>
          </w:tcPr>
          <w:p>
            <w:pPr>
              <w:spacing w:after="0"/>
              <w:rPr>
                <w:sz w:val="15"/>
                <w:szCs w:val="15"/>
                <w:color w:val="auto"/>
              </w:rPr>
            </w:pPr>
          </w:p>
        </w:tc>
        <w:tc>
          <w:tcPr>
            <w:tcW w:w="4980" w:type="dxa"/>
            <w:vAlign w:val="bottom"/>
            <w:gridSpan w:val="2"/>
          </w:tcPr>
          <w:p>
            <w:pPr>
              <w:ind w:left="1140"/>
              <w:spacing w:after="0"/>
              <w:rPr>
                <w:sz w:val="20"/>
                <w:szCs w:val="20"/>
                <w:color w:val="auto"/>
              </w:rPr>
            </w:pPr>
            <w:r>
              <w:rPr>
                <w:rFonts w:ascii="Arial" w:cs="Arial" w:eastAsia="Arial" w:hAnsi="Arial"/>
                <w:sz w:val="15"/>
                <w:szCs w:val="15"/>
                <w:color w:val="auto"/>
              </w:rPr>
              <w:t>(Principal Financial Officer)</w:t>
            </w:r>
          </w:p>
        </w:tc>
      </w:tr>
      <w:tr>
        <w:trPr>
          <w:trHeight w:val="184"/>
        </w:trPr>
        <w:tc>
          <w:tcPr>
            <w:tcW w:w="3460" w:type="dxa"/>
            <w:vAlign w:val="bottom"/>
          </w:tcPr>
          <w:p>
            <w:pPr>
              <w:spacing w:after="0"/>
              <w:rPr>
                <w:sz w:val="15"/>
                <w:szCs w:val="15"/>
                <w:color w:val="auto"/>
              </w:rPr>
            </w:pPr>
          </w:p>
        </w:tc>
        <w:tc>
          <w:tcPr>
            <w:tcW w:w="4980" w:type="dxa"/>
            <w:vAlign w:val="bottom"/>
            <w:gridSpan w:val="2"/>
          </w:tcPr>
          <w:p>
            <w:pPr>
              <w:ind w:left="1140"/>
              <w:spacing w:after="0"/>
              <w:rPr>
                <w:sz w:val="20"/>
                <w:szCs w:val="20"/>
                <w:color w:val="auto"/>
              </w:rPr>
            </w:pPr>
            <w:r>
              <w:rPr>
                <w:rFonts w:ascii="Arial" w:cs="Arial" w:eastAsia="Arial" w:hAnsi="Arial"/>
                <w:sz w:val="15"/>
                <w:szCs w:val="15"/>
                <w:color w:val="auto"/>
              </w:rPr>
              <w:t>(Duly Authorized Officer)</w:t>
            </w:r>
          </w:p>
        </w:tc>
      </w:tr>
      <w:tr>
        <w:trPr>
          <w:trHeight w:val="855"/>
        </w:trPr>
        <w:tc>
          <w:tcPr>
            <w:tcW w:w="3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/s/William C. Kelly, Jr.</w:t>
            </w:r>
          </w:p>
        </w:tc>
        <w:tc>
          <w:tcPr>
            <w:tcW w:w="18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72"/>
        </w:trPr>
        <w:tc>
          <w:tcPr>
            <w:tcW w:w="3460" w:type="dxa"/>
            <w:vAlign w:val="bottom"/>
          </w:tcPr>
          <w:p>
            <w:pPr>
              <w:spacing w:after="0"/>
              <w:rPr>
                <w:sz w:val="20"/>
                <w:szCs w:val="20"/>
                <w:color w:val="auto"/>
              </w:rPr>
            </w:pPr>
            <w:r>
              <w:rPr>
                <w:rFonts w:ascii="Arial" w:cs="Arial" w:eastAsia="Arial" w:hAnsi="Arial"/>
                <w:sz w:val="15"/>
                <w:szCs w:val="15"/>
                <w:color w:val="auto"/>
              </w:rPr>
              <w:t>William C. Kelly, Jr.</w:t>
            </w:r>
          </w:p>
        </w:tc>
        <w:tc>
          <w:tcPr>
            <w:tcW w:w="4980" w:type="dxa"/>
            <w:vAlign w:val="bottom"/>
            <w:gridSpan w:val="2"/>
          </w:tcPr>
          <w:p>
            <w:pPr>
              <w:ind w:left="1180"/>
              <w:spacing w:after="0"/>
              <w:rPr>
                <w:sz w:val="20"/>
                <w:szCs w:val="20"/>
                <w:color w:val="auto"/>
              </w:rPr>
            </w:pPr>
            <w:r>
              <w:rPr>
                <w:rFonts w:ascii="Arial" w:cs="Arial" w:eastAsia="Arial" w:hAnsi="Arial"/>
                <w:sz w:val="15"/>
                <w:szCs w:val="15"/>
                <w:color w:val="auto"/>
              </w:rPr>
              <w:t>Chief Administrative Officer</w:t>
            </w:r>
          </w:p>
        </w:tc>
      </w:tr>
      <w:tr>
        <w:trPr>
          <w:trHeight w:val="184"/>
        </w:trPr>
        <w:tc>
          <w:tcPr>
            <w:tcW w:w="3460" w:type="dxa"/>
            <w:vAlign w:val="bottom"/>
          </w:tcPr>
          <w:p>
            <w:pPr>
              <w:spacing w:after="0"/>
              <w:rPr>
                <w:sz w:val="15"/>
                <w:szCs w:val="15"/>
                <w:color w:val="auto"/>
              </w:rPr>
            </w:pPr>
          </w:p>
        </w:tc>
        <w:tc>
          <w:tcPr>
            <w:tcW w:w="4980" w:type="dxa"/>
            <w:vAlign w:val="bottom"/>
            <w:gridSpan w:val="2"/>
          </w:tcPr>
          <w:p>
            <w:pPr>
              <w:ind w:left="1140"/>
              <w:spacing w:after="0"/>
              <w:rPr>
                <w:sz w:val="20"/>
                <w:szCs w:val="20"/>
                <w:color w:val="auto"/>
              </w:rPr>
            </w:pPr>
            <w:r>
              <w:rPr>
                <w:rFonts w:ascii="Arial" w:cs="Arial" w:eastAsia="Arial" w:hAnsi="Arial"/>
                <w:sz w:val="15"/>
                <w:szCs w:val="15"/>
                <w:color w:val="auto"/>
              </w:rPr>
              <w:t>(Duly Authorized Officer)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Date: August 8,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Date: August 8,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Date: August 8, 2007</w:t>
      </w:r>
    </w:p>
    <w:p>
      <w:pPr>
        <w:spacing w:after="0" w:line="214" w:lineRule="exact"/>
        <w:rPr>
          <w:sz w:val="20"/>
          <w:szCs w:val="20"/>
          <w:color w:val="auto"/>
        </w:rPr>
      </w:pPr>
    </w:p>
    <w:p>
      <w:pPr>
        <w:sectPr>
          <w:pgSz w:w="11900" w:h="16838" w:orient="portrait"/>
          <w:cols w:equalWidth="0" w:num="2">
            <w:col w:w="8460" w:space="720"/>
            <w:col w:w="1700"/>
          </w:cols>
          <w:pgMar w:left="220" w:top="326" w:right="799" w:bottom="1440" w:gutter="0" w:footer="0" w:header="0"/>
          <w:type w:val="continuous"/>
        </w:sectPr>
      </w:pPr>
    </w:p>
    <w:p>
      <w:pPr>
        <w:spacing w:after="0" w:line="212"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7583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0880"/>
          </w:cols>
          <w:pgMar w:left="220" w:top="326" w:right="79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5"/>
          <w:szCs w:val="15"/>
          <w:b w:val="1"/>
          <w:bCs w:val="1"/>
          <w:color w:val="auto"/>
        </w:rPr>
        <w:t>EXHIBIT 10.1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THIRD AMENDMENT AGREEMENT</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This THIRD AMENDMENT AGREEMENT (this “Amendment”) is made as of the 31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day of July, 2007 among:</w:t>
      </w:r>
    </w:p>
    <w:p>
      <w:pPr>
        <w:spacing w:after="0" w:line="136" w:lineRule="exact"/>
        <w:rPr>
          <w:sz w:val="20"/>
          <w:szCs w:val="20"/>
          <w:color w:val="auto"/>
        </w:rPr>
      </w:pPr>
    </w:p>
    <w:p>
      <w:pPr>
        <w:ind w:left="1120" w:hanging="574"/>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NN, INC., a Delaware corporation (“US Borrower”);</w:t>
      </w:r>
    </w:p>
    <w:p>
      <w:pPr>
        <w:spacing w:after="0" w:line="207" w:lineRule="exact"/>
        <w:rPr>
          <w:rFonts w:ascii="Arial" w:cs="Arial" w:eastAsia="Arial" w:hAnsi="Arial"/>
          <w:sz w:val="15"/>
          <w:szCs w:val="15"/>
          <w:color w:val="auto"/>
        </w:rPr>
      </w:pPr>
    </w:p>
    <w:p>
      <w:pPr>
        <w:ind w:left="540" w:firstLine="6"/>
        <w:spacing w:after="0" w:line="271" w:lineRule="auto"/>
        <w:tabs>
          <w:tab w:leader="none" w:pos="1226" w:val="left"/>
        </w:tabs>
        <w:numPr>
          <w:ilvl w:val="0"/>
          <w:numId w:val="4"/>
        </w:numPr>
        <w:rPr>
          <w:rFonts w:ascii="Arial" w:cs="Arial" w:eastAsia="Arial" w:hAnsi="Arial"/>
          <w:sz w:val="15"/>
          <w:szCs w:val="15"/>
          <w:color w:val="auto"/>
        </w:rPr>
      </w:pPr>
      <w:r>
        <w:rPr>
          <w:rFonts w:ascii="Arial" w:cs="Arial" w:eastAsia="Arial" w:hAnsi="Arial"/>
          <w:sz w:val="15"/>
          <w:szCs w:val="15"/>
          <w:color w:val="auto"/>
        </w:rPr>
        <w:t>each Foreign Borrower, as defined in the Credit Agreement, as hereinafter defined (each such Foreign Borrower, together with US Borrower shall be referred to herein, collectively, as “Borrowers” and, individually, each a “Borrower”);</w:t>
      </w:r>
    </w:p>
    <w:p>
      <w:pPr>
        <w:spacing w:after="0" w:line="169" w:lineRule="exact"/>
        <w:rPr>
          <w:rFonts w:ascii="Arial" w:cs="Arial" w:eastAsia="Arial" w:hAnsi="Arial"/>
          <w:sz w:val="15"/>
          <w:szCs w:val="15"/>
          <w:color w:val="auto"/>
        </w:rPr>
      </w:pPr>
    </w:p>
    <w:p>
      <w:pPr>
        <w:ind w:left="1120" w:hanging="574"/>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Lenders, as defined in the Credit Agreement;</w:t>
      </w:r>
    </w:p>
    <w:p>
      <w:pPr>
        <w:spacing w:after="0" w:line="207" w:lineRule="exact"/>
        <w:rPr>
          <w:rFonts w:ascii="Arial" w:cs="Arial" w:eastAsia="Arial" w:hAnsi="Arial"/>
          <w:sz w:val="15"/>
          <w:szCs w:val="15"/>
          <w:color w:val="auto"/>
        </w:rPr>
      </w:pPr>
    </w:p>
    <w:p>
      <w:pPr>
        <w:ind w:left="1120" w:hanging="574"/>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AMSOUTH BANK, as Swing Line Lender, as defined in the Credit Agreement; and</w:t>
      </w:r>
    </w:p>
    <w:p>
      <w:pPr>
        <w:spacing w:after="0" w:line="207" w:lineRule="exact"/>
        <w:rPr>
          <w:rFonts w:ascii="Arial" w:cs="Arial" w:eastAsia="Arial" w:hAnsi="Arial"/>
          <w:sz w:val="15"/>
          <w:szCs w:val="15"/>
          <w:color w:val="auto"/>
        </w:rPr>
      </w:pPr>
    </w:p>
    <w:p>
      <w:pPr>
        <w:ind w:left="1120" w:hanging="574"/>
        <w:spacing w:after="0"/>
        <w:tabs>
          <w:tab w:leader="none" w:pos="1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KEYBANK NATIONAL ASSOCIATION, as the lead arranger, book runner and administrative agent for the Lenders under the Credit Agreement (“Agent”).</w:t>
      </w:r>
    </w:p>
    <w:p>
      <w:pPr>
        <w:spacing w:after="0" w:line="208" w:lineRule="exact"/>
        <w:rPr>
          <w:sz w:val="20"/>
          <w:szCs w:val="20"/>
          <w:color w:val="auto"/>
        </w:rPr>
      </w:pPr>
    </w:p>
    <w:p>
      <w:pPr>
        <w:jc w:val="both"/>
        <w:ind w:firstLine="537"/>
        <w:spacing w:after="0" w:line="260" w:lineRule="auto"/>
        <w:rPr>
          <w:sz w:val="20"/>
          <w:szCs w:val="20"/>
          <w:color w:val="auto"/>
        </w:rPr>
      </w:pPr>
      <w:r>
        <w:rPr>
          <w:rFonts w:ascii="Arial" w:cs="Arial" w:eastAsia="Arial" w:hAnsi="Arial"/>
          <w:sz w:val="15"/>
          <w:szCs w:val="15"/>
          <w:color w:val="auto"/>
        </w:rPr>
        <w:t>WHEREAS, Borrowers, Agent and the Lenders are parties to that certain Credit Agreement, dated as of September 21, 2006, that provides, among other things, for loans and letters of credit aggregating One Hundred Thirty-Five Million Dollars ($135,000,000), all upon certain terms and conditions (as amended and as the same may from time to time be further amended, restated or otherwise modified, the “Credit Agreement”);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Borrowers, Agent and the Lenders desire to amend the Credit Agreement to modify certain provisions thereof;</w:t>
      </w:r>
    </w:p>
    <w:p>
      <w:pPr>
        <w:spacing w:after="0" w:line="208" w:lineRule="exact"/>
        <w:rPr>
          <w:sz w:val="20"/>
          <w:szCs w:val="20"/>
          <w:color w:val="auto"/>
        </w:rPr>
      </w:pPr>
    </w:p>
    <w:p>
      <w:pPr>
        <w:jc w:val="both"/>
        <w:ind w:firstLine="537"/>
        <w:spacing w:after="0" w:line="271" w:lineRule="auto"/>
        <w:rPr>
          <w:sz w:val="20"/>
          <w:szCs w:val="20"/>
          <w:color w:val="auto"/>
        </w:rPr>
      </w:pPr>
      <w:r>
        <w:rPr>
          <w:rFonts w:ascii="Arial" w:cs="Arial" w:eastAsia="Arial" w:hAnsi="Arial"/>
          <w:sz w:val="15"/>
          <w:szCs w:val="15"/>
          <w:color w:val="auto"/>
        </w:rPr>
        <w:t>WHEREAS, each capitalized term used herein and defined in the Credit Agreement, but not otherwise defined herein, shall have the meaning given such term in the Credit Agreement; and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WHEREAS, unless otherwise specifically provided herein, the provisions of the Credit Agreement revised herein are amended effective as of the date of this Amendment;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NOW, THEREFORE, in consideration of the premises and of the mutual covenants herein and for other valuable consideration, Borrowers, Agent and the Lenders agree as follows:</w:t>
      </w:r>
    </w:p>
    <w:p>
      <w:pPr>
        <w:spacing w:after="0" w:line="231" w:lineRule="exact"/>
        <w:rPr>
          <w:sz w:val="20"/>
          <w:szCs w:val="20"/>
          <w:color w:val="auto"/>
        </w:rPr>
      </w:pPr>
    </w:p>
    <w:p>
      <w:pPr>
        <w:ind w:firstLine="546"/>
        <w:spacing w:after="0" w:line="271" w:lineRule="auto"/>
        <w:tabs>
          <w:tab w:leader="none" w:pos="1204"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t>Retroactive Amendment to Definitions</w:t>
      </w:r>
      <w:r>
        <w:rPr>
          <w:rFonts w:ascii="Arial" w:cs="Arial" w:eastAsia="Arial" w:hAnsi="Arial"/>
          <w:sz w:val="15"/>
          <w:szCs w:val="15"/>
          <w:color w:val="auto"/>
        </w:rPr>
        <w:t>. Section 1.1 of the Credit Agreement is hereby retroactively amended, effective as of June 30, 2007, to delete the definition of “Consolidated EBITDA” therefrom and to insert in place thereof the following:</w:t>
      </w:r>
    </w:p>
    <w:p>
      <w:pPr>
        <w:spacing w:after="0" w:line="170" w:lineRule="exact"/>
        <w:rPr>
          <w:sz w:val="20"/>
          <w:szCs w:val="20"/>
          <w:color w:val="auto"/>
        </w:rPr>
      </w:pPr>
    </w:p>
    <w:p>
      <w:pPr>
        <w:ind w:left="540"/>
        <w:spacing w:after="0" w:line="308" w:lineRule="auto"/>
        <w:rPr>
          <w:sz w:val="20"/>
          <w:szCs w:val="20"/>
          <w:color w:val="auto"/>
        </w:rPr>
      </w:pPr>
      <w:r>
        <w:rPr>
          <w:rFonts w:ascii="Arial" w:cs="Arial" w:eastAsia="Arial" w:hAnsi="Arial"/>
          <w:sz w:val="14"/>
          <w:szCs w:val="14"/>
          <w:color w:val="auto"/>
        </w:rPr>
        <w:t>“Consolidated EBITDA” shall mean, for any period, as determined on a Consolidated basis and after giving Pro Forma Effect to any Acquisition made during such period, Consolidated Net Earnings for such period plus, without duplication, the aggregate amounts deducted in determining such Consolidated Net Earnings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7583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6" w:name="page27"/>
    <w:bookmarkEnd w:id="26"/>
    <w:p>
      <w:pPr>
        <w:jc w:val="both"/>
        <w:ind w:left="-6" w:firstLine="62"/>
        <w:spacing w:after="0" w:line="260" w:lineRule="auto"/>
        <w:tabs>
          <w:tab w:leader="none" w:pos="271" w:val="left"/>
        </w:tabs>
        <w:numPr>
          <w:ilvl w:val="1"/>
          <w:numId w:val="6"/>
        </w:numPr>
        <w:rPr>
          <w:rFonts w:ascii="Arial" w:cs="Arial" w:eastAsia="Arial" w:hAnsi="Arial"/>
          <w:sz w:val="15"/>
          <w:szCs w:val="15"/>
          <w:color w:val="auto"/>
        </w:rPr>
      </w:pPr>
      <w:r>
        <w:rPr>
          <w:rFonts w:ascii="Arial" w:cs="Arial" w:eastAsia="Arial" w:hAnsi="Arial"/>
          <w:sz w:val="15"/>
          <w:szCs w:val="15"/>
          <w:color w:val="auto"/>
        </w:rPr>
        <w:t>Consolidated Interest Expense, (b) Consolidated Income Tax Expense, (c) Consolidated Depreciation and Amortization Charges, and (d) (i) non-recurring non-cash charges incurred in accordance with GAAP, minus (ii) extraordinary or unusual non-cash gains not incurred in the ordinary course of business but that were included in the calculation of Consolidated Net Earnings for such period.</w:t>
      </w:r>
    </w:p>
    <w:p>
      <w:pPr>
        <w:spacing w:after="0" w:line="177" w:lineRule="exact"/>
        <w:rPr>
          <w:rFonts w:ascii="Arial" w:cs="Arial" w:eastAsia="Arial" w:hAnsi="Arial"/>
          <w:sz w:val="15"/>
          <w:szCs w:val="15"/>
          <w:color w:val="auto"/>
        </w:rPr>
      </w:pPr>
    </w:p>
    <w:p>
      <w:pPr>
        <w:ind w:left="514" w:hanging="514"/>
        <w:spacing w:after="0"/>
        <w:tabs>
          <w:tab w:leader="none" w:pos="514"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Closing Deliveries</w:t>
      </w:r>
      <w:r>
        <w:rPr>
          <w:rFonts w:ascii="Arial" w:cs="Arial" w:eastAsia="Arial" w:hAnsi="Arial"/>
          <w:sz w:val="15"/>
          <w:szCs w:val="15"/>
          <w:color w:val="auto"/>
        </w:rPr>
        <w:t>. Concurrently with the execution of this Amendment, US Borrower shall:</w:t>
      </w:r>
    </w:p>
    <w:p>
      <w:pPr>
        <w:spacing w:after="0" w:line="207" w:lineRule="exact"/>
        <w:rPr>
          <w:rFonts w:ascii="Arial" w:cs="Arial" w:eastAsia="Arial" w:hAnsi="Arial"/>
          <w:sz w:val="15"/>
          <w:szCs w:val="15"/>
          <w:color w:val="auto"/>
        </w:rPr>
      </w:pPr>
    </w:p>
    <w:p>
      <w:pPr>
        <w:ind w:left="1114" w:hanging="577"/>
        <w:spacing w:after="0"/>
        <w:tabs>
          <w:tab w:leader="none" w:pos="1114" w:val="left"/>
        </w:tabs>
        <w:numPr>
          <w:ilvl w:val="2"/>
          <w:numId w:val="7"/>
        </w:numPr>
        <w:rPr>
          <w:rFonts w:ascii="Arial" w:cs="Arial" w:eastAsia="Arial" w:hAnsi="Arial"/>
          <w:sz w:val="14"/>
          <w:szCs w:val="14"/>
          <w:color w:val="auto"/>
        </w:rPr>
      </w:pPr>
      <w:r>
        <w:rPr>
          <w:rFonts w:ascii="Arial" w:cs="Arial" w:eastAsia="Arial" w:hAnsi="Arial"/>
          <w:sz w:val="14"/>
          <w:szCs w:val="14"/>
          <w:color w:val="auto"/>
        </w:rPr>
        <w:t>execute and deliver to Agent, for its sole benefit, the Third Amendment Agent Fee Letter, and pay to Agent, for its sole account, the fees stated therein;</w:t>
      </w:r>
    </w:p>
    <w:p>
      <w:pPr>
        <w:spacing w:after="0" w:line="219" w:lineRule="exact"/>
        <w:rPr>
          <w:rFonts w:ascii="Arial" w:cs="Arial" w:eastAsia="Arial" w:hAnsi="Arial"/>
          <w:sz w:val="14"/>
          <w:szCs w:val="14"/>
          <w:color w:val="auto"/>
        </w:rPr>
      </w:pPr>
    </w:p>
    <w:p>
      <w:pPr>
        <w:jc w:val="both"/>
        <w:ind w:left="-6" w:firstLine="543"/>
        <w:spacing w:after="0" w:line="260" w:lineRule="auto"/>
        <w:tabs>
          <w:tab w:leader="none" w:pos="1175" w:val="left"/>
        </w:tabs>
        <w:numPr>
          <w:ilvl w:val="2"/>
          <w:numId w:val="7"/>
        </w:numPr>
        <w:rPr>
          <w:rFonts w:ascii="Arial" w:cs="Arial" w:eastAsia="Arial" w:hAnsi="Arial"/>
          <w:sz w:val="15"/>
          <w:szCs w:val="15"/>
          <w:color w:val="auto"/>
        </w:rPr>
      </w:pPr>
      <w:r>
        <w:rPr>
          <w:rFonts w:ascii="Arial" w:cs="Arial" w:eastAsia="Arial" w:hAnsi="Arial"/>
          <w:sz w:val="15"/>
          <w:szCs w:val="15"/>
          <w:color w:val="auto"/>
        </w:rPr>
        <w:t>pay an amendment fee to Agent, for the benefit of each Lender that shall have executed and delivered this Amendment to Agent on or before 5:00 P.M. (Eastern time) on July 30, 2007, in an amount equal to five basis points times such Lender’s Maximum Amount (which amount shall not exceed Sixty-Seven Thousand Five Hundred Dollars ($67,500);</w:t>
      </w:r>
    </w:p>
    <w:p>
      <w:pPr>
        <w:spacing w:after="0" w:line="177" w:lineRule="exact"/>
        <w:rPr>
          <w:rFonts w:ascii="Arial" w:cs="Arial" w:eastAsia="Arial" w:hAnsi="Arial"/>
          <w:sz w:val="15"/>
          <w:szCs w:val="15"/>
          <w:color w:val="auto"/>
        </w:rPr>
      </w:pPr>
    </w:p>
    <w:p>
      <w:pPr>
        <w:ind w:left="1114" w:hanging="577"/>
        <w:spacing w:after="0"/>
        <w:tabs>
          <w:tab w:leader="none" w:pos="1114" w:val="left"/>
        </w:tabs>
        <w:numPr>
          <w:ilvl w:val="2"/>
          <w:numId w:val="7"/>
        </w:numPr>
        <w:rPr>
          <w:rFonts w:ascii="Arial" w:cs="Arial" w:eastAsia="Arial" w:hAnsi="Arial"/>
          <w:sz w:val="15"/>
          <w:szCs w:val="15"/>
          <w:color w:val="auto"/>
        </w:rPr>
      </w:pPr>
      <w:r>
        <w:rPr>
          <w:rFonts w:ascii="Arial" w:cs="Arial" w:eastAsia="Arial" w:hAnsi="Arial"/>
          <w:sz w:val="15"/>
          <w:szCs w:val="15"/>
          <w:color w:val="auto"/>
        </w:rPr>
        <w:t>cause each Guarantor of Payment to execute the attached Acknowledgment and Agreement; and</w:t>
      </w:r>
    </w:p>
    <w:p>
      <w:pPr>
        <w:spacing w:after="0" w:line="207" w:lineRule="exact"/>
        <w:rPr>
          <w:rFonts w:ascii="Arial" w:cs="Arial" w:eastAsia="Arial" w:hAnsi="Arial"/>
          <w:sz w:val="15"/>
          <w:szCs w:val="15"/>
          <w:color w:val="auto"/>
        </w:rPr>
      </w:pPr>
    </w:p>
    <w:p>
      <w:pPr>
        <w:ind w:left="1114" w:hanging="577"/>
        <w:spacing w:after="0"/>
        <w:tabs>
          <w:tab w:leader="none" w:pos="1114" w:val="left"/>
        </w:tabs>
        <w:numPr>
          <w:ilvl w:val="2"/>
          <w:numId w:val="7"/>
        </w:numPr>
        <w:rPr>
          <w:rFonts w:ascii="Arial" w:cs="Arial" w:eastAsia="Arial" w:hAnsi="Arial"/>
          <w:sz w:val="15"/>
          <w:szCs w:val="15"/>
          <w:color w:val="auto"/>
        </w:rPr>
      </w:pPr>
      <w:r>
        <w:rPr>
          <w:rFonts w:ascii="Arial" w:cs="Arial" w:eastAsia="Arial" w:hAnsi="Arial"/>
          <w:sz w:val="15"/>
          <w:szCs w:val="15"/>
          <w:color w:val="auto"/>
        </w:rPr>
        <w:t>pay all legal fees and expenses of Agent in connection with this Amendment.</w:t>
      </w:r>
    </w:p>
    <w:p>
      <w:pPr>
        <w:spacing w:after="0" w:line="207" w:lineRule="exact"/>
        <w:rPr>
          <w:rFonts w:ascii="Arial" w:cs="Arial" w:eastAsia="Arial" w:hAnsi="Arial"/>
          <w:sz w:val="15"/>
          <w:szCs w:val="15"/>
          <w:color w:val="auto"/>
        </w:rPr>
      </w:pPr>
    </w:p>
    <w:p>
      <w:pPr>
        <w:jc w:val="both"/>
        <w:ind w:left="-546" w:firstLine="546"/>
        <w:spacing w:after="0" w:line="252" w:lineRule="auto"/>
        <w:tabs>
          <w:tab w:leader="none" w:pos="512"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Borrower hereby represents and warrants to Agent and the Lenders that (a) such Borrower has the legal power and authority to execute and deliver this Amendment; (b) the officers executing this Amendment have been duly authorized to execute and deliver the same and bind such Borrower with respect to the provisions hereof; (c) the execution and delivery hereof by such Borrower and the performance and observance by such Borrower of the provisions hereof do not violate or conflict with the organizational agreements of such Borrower or any law applicable to such Borrower or result in a breach of any provision of or constitute a default under any other agreement, instrument or document binding upon or enforceable against such Borrower; (d) no Default or Event of Default exists under the Credit Agreement, nor will any occur immediately after the execution and delivery of this Amendment or by the performance or observance of any provision hereof; (e) such Borrower is not aware of any claim or offset against, or defense or counterclaim to, such Borrower’s obligations or liabilities under the Credit Agreement or any Related Writing; and (f) this Amendment constitutes a valid and binding obligation of such Borrower in every respect, enforceable in accordance with its terms.</w:t>
      </w:r>
    </w:p>
    <w:p>
      <w:pPr>
        <w:spacing w:after="0" w:line="183" w:lineRule="exact"/>
        <w:rPr>
          <w:rFonts w:ascii="Arial" w:cs="Arial" w:eastAsia="Arial" w:hAnsi="Arial"/>
          <w:sz w:val="15"/>
          <w:szCs w:val="15"/>
          <w:color w:val="auto"/>
        </w:rPr>
      </w:pPr>
    </w:p>
    <w:p>
      <w:pPr>
        <w:jc w:val="both"/>
        <w:ind w:left="-546" w:firstLine="546"/>
        <w:spacing w:after="0" w:line="260" w:lineRule="auto"/>
        <w:tabs>
          <w:tab w:leader="none" w:pos="657"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References to Credit Agreement</w:t>
      </w:r>
      <w:r>
        <w:rPr>
          <w:rFonts w:ascii="Arial" w:cs="Arial" w:eastAsia="Arial" w:hAnsi="Arial"/>
          <w:sz w:val="15"/>
          <w:szCs w:val="15"/>
          <w:color w:val="auto"/>
        </w:rPr>
        <w:t>. Each reference that is made in the Credit Agreement or any Related Writing shall hereafter be construed as a reference to the Credit Agreement as amended hereby. Except as herein otherwise specifically provided, all terms and provisions of the Credit Agreement are confirmed and ratified and shall remain in full force and effect and be unaffected hereby. This Amendment is a Related Writing.</w:t>
      </w:r>
    </w:p>
    <w:p>
      <w:pPr>
        <w:spacing w:after="0" w:line="177" w:lineRule="exact"/>
        <w:rPr>
          <w:rFonts w:ascii="Arial" w:cs="Arial" w:eastAsia="Arial" w:hAnsi="Arial"/>
          <w:sz w:val="15"/>
          <w:szCs w:val="15"/>
          <w:color w:val="auto"/>
        </w:rPr>
      </w:pPr>
    </w:p>
    <w:p>
      <w:pPr>
        <w:jc w:val="both"/>
        <w:ind w:left="-546" w:firstLine="546"/>
        <w:spacing w:after="0" w:line="260" w:lineRule="auto"/>
        <w:tabs>
          <w:tab w:leader="none" w:pos="523"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Waiver</w:t>
      </w:r>
      <w:r>
        <w:rPr>
          <w:rFonts w:ascii="Arial" w:cs="Arial" w:eastAsia="Arial" w:hAnsi="Arial"/>
          <w:sz w:val="15"/>
          <w:szCs w:val="15"/>
          <w:color w:val="auto"/>
        </w:rPr>
        <w:t>. Each Borrower, by signing below, hereby waives and releases Agent and each of the Lenders, and their respective directors, officers, employees, attorneys, affiliates and subsidiaries, from any and all claims, offsets, defenses and counterclaims of which such Borrower is aware, such waiver and release being with full knowledge and understanding of the circumstances and effect thereof and after having consulted legal counsel with respect thereto.</w:t>
      </w:r>
    </w:p>
    <w:p>
      <w:pPr>
        <w:spacing w:after="0" w:line="177" w:lineRule="exact"/>
        <w:rPr>
          <w:rFonts w:ascii="Arial" w:cs="Arial" w:eastAsia="Arial" w:hAnsi="Arial"/>
          <w:sz w:val="15"/>
          <w:szCs w:val="15"/>
          <w:color w:val="auto"/>
        </w:rPr>
      </w:pPr>
    </w:p>
    <w:p>
      <w:pPr>
        <w:ind w:left="-546" w:firstLine="546"/>
        <w:spacing w:after="0" w:line="308" w:lineRule="auto"/>
        <w:tabs>
          <w:tab w:leader="none" w:pos="512"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145" w:lineRule="exact"/>
        <w:rPr>
          <w:rFonts w:ascii="Arial" w:cs="Arial" w:eastAsia="Arial" w:hAnsi="Arial"/>
          <w:sz w:val="14"/>
          <w:szCs w:val="14"/>
          <w:color w:val="auto"/>
        </w:rPr>
      </w:pPr>
    </w:p>
    <w:p>
      <w:pPr>
        <w:ind w:left="514" w:hanging="514"/>
        <w:spacing w:after="0"/>
        <w:tabs>
          <w:tab w:leader="none" w:pos="514"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captions and arrangements used in this Amendment are for convenience only and shall not affect the interpretation of this Amendment.</w:t>
      </w:r>
    </w:p>
    <w:p>
      <w:pPr>
        <w:spacing w:after="0" w:line="219" w:lineRule="exact"/>
        <w:rPr>
          <w:rFonts w:ascii="Arial" w:cs="Arial" w:eastAsia="Arial" w:hAnsi="Arial"/>
          <w:sz w:val="14"/>
          <w:szCs w:val="14"/>
          <w:color w:val="auto"/>
        </w:rPr>
      </w:pPr>
    </w:p>
    <w:p>
      <w:pPr>
        <w:ind w:left="-546" w:right="20" w:firstLine="546"/>
        <w:spacing w:after="0" w:line="271" w:lineRule="auto"/>
        <w:tabs>
          <w:tab w:leader="none" w:pos="546"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Any term or provision of this Amendment held by a court of competent jurisdiction to be invalid or unenforceable shall not impair or invalidate the remainder of this Amendment and the effect thereof shall be confined to the term or provision so held to be invalid or unenforceable.</w:t>
      </w:r>
    </w:p>
    <w:p>
      <w:pPr>
        <w:spacing w:after="0" w:line="169" w:lineRule="exact"/>
        <w:rPr>
          <w:rFonts w:ascii="Arial" w:cs="Arial" w:eastAsia="Arial" w:hAnsi="Arial"/>
          <w:sz w:val="15"/>
          <w:szCs w:val="15"/>
          <w:color w:val="auto"/>
        </w:rPr>
      </w:pPr>
    </w:p>
    <w:p>
      <w:pPr>
        <w:ind w:left="514" w:hanging="514"/>
        <w:spacing w:after="0"/>
        <w:tabs>
          <w:tab w:leader="none" w:pos="514"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The rights and obligations of all parties hereto shall be governed by the laws of the State of Ohio, without regard to principles of conflicts of laws.</w:t>
      </w:r>
    </w:p>
    <w:p>
      <w:pPr>
        <w:spacing w:after="0" w:line="219" w:lineRule="exact"/>
        <w:rPr>
          <w:rFonts w:ascii="Arial" w:cs="Arial" w:eastAsia="Arial" w:hAnsi="Arial"/>
          <w:sz w:val="14"/>
          <w:szCs w:val="14"/>
          <w:color w:val="auto"/>
        </w:rPr>
      </w:pPr>
    </w:p>
    <w:p>
      <w:pPr>
        <w:ind w:left="4134"/>
        <w:spacing w:after="0"/>
        <w:rPr>
          <w:rFonts w:ascii="Arial" w:cs="Arial" w:eastAsia="Arial" w:hAnsi="Arial"/>
          <w:sz w:val="14"/>
          <w:szCs w:val="14"/>
          <w:color w:val="auto"/>
        </w:rPr>
      </w:pPr>
      <w:r>
        <w:rPr>
          <w:rFonts w:ascii="Arial" w:cs="Arial" w:eastAsia="Arial" w:hAnsi="Arial"/>
          <w:sz w:val="15"/>
          <w:szCs w:val="15"/>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448310</wp:posOffset>
            </wp:positionV>
            <wp:extent cx="727583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0914"/>
          </w:cols>
          <w:pgMar w:left="766" w:top="330" w:right="219" w:bottom="1440" w:gutter="0" w:footer="0" w:header="0"/>
        </w:sectPr>
      </w:pPr>
    </w:p>
    <w:bookmarkStart w:id="27" w:name="page28"/>
    <w:bookmarkEnd w:id="27"/>
    <w:p>
      <w:pPr>
        <w:jc w:val="both"/>
        <w:ind w:firstLine="537"/>
        <w:spacing w:after="0" w:line="254" w:lineRule="auto"/>
        <w:rPr>
          <w:sz w:val="20"/>
          <w:szCs w:val="20"/>
          <w:color w:val="auto"/>
        </w:rPr>
      </w:pPr>
      <w:r>
        <w:rPr>
          <w:rFonts w:ascii="Arial" w:cs="Arial" w:eastAsia="Arial" w:hAnsi="Arial"/>
          <w:sz w:val="15"/>
          <w:szCs w:val="15"/>
          <w:u w:val="single" w:color="auto"/>
          <w:color w:val="auto"/>
        </w:rPr>
        <w:t>JURY TRIAL WAIVER</w:t>
      </w:r>
      <w:r>
        <w:rPr>
          <w:rFonts w:ascii="Arial" w:cs="Arial" w:eastAsia="Arial" w:hAnsi="Arial"/>
          <w:sz w:val="15"/>
          <w:szCs w:val="15"/>
          <w:color w:val="auto"/>
        </w:rPr>
        <w:t>. BORROWERS, THE LENDERS AND AGENT, TO THE EXTENT PERMITTED BY LAW, EACH HEREBY WAIVES ANY RIGHT TO HAVE A JURY PARTICIPATE IN RESOLVING ANY DISPUTE, WHETHER SOUNDING IN CONTRACT, TORT OR OTHERWISE, AMONG BORROWERS, THE LENDERS AND AGENT, OR ANY THEREOF, ARISING OUT OF, IN CONNECTION WITH, RELATED TO, OR INCIDENTAL TO THE RELATIONSHIP ESTABLISHED AMONG THEM IN CONNECTION WITH THIS AMENDMENT OR ANY NOTE OR OTHER INSTRUMENT, DOCUMENT OR AGREEMENT EXECUTED OR DELIVERED IN CONNECTION HEREWITH OR THE TRANSACTIONS RELATED THERETO.</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have executed and delivered this Amendment as of the date first set forth above.</w:t>
      </w:r>
    </w:p>
    <w:p>
      <w:pPr>
        <w:spacing w:after="0" w:line="20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NN, INC.</w:t>
      </w:r>
    </w:p>
    <w:p>
      <w:pPr>
        <w:spacing w:after="0" w:line="20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-10160</wp:posOffset>
            </wp:positionV>
            <wp:extent cx="167449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74495"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James H. Dorton</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Vice President – Corporate Development</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and Chief Financial Officer</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-10160</wp:posOffset>
            </wp:positionV>
            <wp:extent cx="164655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6555"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William C. Kelly, Jr.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Vice President, Secretary and Chief</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Administrative Officer</w:t>
      </w:r>
    </w:p>
    <w:p>
      <w:pPr>
        <w:spacing w:after="0" w:line="39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KEYBANK NATIONAL ASSOCIATION,</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as Agent and as a Lender</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/s/ Suzannah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-10160</wp:posOffset>
            </wp:positionV>
            <wp:extent cx="161607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16075"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Suzannah Harris</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Vice President</w:t>
      </w:r>
    </w:p>
    <w:p>
      <w:pPr>
        <w:spacing w:after="0" w:line="399"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AMSOUTH BANK,</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as Swing Line Lender and as a Lender</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/s/ J. Harvey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-10160</wp:posOffset>
            </wp:positionV>
            <wp:extent cx="179514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5145" cy="6985"/>
                    </a:xfrm>
                    <a:prstGeom prst="rect">
                      <a:avLst/>
                    </a:prstGeom>
                    <a:noFill/>
                  </pic:spPr>
                </pic:pic>
              </a:graphicData>
            </a:graphic>
          </wp:anchor>
        </w:drawing>
      </w:r>
    </w:p>
    <w:p>
      <w:pPr>
        <w:ind w:left="5740"/>
        <w:spacing w:after="0"/>
        <w:tabs>
          <w:tab w:leader="none" w:pos="626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3"/>
          <w:szCs w:val="13"/>
          <w:color w:val="auto"/>
        </w:rPr>
        <w:t>J. Harvey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-15875</wp:posOffset>
            </wp:positionV>
            <wp:extent cx="172910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29105" cy="6985"/>
                    </a:xfrm>
                    <a:prstGeom prst="rect">
                      <a:avLst/>
                    </a:prstGeom>
                    <a:noFill/>
                  </pic:spPr>
                </pic:pic>
              </a:graphicData>
            </a:graphic>
          </wp:anchor>
        </w:drawing>
      </w:r>
    </w:p>
    <w:p>
      <w:pPr>
        <w:ind w:left="5740"/>
        <w:spacing w:after="0"/>
        <w:tabs>
          <w:tab w:leader="none" w:pos="6220" w:val="left"/>
        </w:tabs>
        <w:rPr>
          <w:sz w:val="20"/>
          <w:szCs w:val="20"/>
          <w:color w:val="auto"/>
        </w:rPr>
      </w:pPr>
      <w:r>
        <w:rPr>
          <w:rFonts w:ascii="Arial" w:cs="Arial" w:eastAsia="Arial" w:hAnsi="Arial"/>
          <w:sz w:val="15"/>
          <w:szCs w:val="15"/>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-15875</wp:posOffset>
            </wp:positionV>
            <wp:extent cx="170751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075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Signature Page 1 of 2 to</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7583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330" w:right="219" w:bottom="1440" w:gutter="0" w:footer="0" w:header="0"/>
        </w:sectPr>
      </w:pPr>
    </w:p>
    <w:bookmarkStart w:id="28" w:name="page29"/>
    <w:bookmarkEnd w:id="28"/>
    <w:p>
      <w:pPr>
        <w:ind w:left="4520"/>
        <w:spacing w:after="0"/>
        <w:rPr>
          <w:sz w:val="20"/>
          <w:szCs w:val="20"/>
          <w:color w:val="auto"/>
        </w:rPr>
      </w:pPr>
      <w:r>
        <w:rPr>
          <w:rFonts w:ascii="Arial" w:cs="Arial" w:eastAsia="Arial" w:hAnsi="Arial"/>
          <w:sz w:val="15"/>
          <w:szCs w:val="15"/>
          <w:color w:val="auto"/>
        </w:rPr>
        <w:t>BRANCH BANKING AND TRUST</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COMPANY, as a Lender</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/s/Mitchell W. Noble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-10160</wp:posOffset>
            </wp:positionV>
            <wp:extent cx="145542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542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Mitchell W. Noble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-15875</wp:posOffset>
            </wp:positionV>
            <wp:extent cx="138938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8938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-15875</wp:posOffset>
            </wp:positionV>
            <wp:extent cx="149352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93520" cy="6985"/>
                    </a:xfrm>
                    <a:prstGeom prst="rect">
                      <a:avLst/>
                    </a:prstGeom>
                    <a:noFill/>
                  </pic:spPr>
                </pic:pic>
              </a:graphicData>
            </a:graphic>
          </wp:anchor>
        </w:drawing>
      </w:r>
    </w:p>
    <w:p>
      <w:pPr>
        <w:spacing w:after="0" w:line="379" w:lineRule="exact"/>
        <w:rPr>
          <w:sz w:val="20"/>
          <w:szCs w:val="20"/>
          <w:color w:val="auto"/>
        </w:rPr>
      </w:pPr>
    </w:p>
    <w:p>
      <w:pPr>
        <w:jc w:val="right"/>
        <w:ind w:right="2219"/>
        <w:spacing w:after="0"/>
        <w:rPr>
          <w:sz w:val="20"/>
          <w:szCs w:val="20"/>
          <w:color w:val="auto"/>
        </w:rPr>
      </w:pPr>
      <w:r>
        <w:rPr>
          <w:rFonts w:ascii="Arial" w:cs="Arial" w:eastAsia="Arial" w:hAnsi="Arial"/>
          <w:sz w:val="15"/>
          <w:szCs w:val="15"/>
          <w:color w:val="auto"/>
        </w:rPr>
        <w:t>WELLS FARGO BANK NATIONAL</w:t>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ASSOCIATION, as a Lender</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/s/ Bryan Hulker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-10160</wp:posOffset>
            </wp:positionV>
            <wp:extent cx="152971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29715"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Name:  Bryan Hulker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-15875</wp:posOffset>
            </wp:positionV>
            <wp:extent cx="141668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6685"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-15875</wp:posOffset>
            </wp:positionV>
            <wp:extent cx="146939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9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Signature Page 2 of 2 to</w:t>
      </w:r>
    </w:p>
    <w:p>
      <w:pPr>
        <w:spacing w:after="0" w:line="29" w:lineRule="exact"/>
        <w:rPr>
          <w:sz w:val="20"/>
          <w:szCs w:val="20"/>
          <w:color w:val="auto"/>
        </w:rPr>
      </w:pPr>
    </w:p>
    <w:p>
      <w:pPr>
        <w:ind w:left="3660"/>
        <w:spacing w:after="0"/>
        <w:rPr>
          <w:sz w:val="20"/>
          <w:szCs w:val="20"/>
          <w:color w:val="auto"/>
        </w:rPr>
      </w:pPr>
      <w:r>
        <w:rPr>
          <w:rFonts w:ascii="Arial" w:cs="Arial" w:eastAsia="Arial" w:hAnsi="Arial"/>
          <w:sz w:val="15"/>
          <w:szCs w:val="15"/>
          <w:color w:val="auto"/>
        </w:rPr>
        <w:t>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64770</wp:posOffset>
            </wp:positionV>
            <wp:extent cx="727583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5"/>
          <w:szCs w:val="15"/>
          <w:color w:val="auto"/>
        </w:rPr>
        <w:t>ACKNOWLEDGMENT AND AGREEMENT</w:t>
      </w:r>
    </w:p>
    <w:p>
      <w:pPr>
        <w:spacing w:after="0" w:line="208" w:lineRule="exact"/>
        <w:rPr>
          <w:sz w:val="20"/>
          <w:szCs w:val="20"/>
          <w:color w:val="auto"/>
        </w:rPr>
      </w:pPr>
    </w:p>
    <w:p>
      <w:pPr>
        <w:jc w:val="both"/>
        <w:ind w:firstLine="537"/>
        <w:spacing w:after="0" w:line="308" w:lineRule="auto"/>
        <w:rPr>
          <w:sz w:val="20"/>
          <w:szCs w:val="20"/>
          <w:color w:val="auto"/>
        </w:rPr>
      </w:pPr>
      <w:r>
        <w:rPr>
          <w:rFonts w:ascii="Arial" w:cs="Arial" w:eastAsia="Arial" w:hAnsi="Arial"/>
          <w:sz w:val="14"/>
          <w:szCs w:val="14"/>
          <w:color w:val="auto"/>
        </w:rPr>
        <w:t>The undersigned consent and agree to and acknowledge the terms of the foregoing Third Amendment Agreement dated as of July 31, 2007. The undersigned further agree that the obligations of the undersigned pursuant to the Guaranty of Payment executed by the undersigned shall remain in full force and effect and be unaffected hereby.</w:t>
      </w:r>
    </w:p>
    <w:p>
      <w:pPr>
        <w:spacing w:after="0" w:line="146" w:lineRule="exact"/>
        <w:rPr>
          <w:sz w:val="20"/>
          <w:szCs w:val="20"/>
          <w:color w:val="auto"/>
        </w:rPr>
      </w:pPr>
    </w:p>
    <w:p>
      <w:pPr>
        <w:jc w:val="both"/>
        <w:ind w:firstLine="537"/>
        <w:spacing w:after="0" w:line="260" w:lineRule="auto"/>
        <w:rPr>
          <w:sz w:val="20"/>
          <w:szCs w:val="20"/>
          <w:color w:val="auto"/>
        </w:rPr>
      </w:pPr>
      <w:r>
        <w:rPr>
          <w:rFonts w:ascii="Arial" w:cs="Arial" w:eastAsia="Arial" w:hAnsi="Arial"/>
          <w:sz w:val="15"/>
          <w:szCs w:val="15"/>
          <w:color w:val="auto"/>
        </w:rPr>
        <w:t>The undersigned hereby waive and release Agent and the Lenders and their respective directors, officers, employees, attorneys, affiliates and subsidiaries from any and all claims, offsets, defenses and counterclaims of which the undersigned are aware, such waiver and release being with full knowledge and understanding of the circumstances and effect thereof and after having consulted legal counsel with respect thereto.</w:t>
      </w:r>
    </w:p>
    <w:p>
      <w:pPr>
        <w:spacing w:after="0" w:line="177" w:lineRule="exact"/>
        <w:rPr>
          <w:sz w:val="20"/>
          <w:szCs w:val="20"/>
          <w:color w:val="auto"/>
        </w:rPr>
      </w:pPr>
    </w:p>
    <w:p>
      <w:pPr>
        <w:jc w:val="both"/>
        <w:ind w:firstLine="537"/>
        <w:spacing w:after="0" w:line="254" w:lineRule="auto"/>
        <w:rPr>
          <w:sz w:val="20"/>
          <w:szCs w:val="20"/>
          <w:color w:val="auto"/>
        </w:rPr>
      </w:pPr>
      <w:r>
        <w:rPr>
          <w:rFonts w:ascii="Arial" w:cs="Arial" w:eastAsia="Arial" w:hAnsi="Arial"/>
          <w:sz w:val="15"/>
          <w:szCs w:val="15"/>
          <w:u w:val="single" w:color="auto"/>
          <w:color w:val="auto"/>
        </w:rPr>
        <w:t>JURY TRIAL WAIVER</w:t>
      </w:r>
      <w:r>
        <w:rPr>
          <w:rFonts w:ascii="Arial" w:cs="Arial" w:eastAsia="Arial" w:hAnsi="Arial"/>
          <w:sz w:val="15"/>
          <w:szCs w:val="15"/>
          <w:color w:val="auto"/>
        </w:rPr>
        <w:t>. THE UNDERSIGNED, TO THE EXTENT PERMITTED BY LAW, HEREBY WAIVE ANY RIGHT TO HAVE A JURY PARTICIPATE IN RESOLVING ANY DISPUTE, WHETHER SOUNDING IN CONTRACT, TORT OR OTHERWISE, AMONG BORROWERS, AGENT, THE LENDERS AND THE UNDERSIGNED, OR ANY THEREOF, ARISING OUT OF, IN CONNECTION WITH, RELATED TO, OR INCIDENTAL TO THE RELATIONSHIP ESTABLISHED AMONG THEM IN CONNECTION WITH THIS AMENDMENT OR ANY NOTE OR OTHER INSTRUMENT, DOCUMENT OR AGREEMENT EXECUTED OR DELIVERED IN CONNECTION HEREWITH OR THE TRANSACTIONS RELATED THERETO.</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gridSpan w:val="6"/>
          </w:tcPr>
          <w:p>
            <w:pPr>
              <w:spacing w:after="0"/>
              <w:rPr>
                <w:sz w:val="20"/>
                <w:szCs w:val="20"/>
                <w:color w:val="auto"/>
              </w:rPr>
            </w:pPr>
            <w:r>
              <w:rPr>
                <w:rFonts w:ascii="Arial" w:cs="Arial" w:eastAsia="Arial" w:hAnsi="Arial"/>
                <w:sz w:val="15"/>
                <w:szCs w:val="15"/>
                <w:color w:val="auto"/>
              </w:rPr>
              <w:t>THE DELTA RUBBER COMPANY</w:t>
            </w:r>
          </w:p>
        </w:tc>
        <w:tc>
          <w:tcPr>
            <w:tcW w:w="40" w:type="dxa"/>
            <w:vAlign w:val="bottom"/>
          </w:tcPr>
          <w:p>
            <w:pPr>
              <w:spacing w:after="0"/>
              <w:rPr>
                <w:sz w:val="16"/>
                <w:szCs w:val="16"/>
                <w:color w:val="auto"/>
              </w:rPr>
            </w:pPr>
          </w:p>
        </w:tc>
        <w:tc>
          <w:tcPr>
            <w:tcW w:w="5980" w:type="dxa"/>
            <w:vAlign w:val="bottom"/>
            <w:gridSpan w:val="7"/>
          </w:tcPr>
          <w:p>
            <w:pPr>
              <w:ind w:left="3260"/>
              <w:spacing w:after="0"/>
              <w:rPr>
                <w:sz w:val="20"/>
                <w:szCs w:val="20"/>
                <w:color w:val="auto"/>
              </w:rPr>
            </w:pPr>
            <w:r>
              <w:rPr>
                <w:rFonts w:ascii="Arial" w:cs="Arial" w:eastAsia="Arial" w:hAnsi="Arial"/>
                <w:sz w:val="15"/>
                <w:szCs w:val="15"/>
                <w:color w:val="auto"/>
              </w:rPr>
              <w:t>TRIUMPH LLC</w:t>
            </w:r>
          </w:p>
        </w:tc>
      </w:tr>
      <w:tr>
        <w:trPr>
          <w:trHeight w:val="347"/>
        </w:trPr>
        <w:tc>
          <w:tcPr>
            <w:tcW w:w="2560" w:type="dxa"/>
            <w:vAlign w:val="bottom"/>
            <w:gridSpan w:val="6"/>
          </w:tcPr>
          <w:p>
            <w:pPr>
              <w:spacing w:after="0"/>
              <w:rPr>
                <w:sz w:val="20"/>
                <w:szCs w:val="20"/>
                <w:color w:val="auto"/>
              </w:rPr>
            </w:pPr>
            <w:r>
              <w:rPr>
                <w:rFonts w:ascii="Arial" w:cs="Arial" w:eastAsia="Arial" w:hAnsi="Arial"/>
                <w:sz w:val="15"/>
                <w:szCs w:val="15"/>
                <w:color w:val="auto"/>
              </w:rPr>
              <w:t>By: /s/ William C. Kelly, Jr.</w:t>
            </w:r>
          </w:p>
        </w:tc>
        <w:tc>
          <w:tcPr>
            <w:tcW w:w="40" w:type="dxa"/>
            <w:vAlign w:val="bottom"/>
          </w:tcPr>
          <w:p>
            <w:pPr>
              <w:spacing w:after="0"/>
              <w:rPr>
                <w:sz w:val="24"/>
                <w:szCs w:val="24"/>
                <w:color w:val="auto"/>
              </w:rPr>
            </w:pPr>
          </w:p>
        </w:tc>
        <w:tc>
          <w:tcPr>
            <w:tcW w:w="3740" w:type="dxa"/>
            <w:vAlign w:val="bottom"/>
            <w:gridSpan w:val="2"/>
          </w:tcPr>
          <w:p>
            <w:pPr>
              <w:ind w:left="3260"/>
              <w:spacing w:after="0"/>
              <w:rPr>
                <w:sz w:val="20"/>
                <w:szCs w:val="20"/>
                <w:color w:val="auto"/>
              </w:rPr>
            </w:pPr>
            <w:r>
              <w:rPr>
                <w:rFonts w:ascii="Arial" w:cs="Arial" w:eastAsia="Arial" w:hAnsi="Arial"/>
                <w:sz w:val="15"/>
                <w:szCs w:val="15"/>
                <w:color w:val="auto"/>
              </w:rPr>
              <w:t>By:</w:t>
            </w:r>
          </w:p>
        </w:tc>
        <w:tc>
          <w:tcPr>
            <w:tcW w:w="2240" w:type="dxa"/>
            <w:vAlign w:val="bottom"/>
            <w:gridSpan w:val="5"/>
          </w:tcPr>
          <w:p>
            <w:pPr>
              <w:jc w:val="center"/>
              <w:ind w:right="1020"/>
              <w:spacing w:after="0"/>
              <w:rPr>
                <w:sz w:val="20"/>
                <w:szCs w:val="20"/>
                <w:color w:val="auto"/>
              </w:rPr>
            </w:pPr>
            <w:r>
              <w:rPr>
                <w:rFonts w:ascii="Arial" w:cs="Arial" w:eastAsia="Arial" w:hAnsi="Arial"/>
                <w:sz w:val="15"/>
                <w:szCs w:val="15"/>
                <w:color w:val="auto"/>
                <w:w w:val="84"/>
              </w:rPr>
              <w:t>/s/ Howard Feldenkris</w:t>
            </w:r>
          </w:p>
        </w:tc>
      </w:tr>
      <w:tr>
        <w:trPr>
          <w:trHeight w:val="20"/>
        </w:trPr>
        <w:tc>
          <w:tcPr>
            <w:tcW w:w="30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9"/>
        </w:trPr>
        <w:tc>
          <w:tcPr>
            <w:tcW w:w="2560" w:type="dxa"/>
            <w:vAlign w:val="bottom"/>
            <w:gridSpan w:val="6"/>
          </w:tcPr>
          <w:p>
            <w:pPr>
              <w:spacing w:after="0" w:line="159" w:lineRule="exact"/>
              <w:rPr>
                <w:sz w:val="20"/>
                <w:szCs w:val="20"/>
                <w:color w:val="auto"/>
              </w:rPr>
            </w:pPr>
            <w:r>
              <w:rPr>
                <w:rFonts w:ascii="Arial" w:cs="Arial" w:eastAsia="Arial" w:hAnsi="Arial"/>
                <w:sz w:val="15"/>
                <w:szCs w:val="15"/>
                <w:color w:val="auto"/>
              </w:rPr>
              <w:t>Name:  William C. Kelly, Jr.</w:t>
            </w:r>
          </w:p>
        </w:tc>
        <w:tc>
          <w:tcPr>
            <w:tcW w:w="40" w:type="dxa"/>
            <w:vAlign w:val="bottom"/>
          </w:tcPr>
          <w:p>
            <w:pPr>
              <w:spacing w:after="0"/>
              <w:rPr>
                <w:sz w:val="13"/>
                <w:szCs w:val="13"/>
                <w:color w:val="auto"/>
              </w:rPr>
            </w:pPr>
          </w:p>
        </w:tc>
        <w:tc>
          <w:tcPr>
            <w:tcW w:w="5980" w:type="dxa"/>
            <w:vAlign w:val="bottom"/>
            <w:gridSpan w:val="7"/>
          </w:tcPr>
          <w:p>
            <w:pPr>
              <w:ind w:left="3260"/>
              <w:spacing w:after="0" w:line="159" w:lineRule="exact"/>
              <w:rPr>
                <w:sz w:val="20"/>
                <w:szCs w:val="20"/>
                <w:color w:val="auto"/>
              </w:rPr>
            </w:pPr>
            <w:r>
              <w:rPr>
                <w:rFonts w:ascii="Arial" w:cs="Arial" w:eastAsia="Arial" w:hAnsi="Arial"/>
                <w:sz w:val="15"/>
                <w:szCs w:val="15"/>
                <w:color w:val="auto"/>
              </w:rPr>
              <w:t>Name:  Howard Feldenkris</w:t>
            </w: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9"/>
        </w:trPr>
        <w:tc>
          <w:tcPr>
            <w:tcW w:w="340" w:type="dxa"/>
            <w:vAlign w:val="bottom"/>
            <w:gridSpan w:val="2"/>
          </w:tcPr>
          <w:p>
            <w:pPr>
              <w:spacing w:after="0" w:line="159" w:lineRule="exact"/>
              <w:rPr>
                <w:sz w:val="20"/>
                <w:szCs w:val="20"/>
                <w:color w:val="auto"/>
              </w:rPr>
            </w:pPr>
            <w:r>
              <w:rPr>
                <w:rFonts w:ascii="Arial" w:cs="Arial" w:eastAsia="Arial" w:hAnsi="Arial"/>
                <w:sz w:val="15"/>
                <w:szCs w:val="15"/>
                <w:color w:val="auto"/>
                <w:w w:val="98"/>
              </w:rPr>
              <w:t>Title: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tcBorders>
              <w:bottom w:val="single" w:sz="8" w:color="auto"/>
            </w:tcBorders>
            <w:gridSpan w:val="2"/>
          </w:tcPr>
          <w:p>
            <w:pPr>
              <w:ind w:left="40"/>
              <w:spacing w:after="0" w:line="159" w:lineRule="exact"/>
              <w:rPr>
                <w:sz w:val="20"/>
                <w:szCs w:val="20"/>
                <w:color w:val="auto"/>
              </w:rPr>
            </w:pPr>
            <w:r>
              <w:rPr>
                <w:rFonts w:ascii="Arial" w:cs="Arial" w:eastAsia="Arial" w:hAnsi="Arial"/>
                <w:sz w:val="15"/>
                <w:szCs w:val="15"/>
                <w:color w:val="auto"/>
              </w:rPr>
              <w:t>Officer/Director</w:t>
            </w:r>
          </w:p>
        </w:tc>
        <w:tc>
          <w:tcPr>
            <w:tcW w:w="40" w:type="dxa"/>
            <w:vAlign w:val="bottom"/>
            <w:tcBorders>
              <w:bottom w:val="single" w:sz="8" w:color="auto"/>
            </w:tcBorders>
          </w:tcPr>
          <w:p>
            <w:pPr>
              <w:spacing w:after="0"/>
              <w:rPr>
                <w:sz w:val="13"/>
                <w:szCs w:val="13"/>
                <w:color w:val="auto"/>
              </w:rPr>
            </w:pPr>
          </w:p>
        </w:tc>
        <w:tc>
          <w:tcPr>
            <w:tcW w:w="3740" w:type="dxa"/>
            <w:vAlign w:val="bottom"/>
            <w:gridSpan w:val="2"/>
          </w:tcPr>
          <w:p>
            <w:pPr>
              <w:ind w:left="3260"/>
              <w:spacing w:after="0" w:line="159" w:lineRule="exact"/>
              <w:rPr>
                <w:sz w:val="20"/>
                <w:szCs w:val="20"/>
                <w:color w:val="auto"/>
              </w:rPr>
            </w:pPr>
            <w:r>
              <w:rPr>
                <w:rFonts w:ascii="Arial" w:cs="Arial" w:eastAsia="Arial" w:hAnsi="Arial"/>
                <w:sz w:val="15"/>
                <w:szCs w:val="15"/>
                <w:color w:val="auto"/>
              </w:rPr>
              <w:t>Title:</w:t>
            </w:r>
          </w:p>
        </w:tc>
        <w:tc>
          <w:tcPr>
            <w:tcW w:w="202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5"/>
                <w:szCs w:val="15"/>
                <w:color w:val="auto"/>
              </w:rPr>
              <w:t>Chief Financial Officer</w:t>
            </w:r>
          </w:p>
        </w:tc>
        <w:tc>
          <w:tcPr>
            <w:tcW w:w="220" w:type="dxa"/>
            <w:vAlign w:val="bottom"/>
            <w:gridSpan w:val="3"/>
          </w:tcPr>
          <w:p>
            <w:pPr>
              <w:spacing w:after="0"/>
              <w:rPr>
                <w:sz w:val="13"/>
                <w:szCs w:val="13"/>
                <w:color w:val="auto"/>
              </w:rPr>
            </w:pPr>
          </w:p>
        </w:tc>
      </w:tr>
      <w:tr>
        <w:trPr>
          <w:trHeight w:val="393"/>
        </w:trPr>
        <w:tc>
          <w:tcPr>
            <w:tcW w:w="2560" w:type="dxa"/>
            <w:vAlign w:val="bottom"/>
            <w:gridSpan w:val="6"/>
          </w:tcPr>
          <w:p>
            <w:pPr>
              <w:spacing w:after="0"/>
              <w:rPr>
                <w:sz w:val="20"/>
                <w:szCs w:val="20"/>
                <w:color w:val="auto"/>
              </w:rPr>
            </w:pPr>
            <w:r>
              <w:rPr>
                <w:rFonts w:ascii="Arial" w:cs="Arial" w:eastAsia="Arial" w:hAnsi="Arial"/>
                <w:sz w:val="15"/>
                <w:szCs w:val="15"/>
                <w:color w:val="auto"/>
              </w:rPr>
              <w:t>WHIRLAWAY CORPORATION</w:t>
            </w:r>
          </w:p>
        </w:tc>
        <w:tc>
          <w:tcPr>
            <w:tcW w:w="40" w:type="dxa"/>
            <w:vAlign w:val="bottom"/>
          </w:tcPr>
          <w:p>
            <w:pPr>
              <w:spacing w:after="0"/>
              <w:rPr>
                <w:sz w:val="24"/>
                <w:szCs w:val="24"/>
                <w:color w:val="auto"/>
              </w:rPr>
            </w:pPr>
          </w:p>
        </w:tc>
        <w:tc>
          <w:tcPr>
            <w:tcW w:w="5980" w:type="dxa"/>
            <w:vAlign w:val="bottom"/>
            <w:gridSpan w:val="7"/>
          </w:tcPr>
          <w:p>
            <w:pPr>
              <w:ind w:left="3260"/>
              <w:spacing w:after="0"/>
              <w:rPr>
                <w:sz w:val="20"/>
                <w:szCs w:val="20"/>
                <w:color w:val="auto"/>
              </w:rPr>
            </w:pPr>
            <w:r>
              <w:rPr>
                <w:rFonts w:ascii="Arial" w:cs="Arial" w:eastAsia="Arial" w:hAnsi="Arial"/>
                <w:sz w:val="15"/>
                <w:szCs w:val="15"/>
                <w:color w:val="auto"/>
                <w:w w:val="96"/>
              </w:rPr>
              <w:t>INDUSTRIAL MOLDING CORPORATION</w:t>
            </w:r>
          </w:p>
        </w:tc>
      </w:tr>
      <w:tr>
        <w:trPr>
          <w:trHeight w:val="347"/>
        </w:trPr>
        <w:tc>
          <w:tcPr>
            <w:tcW w:w="340" w:type="dxa"/>
            <w:vAlign w:val="bottom"/>
            <w:gridSpan w:val="2"/>
          </w:tcPr>
          <w:p>
            <w:pPr>
              <w:spacing w:after="0"/>
              <w:rPr>
                <w:sz w:val="20"/>
                <w:szCs w:val="20"/>
                <w:color w:val="auto"/>
              </w:rPr>
            </w:pPr>
            <w:r>
              <w:rPr>
                <w:rFonts w:ascii="Arial" w:cs="Arial" w:eastAsia="Arial" w:hAnsi="Arial"/>
                <w:sz w:val="15"/>
                <w:szCs w:val="15"/>
                <w:color w:val="auto"/>
              </w:rPr>
              <w:t>By:</w:t>
            </w:r>
          </w:p>
        </w:tc>
        <w:tc>
          <w:tcPr>
            <w:tcW w:w="20" w:type="dxa"/>
            <w:vAlign w:val="bottom"/>
          </w:tcPr>
          <w:p>
            <w:pPr>
              <w:spacing w:after="0"/>
              <w:rPr>
                <w:sz w:val="24"/>
                <w:szCs w:val="24"/>
                <w:color w:val="auto"/>
              </w:rPr>
            </w:pPr>
          </w:p>
        </w:tc>
        <w:tc>
          <w:tcPr>
            <w:tcW w:w="2200" w:type="dxa"/>
            <w:vAlign w:val="bottom"/>
            <w:gridSpan w:val="3"/>
          </w:tcPr>
          <w:p>
            <w:pPr>
              <w:ind w:left="20"/>
              <w:spacing w:after="0"/>
              <w:rPr>
                <w:sz w:val="20"/>
                <w:szCs w:val="20"/>
                <w:color w:val="auto"/>
              </w:rPr>
            </w:pPr>
            <w:r>
              <w:rPr>
                <w:rFonts w:ascii="Arial" w:cs="Arial" w:eastAsia="Arial" w:hAnsi="Arial"/>
                <w:sz w:val="15"/>
                <w:szCs w:val="15"/>
                <w:color w:val="auto"/>
              </w:rPr>
              <w:t>/s/ Howard Feldenkris</w:t>
            </w:r>
          </w:p>
        </w:tc>
        <w:tc>
          <w:tcPr>
            <w:tcW w:w="40" w:type="dxa"/>
            <w:vAlign w:val="bottom"/>
          </w:tcPr>
          <w:p>
            <w:pPr>
              <w:spacing w:after="0"/>
              <w:rPr>
                <w:sz w:val="24"/>
                <w:szCs w:val="24"/>
                <w:color w:val="auto"/>
              </w:rPr>
            </w:pPr>
          </w:p>
        </w:tc>
        <w:tc>
          <w:tcPr>
            <w:tcW w:w="3560" w:type="dxa"/>
            <w:vAlign w:val="bottom"/>
          </w:tcPr>
          <w:p>
            <w:pPr>
              <w:ind w:left="3260"/>
              <w:spacing w:after="0"/>
              <w:rPr>
                <w:sz w:val="20"/>
                <w:szCs w:val="20"/>
                <w:color w:val="auto"/>
              </w:rPr>
            </w:pPr>
            <w:r>
              <w:rPr>
                <w:rFonts w:ascii="Arial" w:cs="Arial" w:eastAsia="Arial" w:hAnsi="Arial"/>
                <w:sz w:val="15"/>
                <w:szCs w:val="15"/>
                <w:color w:val="auto"/>
              </w:rPr>
              <w:t>By:</w:t>
            </w: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right="820"/>
              <w:spacing w:after="0"/>
              <w:rPr>
                <w:sz w:val="20"/>
                <w:szCs w:val="20"/>
                <w:color w:val="auto"/>
              </w:rPr>
            </w:pPr>
            <w:r>
              <w:rPr>
                <w:rFonts w:ascii="Arial" w:cs="Arial" w:eastAsia="Arial" w:hAnsi="Arial"/>
                <w:sz w:val="15"/>
                <w:szCs w:val="15"/>
                <w:color w:val="auto"/>
                <w:w w:val="84"/>
              </w:rPr>
              <w:t>/s/ William C. Kelly, Jr.</w:t>
            </w:r>
          </w:p>
        </w:tc>
        <w:tc>
          <w:tcPr>
            <w:tcW w:w="160" w:type="dxa"/>
            <w:vAlign w:val="bottom"/>
            <w:gridSpan w:val="2"/>
          </w:tcPr>
          <w:p>
            <w:pPr>
              <w:spacing w:after="0"/>
              <w:rPr>
                <w:sz w:val="24"/>
                <w:szCs w:val="24"/>
                <w:color w:val="auto"/>
              </w:rPr>
            </w:pPr>
          </w:p>
        </w:tc>
      </w:tr>
      <w:tr>
        <w:trPr>
          <w:trHeight w:val="159"/>
        </w:trPr>
        <w:tc>
          <w:tcPr>
            <w:tcW w:w="2560" w:type="dxa"/>
            <w:vAlign w:val="bottom"/>
            <w:gridSpan w:val="6"/>
          </w:tcPr>
          <w:p>
            <w:pPr>
              <w:spacing w:after="0" w:line="159" w:lineRule="exact"/>
              <w:rPr>
                <w:sz w:val="20"/>
                <w:szCs w:val="20"/>
                <w:color w:val="auto"/>
              </w:rPr>
            </w:pPr>
            <w:r>
              <w:rPr>
                <w:rFonts w:ascii="Arial" w:cs="Arial" w:eastAsia="Arial" w:hAnsi="Arial"/>
                <w:sz w:val="15"/>
                <w:szCs w:val="15"/>
                <w:color w:val="auto"/>
              </w:rPr>
              <w:t>Name: Howard Feldenkris</w:t>
            </w:r>
          </w:p>
        </w:tc>
        <w:tc>
          <w:tcPr>
            <w:tcW w:w="40" w:type="dxa"/>
            <w:vAlign w:val="bottom"/>
          </w:tcPr>
          <w:p>
            <w:pPr>
              <w:spacing w:after="0"/>
              <w:rPr>
                <w:sz w:val="13"/>
                <w:szCs w:val="13"/>
                <w:color w:val="auto"/>
              </w:rPr>
            </w:pPr>
          </w:p>
        </w:tc>
        <w:tc>
          <w:tcPr>
            <w:tcW w:w="5980" w:type="dxa"/>
            <w:vAlign w:val="bottom"/>
            <w:gridSpan w:val="7"/>
          </w:tcPr>
          <w:p>
            <w:pPr>
              <w:ind w:left="3260"/>
              <w:spacing w:after="0" w:line="159" w:lineRule="exact"/>
              <w:rPr>
                <w:sz w:val="20"/>
                <w:szCs w:val="20"/>
                <w:color w:val="auto"/>
              </w:rPr>
            </w:pPr>
            <w:r>
              <w:rPr>
                <w:rFonts w:ascii="Arial" w:cs="Arial" w:eastAsia="Arial" w:hAnsi="Arial"/>
                <w:sz w:val="15"/>
                <w:szCs w:val="15"/>
                <w:color w:val="auto"/>
              </w:rPr>
              <w:t>Name: William C. Kelly, Jr.</w:t>
            </w:r>
          </w:p>
        </w:tc>
      </w:tr>
      <w:tr>
        <w:trPr>
          <w:trHeight w:val="20"/>
        </w:trPr>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8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9"/>
        </w:trPr>
        <w:tc>
          <w:tcPr>
            <w:tcW w:w="340" w:type="dxa"/>
            <w:vAlign w:val="bottom"/>
            <w:gridSpan w:val="2"/>
          </w:tcPr>
          <w:p>
            <w:pPr>
              <w:spacing w:after="0" w:line="159" w:lineRule="exact"/>
              <w:rPr>
                <w:sz w:val="20"/>
                <w:szCs w:val="20"/>
                <w:color w:val="auto"/>
              </w:rPr>
            </w:pPr>
            <w:r>
              <w:rPr>
                <w:rFonts w:ascii="Arial" w:cs="Arial" w:eastAsia="Arial" w:hAnsi="Arial"/>
                <w:sz w:val="15"/>
                <w:szCs w:val="15"/>
                <w:color w:val="auto"/>
                <w:w w:val="98"/>
              </w:rPr>
              <w:t>Title:</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ind w:left="40"/>
              <w:spacing w:after="0" w:line="159" w:lineRule="exact"/>
              <w:rPr>
                <w:sz w:val="20"/>
                <w:szCs w:val="20"/>
                <w:color w:val="auto"/>
              </w:rPr>
            </w:pPr>
            <w:r>
              <w:rPr>
                <w:rFonts w:ascii="Arial" w:cs="Arial" w:eastAsia="Arial" w:hAnsi="Arial"/>
                <w:sz w:val="15"/>
                <w:szCs w:val="15"/>
                <w:color w:val="auto"/>
              </w:rPr>
              <w:t>Chief Financial Officer</w:t>
            </w:r>
          </w:p>
        </w:tc>
        <w:tc>
          <w:tcPr>
            <w:tcW w:w="40" w:type="dxa"/>
            <w:vAlign w:val="bottom"/>
            <w:tcBorders>
              <w:bottom w:val="single" w:sz="8" w:color="auto"/>
            </w:tcBorders>
          </w:tcPr>
          <w:p>
            <w:pPr>
              <w:spacing w:after="0"/>
              <w:rPr>
                <w:sz w:val="13"/>
                <w:szCs w:val="13"/>
                <w:color w:val="auto"/>
              </w:rPr>
            </w:pPr>
          </w:p>
        </w:tc>
        <w:tc>
          <w:tcPr>
            <w:tcW w:w="3740" w:type="dxa"/>
            <w:vAlign w:val="bottom"/>
            <w:gridSpan w:val="2"/>
          </w:tcPr>
          <w:p>
            <w:pPr>
              <w:ind w:left="3260"/>
              <w:spacing w:after="0" w:line="159" w:lineRule="exact"/>
              <w:rPr>
                <w:sz w:val="20"/>
                <w:szCs w:val="20"/>
                <w:color w:val="auto"/>
              </w:rPr>
            </w:pPr>
            <w:r>
              <w:rPr>
                <w:rFonts w:ascii="Arial" w:cs="Arial" w:eastAsia="Arial" w:hAnsi="Arial"/>
                <w:sz w:val="15"/>
                <w:szCs w:val="15"/>
                <w:color w:val="auto"/>
              </w:rPr>
              <w:t>Title:</w:t>
            </w:r>
          </w:p>
        </w:tc>
        <w:tc>
          <w:tcPr>
            <w:tcW w:w="2100" w:type="dxa"/>
            <w:vAlign w:val="bottom"/>
            <w:tcBorders>
              <w:bottom w:val="single" w:sz="8" w:color="auto"/>
            </w:tcBorders>
            <w:gridSpan w:val="4"/>
          </w:tcPr>
          <w:p>
            <w:pPr>
              <w:spacing w:after="0" w:line="159" w:lineRule="exact"/>
              <w:rPr>
                <w:sz w:val="20"/>
                <w:szCs w:val="20"/>
                <w:color w:val="auto"/>
              </w:rPr>
            </w:pPr>
            <w:r>
              <w:rPr>
                <w:rFonts w:ascii="Arial" w:cs="Arial" w:eastAsia="Arial" w:hAnsi="Arial"/>
                <w:sz w:val="15"/>
                <w:szCs w:val="15"/>
                <w:color w:val="auto"/>
              </w:rPr>
              <w:t>Officer</w:t>
            </w:r>
          </w:p>
        </w:tc>
        <w:tc>
          <w:tcPr>
            <w:tcW w:w="14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Signature Page to</w:t>
      </w:r>
    </w:p>
    <w:p>
      <w:pPr>
        <w:spacing w:after="0" w:line="29" w:lineRule="exact"/>
        <w:rPr>
          <w:sz w:val="20"/>
          <w:szCs w:val="20"/>
          <w:color w:val="auto"/>
        </w:rPr>
      </w:pPr>
    </w:p>
    <w:p>
      <w:pPr>
        <w:ind w:left="4780"/>
        <w:spacing w:after="0"/>
        <w:rPr>
          <w:sz w:val="20"/>
          <w:szCs w:val="20"/>
          <w:color w:val="auto"/>
        </w:rPr>
      </w:pPr>
      <w:r>
        <w:rPr>
          <w:rFonts w:ascii="Arial" w:cs="Arial" w:eastAsia="Arial" w:hAnsi="Arial"/>
          <w:sz w:val="15"/>
          <w:szCs w:val="15"/>
          <w:color w:val="auto"/>
        </w:rPr>
        <w:t>Acknowledgment and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7583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330" w:right="21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5"/>
          <w:szCs w:val="15"/>
          <w:b w:val="1"/>
          <w:bCs w:val="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SECTION 302 OF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 Roderick R. Baty, certify that:</w:t>
      </w:r>
    </w:p>
    <w:p>
      <w:pPr>
        <w:spacing w:after="0" w:line="230" w:lineRule="exact"/>
        <w:rPr>
          <w:sz w:val="20"/>
          <w:szCs w:val="20"/>
          <w:color w:val="auto"/>
        </w:rPr>
      </w:pPr>
    </w:p>
    <w:p>
      <w:pPr>
        <w:ind w:left="1020" w:hanging="474"/>
        <w:spacing w:after="0"/>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NN, Inc.;</w:t>
      </w:r>
    </w:p>
    <w:p>
      <w:pPr>
        <w:spacing w:after="0" w:line="230" w:lineRule="exact"/>
        <w:rPr>
          <w:rFonts w:ascii="Arial" w:cs="Arial" w:eastAsia="Arial" w:hAnsi="Arial"/>
          <w:sz w:val="15"/>
          <w:szCs w:val="15"/>
          <w:color w:val="auto"/>
        </w:rPr>
      </w:pPr>
    </w:p>
    <w:p>
      <w:pPr>
        <w:ind w:right="80" w:firstLine="546"/>
        <w:spacing w:after="0" w:line="271" w:lineRule="auto"/>
        <w:tabs>
          <w:tab w:leader="none" w:pos="100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5"/>
          <w:szCs w:val="15"/>
          <w:color w:val="auto"/>
        </w:rPr>
      </w:pPr>
    </w:p>
    <w:p>
      <w:pPr>
        <w:ind w:right="120" w:firstLine="546"/>
        <w:spacing w:after="0" w:line="271" w:lineRule="auto"/>
        <w:tabs>
          <w:tab w:leader="none" w:pos="100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5"/>
          <w:szCs w:val="15"/>
          <w:color w:val="auto"/>
        </w:rPr>
      </w:pPr>
    </w:p>
    <w:p>
      <w:pPr>
        <w:ind w:right="60" w:firstLine="546"/>
        <w:spacing w:after="0" w:line="271" w:lineRule="auto"/>
        <w:tabs>
          <w:tab w:leader="none" w:pos="1006"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5"/>
          <w:szCs w:val="15"/>
          <w:color w:val="auto"/>
        </w:rPr>
      </w:pPr>
    </w:p>
    <w:p>
      <w:pPr>
        <w:jc w:val="both"/>
        <w:ind w:left="1620" w:hanging="240"/>
        <w:spacing w:after="0" w:line="260" w:lineRule="auto"/>
        <w:tabs>
          <w:tab w:leader="none" w:pos="1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1620" w:hanging="249"/>
        <w:spacing w:after="0" w:line="260" w:lineRule="auto"/>
        <w:tabs>
          <w:tab w:leader="none" w:pos="1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620" w:right="20" w:hanging="240"/>
        <w:spacing w:after="0" w:line="271" w:lineRule="auto"/>
        <w:tabs>
          <w:tab w:leader="none" w:pos="1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620" w:hanging="249"/>
        <w:spacing w:after="0" w:line="260" w:lineRule="auto"/>
        <w:tabs>
          <w:tab w:leader="none" w:pos="1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9" w:lineRule="exact"/>
        <w:rPr>
          <w:rFonts w:ascii="Arial" w:cs="Arial" w:eastAsia="Arial" w:hAnsi="Arial"/>
          <w:sz w:val="15"/>
          <w:szCs w:val="15"/>
          <w:color w:val="auto"/>
        </w:rPr>
      </w:pPr>
    </w:p>
    <w:p>
      <w:pPr>
        <w:ind w:right="220" w:firstLine="546"/>
        <w:spacing w:after="0" w:line="271" w:lineRule="auto"/>
        <w:tabs>
          <w:tab w:leader="none" w:pos="1006"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1620" w:hanging="240"/>
        <w:spacing w:after="0" w:line="271" w:lineRule="auto"/>
        <w:tabs>
          <w:tab w:leader="none" w:pos="1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620" w:hanging="249"/>
        <w:spacing w:after="0" w:line="271" w:lineRule="auto"/>
        <w:tabs>
          <w:tab w:leader="none" w:pos="1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20"/>
                <w:szCs w:val="20"/>
                <w:color w:val="auto"/>
              </w:rPr>
            </w:pPr>
            <w:r>
              <w:rPr>
                <w:rFonts w:ascii="Arial" w:cs="Arial" w:eastAsia="Arial" w:hAnsi="Arial"/>
                <w:sz w:val="15"/>
                <w:szCs w:val="15"/>
                <w:color w:val="auto"/>
              </w:rPr>
              <w:t>Date:</w:t>
            </w:r>
          </w:p>
        </w:tc>
        <w:tc>
          <w:tcPr>
            <w:tcW w:w="6480" w:type="dxa"/>
            <w:vAlign w:val="bottom"/>
            <w:gridSpan w:val="4"/>
          </w:tcPr>
          <w:p>
            <w:pPr>
              <w:jc w:val="right"/>
              <w:ind w:right="5320"/>
              <w:spacing w:after="0"/>
              <w:rPr>
                <w:sz w:val="20"/>
                <w:szCs w:val="20"/>
                <w:color w:val="auto"/>
              </w:rPr>
            </w:pPr>
            <w:r>
              <w:rPr>
                <w:rFonts w:ascii="Arial" w:cs="Arial" w:eastAsia="Arial" w:hAnsi="Arial"/>
                <w:sz w:val="15"/>
                <w:szCs w:val="15"/>
                <w:color w:val="auto"/>
              </w:rPr>
              <w:t>August 8, 2007</w:t>
            </w:r>
          </w:p>
        </w:tc>
        <w:tc>
          <w:tcPr>
            <w:tcW w:w="3500" w:type="dxa"/>
            <w:vAlign w:val="bottom"/>
          </w:tcPr>
          <w:p>
            <w:pPr>
              <w:ind w:left="1880"/>
              <w:spacing w:after="0"/>
              <w:rPr>
                <w:sz w:val="20"/>
                <w:szCs w:val="20"/>
                <w:color w:val="auto"/>
              </w:rPr>
            </w:pPr>
            <w:r>
              <w:rPr>
                <w:rFonts w:ascii="Arial" w:cs="Arial" w:eastAsia="Arial" w:hAnsi="Arial"/>
                <w:sz w:val="15"/>
                <w:szCs w:val="15"/>
                <w:color w:val="auto"/>
              </w:rPr>
              <w:t>&amp; #160;</w:t>
            </w:r>
          </w:p>
        </w:tc>
        <w:tc>
          <w:tcPr>
            <w:tcW w:w="920" w:type="dxa"/>
            <w:vAlign w:val="bottom"/>
            <w:gridSpan w:val="2"/>
          </w:tcPr>
          <w:p>
            <w:pPr>
              <w:ind w:left="40"/>
              <w:spacing w:after="0"/>
              <w:rPr>
                <w:sz w:val="20"/>
                <w:szCs w:val="20"/>
                <w:color w:val="auto"/>
              </w:rPr>
            </w:pPr>
            <w:r>
              <w:rPr>
                <w:rFonts w:ascii="Arial" w:cs="Arial" w:eastAsia="Arial" w:hAnsi="Arial"/>
                <w:sz w:val="15"/>
                <w:szCs w:val="15"/>
                <w:color w:val="auto"/>
                <w:w w:val="91"/>
              </w:rPr>
              <w:t>/s/Roderick R.</w:t>
            </w:r>
          </w:p>
        </w:tc>
        <w:tc>
          <w:tcPr>
            <w:tcW w:w="0" w:type="dxa"/>
            <w:vAlign w:val="bottom"/>
          </w:tcPr>
          <w:p>
            <w:pPr>
              <w:spacing w:after="0"/>
              <w:rPr>
                <w:sz w:val="1"/>
                <w:szCs w:val="1"/>
                <w:color w:val="auto"/>
              </w:rPr>
            </w:pPr>
          </w:p>
        </w:tc>
      </w:tr>
      <w:tr>
        <w:trPr>
          <w:trHeight w:val="159"/>
        </w:trPr>
        <w:tc>
          <w:tcPr>
            <w:tcW w:w="56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Baty</w:t>
            </w:r>
          </w:p>
        </w:tc>
        <w:tc>
          <w:tcPr>
            <w:tcW w:w="24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0" w:type="dxa"/>
            <w:vAlign w:val="bottom"/>
          </w:tcPr>
          <w:p>
            <w:pPr>
              <w:spacing w:after="0"/>
              <w:rPr>
                <w:sz w:val="13"/>
                <w:szCs w:val="13"/>
                <w:color w:val="auto"/>
              </w:rPr>
            </w:pPr>
          </w:p>
        </w:tc>
        <w:tc>
          <w:tcPr>
            <w:tcW w:w="3500" w:type="dxa"/>
            <w:vAlign w:val="bottom"/>
            <w:vMerge w:val="restart"/>
          </w:tcPr>
          <w:p>
            <w:pPr>
              <w:ind w:left="1880"/>
              <w:spacing w:after="0"/>
              <w:rPr>
                <w:sz w:val="20"/>
                <w:szCs w:val="20"/>
                <w:color w:val="auto"/>
              </w:rPr>
            </w:pPr>
            <w:r>
              <w:rPr>
                <w:rFonts w:ascii="Arial" w:cs="Arial" w:eastAsia="Arial" w:hAnsi="Arial"/>
                <w:sz w:val="15"/>
                <w:szCs w:val="15"/>
                <w:color w:val="auto"/>
              </w:rPr>
              <w:t>Roderick R. Baty</w:t>
            </w: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6480" w:type="dxa"/>
            <w:vAlign w:val="bottom"/>
            <w:gridSpan w:val="4"/>
          </w:tcPr>
          <w:p>
            <w:pPr>
              <w:jc w:val="right"/>
              <w:ind w:right="1460"/>
              <w:spacing w:after="0"/>
              <w:rPr>
                <w:sz w:val="20"/>
                <w:szCs w:val="20"/>
                <w:color w:val="auto"/>
              </w:rPr>
            </w:pPr>
            <w:r>
              <w:rPr>
                <w:rFonts w:ascii="Arial" w:cs="Arial" w:eastAsia="Arial" w:hAnsi="Arial"/>
                <w:sz w:val="15"/>
                <w:szCs w:val="15"/>
                <w:color w:val="auto"/>
              </w:rPr>
              <w:t>;</w:t>
            </w:r>
          </w:p>
        </w:tc>
        <w:tc>
          <w:tcPr>
            <w:tcW w:w="35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4420" w:type="dxa"/>
            <w:vAlign w:val="bottom"/>
            <w:gridSpan w:val="3"/>
          </w:tcPr>
          <w:p>
            <w:pPr>
              <w:ind w:left="1480"/>
              <w:spacing w:after="0"/>
              <w:rPr>
                <w:sz w:val="20"/>
                <w:szCs w:val="20"/>
                <w:color w:val="auto"/>
              </w:rPr>
            </w:pPr>
            <w:r>
              <w:rPr>
                <w:rFonts w:ascii="Arial" w:cs="Arial" w:eastAsia="Arial" w:hAnsi="Arial"/>
                <w:sz w:val="15"/>
                <w:szCs w:val="15"/>
                <w:color w:val="auto"/>
                <w:w w:val="90"/>
              </w:rPr>
              <w:t>Chairman, 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460"/>
          </w:cols>
          <w:pgMar w:left="220" w:top="326" w:right="21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b w:val="1"/>
          <w:bCs w:val="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SECTION 302 OF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 James H. Dorton, certify that:</w:t>
      </w:r>
    </w:p>
    <w:p>
      <w:pPr>
        <w:spacing w:after="0" w:line="230" w:lineRule="exact"/>
        <w:rPr>
          <w:sz w:val="20"/>
          <w:szCs w:val="20"/>
          <w:color w:val="auto"/>
        </w:rPr>
      </w:pPr>
    </w:p>
    <w:p>
      <w:pPr>
        <w:ind w:left="1020" w:hanging="474"/>
        <w:spacing w:after="0"/>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NN, Inc.;</w:t>
      </w:r>
    </w:p>
    <w:p>
      <w:pPr>
        <w:spacing w:after="0" w:line="230" w:lineRule="exact"/>
        <w:rPr>
          <w:rFonts w:ascii="Arial" w:cs="Arial" w:eastAsia="Arial" w:hAnsi="Arial"/>
          <w:sz w:val="15"/>
          <w:szCs w:val="15"/>
          <w:color w:val="auto"/>
        </w:rPr>
      </w:pPr>
    </w:p>
    <w:p>
      <w:pPr>
        <w:ind w:right="80" w:firstLine="546"/>
        <w:spacing w:after="0" w:line="271" w:lineRule="auto"/>
        <w:tabs>
          <w:tab w:leader="none" w:pos="100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5"/>
          <w:szCs w:val="15"/>
          <w:color w:val="auto"/>
        </w:rPr>
      </w:pPr>
    </w:p>
    <w:p>
      <w:pPr>
        <w:ind w:right="120" w:firstLine="546"/>
        <w:spacing w:after="0" w:line="271" w:lineRule="auto"/>
        <w:tabs>
          <w:tab w:leader="none" w:pos="100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5"/>
          <w:szCs w:val="15"/>
          <w:color w:val="auto"/>
        </w:rPr>
      </w:pPr>
    </w:p>
    <w:p>
      <w:pPr>
        <w:ind w:left="800" w:hanging="254"/>
        <w:spacing w:after="0"/>
        <w:tabs>
          <w:tab w:leader="none" w:pos="8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97" w:lineRule="exact"/>
        <w:rPr>
          <w:rFonts w:ascii="Arial" w:cs="Arial" w:eastAsia="Arial" w:hAnsi="Arial"/>
          <w:sz w:val="13"/>
          <w:szCs w:val="13"/>
          <w:color w:val="auto"/>
        </w:rPr>
      </w:pPr>
    </w:p>
    <w:p>
      <w:pPr>
        <w:jc w:val="both"/>
        <w:ind w:left="1620" w:hanging="240"/>
        <w:spacing w:after="0" w:line="260" w:lineRule="auto"/>
        <w:tabs>
          <w:tab w:leader="none" w:pos="1620"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1620" w:hanging="249"/>
        <w:spacing w:after="0" w:line="260" w:lineRule="auto"/>
        <w:tabs>
          <w:tab w:leader="none" w:pos="1620"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1620" w:hanging="240"/>
        <w:spacing w:after="0" w:line="271" w:lineRule="auto"/>
        <w:tabs>
          <w:tab w:leader="none" w:pos="162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620" w:hanging="249"/>
        <w:spacing w:after="0" w:line="260" w:lineRule="auto"/>
        <w:tabs>
          <w:tab w:leader="none" w:pos="1620" w:val="left"/>
        </w:tabs>
        <w:numPr>
          <w:ilvl w:val="1"/>
          <w:numId w:val="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5"/>
          <w:szCs w:val="15"/>
          <w:color w:val="auto"/>
        </w:rPr>
      </w:pPr>
    </w:p>
    <w:p>
      <w:pPr>
        <w:ind w:firstLine="546"/>
        <w:spacing w:after="0" w:line="271" w:lineRule="auto"/>
        <w:tabs>
          <w:tab w:leader="none" w:pos="774"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1620" w:hanging="240"/>
        <w:spacing w:after="0" w:line="271" w:lineRule="auto"/>
        <w:tabs>
          <w:tab w:leader="none" w:pos="1620" w:val="left"/>
        </w:tabs>
        <w:numPr>
          <w:ilvl w:val="1"/>
          <w:numId w:val="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620" w:hanging="202"/>
        <w:spacing w:after="0" w:line="271" w:lineRule="auto"/>
        <w:tabs>
          <w:tab w:leader="none" w:pos="1620" w:val="left"/>
        </w:tabs>
        <w:numPr>
          <w:ilvl w:val="2"/>
          <w:numId w:val="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9740" w:val="left"/>
        </w:tabs>
        <w:rPr>
          <w:sz w:val="20"/>
          <w:szCs w:val="20"/>
          <w:color w:val="auto"/>
        </w:rPr>
      </w:pPr>
      <w:r>
        <w:rPr>
          <w:rFonts w:ascii="Arial" w:cs="Arial" w:eastAsia="Arial" w:hAnsi="Arial"/>
          <w:sz w:val="15"/>
          <w:szCs w:val="15"/>
          <w:color w:val="auto"/>
        </w:rPr>
        <w:t xml:space="preserve">Date:  </w:t>
      </w:r>
      <w:r>
        <w:rPr>
          <w:rFonts w:ascii="Arial" w:cs="Arial" w:eastAsia="Arial" w:hAnsi="Arial"/>
          <w:sz w:val="15"/>
          <w:szCs w:val="15"/>
          <w:u w:val="single" w:color="auto"/>
          <w:color w:val="auto"/>
        </w:rPr>
        <w:t>August 8, 2007</w:t>
      </w:r>
      <w:r>
        <w:rPr>
          <w:sz w:val="20"/>
          <w:szCs w:val="20"/>
          <w:color w:val="auto"/>
        </w:rPr>
        <w:tab/>
      </w:r>
      <w:r>
        <w:rPr>
          <w:rFonts w:ascii="Arial" w:cs="Arial" w:eastAsia="Arial" w:hAnsi="Arial"/>
          <w:sz w:val="14"/>
          <w:szCs w:val="14"/>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-10160</wp:posOffset>
            </wp:positionV>
            <wp:extent cx="111379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3790" cy="6985"/>
                    </a:xfrm>
                    <a:prstGeom prst="rect">
                      <a:avLst/>
                    </a:prstGeom>
                    <a:noFill/>
                  </pic:spPr>
                </pic:pic>
              </a:graphicData>
            </a:graphic>
          </wp:anchor>
        </w:drawing>
      </w:r>
    </w:p>
    <w:p>
      <w:pPr>
        <w:spacing w:after="0" w:line="165" w:lineRule="exact"/>
        <w:rPr>
          <w:sz w:val="20"/>
          <w:szCs w:val="20"/>
          <w:color w:val="auto"/>
        </w:rPr>
      </w:pPr>
    </w:p>
    <w:p>
      <w:pPr>
        <w:ind w:left="8180"/>
        <w:spacing w:after="0"/>
        <w:rPr>
          <w:sz w:val="20"/>
          <w:szCs w:val="20"/>
          <w:color w:val="auto"/>
        </w:rPr>
      </w:pPr>
      <w:r>
        <w:rPr>
          <w:rFonts w:ascii="Arial" w:cs="Arial" w:eastAsia="Arial" w:hAnsi="Arial"/>
          <w:sz w:val="15"/>
          <w:szCs w:val="15"/>
          <w:color w:val="auto"/>
        </w:rPr>
        <w:t>James H. Dorton</w:t>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4"/>
          <w:szCs w:val="14"/>
          <w:color w:val="auto"/>
        </w:rPr>
        <w:t>Vice President – Corporate Development and Chief Financial</w:t>
      </w:r>
    </w:p>
    <w:p>
      <w:pPr>
        <w:spacing w:after="0" w:line="1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7583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5"/>
          <w:szCs w:val="15"/>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OF CHIEF EXECUTIVE OFFICER PURSUANT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SECTION 906 OF THE SARBANES-OXLEY ACT OF 2002</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connection with the Quarterly Report of NN, Inc. (the “Company”) on Form 10-Q for the interim period ended June 30,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gridSpan w:val="3"/>
          </w:tcPr>
          <w:p>
            <w:pPr>
              <w:jc w:val="right"/>
              <w:ind w:right="4565"/>
              <w:spacing w:after="0"/>
              <w:rPr>
                <w:sz w:val="20"/>
                <w:szCs w:val="20"/>
                <w:color w:val="auto"/>
              </w:rPr>
            </w:pPr>
            <w:r>
              <w:rPr>
                <w:rFonts w:ascii="Arial" w:cs="Arial" w:eastAsia="Arial" w:hAnsi="Arial"/>
                <w:sz w:val="15"/>
                <w:szCs w:val="15"/>
                <w:color w:val="auto"/>
                <w:w w:val="92"/>
              </w:rPr>
              <w:t>Date: August 8, 2007</w:t>
            </w:r>
          </w:p>
        </w:tc>
        <w:tc>
          <w:tcPr>
            <w:tcW w:w="3440" w:type="dxa"/>
            <w:vAlign w:val="bottom"/>
            <w:gridSpan w:val="2"/>
          </w:tcPr>
          <w:p>
            <w:pPr>
              <w:ind w:left="240"/>
              <w:spacing w:after="0"/>
              <w:rPr>
                <w:sz w:val="20"/>
                <w:szCs w:val="20"/>
                <w:color w:val="auto"/>
              </w:rPr>
            </w:pPr>
            <w:r>
              <w:rPr>
                <w:rFonts w:ascii="Arial" w:cs="Arial" w:eastAsia="Arial" w:hAnsi="Arial"/>
                <w:sz w:val="15"/>
                <w:szCs w:val="15"/>
                <w:color w:val="auto"/>
              </w:rPr>
              <w:t>/s/ Roderick R. Baty</w:t>
            </w:r>
          </w:p>
        </w:tc>
      </w:tr>
      <w:tr>
        <w:trPr>
          <w:trHeight w:val="182"/>
        </w:trPr>
        <w:tc>
          <w:tcPr>
            <w:tcW w:w="4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640" w:type="dxa"/>
            <w:vAlign w:val="bottom"/>
          </w:tcPr>
          <w:p>
            <w:pPr>
              <w:jc w:val="right"/>
              <w:ind w:right="165"/>
              <w:spacing w:after="0"/>
              <w:rPr>
                <w:sz w:val="20"/>
                <w:szCs w:val="20"/>
                <w:color w:val="auto"/>
              </w:rPr>
            </w:pPr>
            <w:r>
              <w:rPr>
                <w:rFonts w:ascii="Arial" w:cs="Arial" w:eastAsia="Arial" w:hAnsi="Arial"/>
                <w:sz w:val="15"/>
                <w:szCs w:val="15"/>
                <w:color w:val="auto"/>
              </w:rPr>
              <w:t>&amp;# 160;</w:t>
            </w:r>
          </w:p>
        </w:tc>
        <w:tc>
          <w:tcPr>
            <w:tcW w:w="240" w:type="dxa"/>
            <w:vAlign w:val="bottom"/>
          </w:tcPr>
          <w:p>
            <w:pPr>
              <w:spacing w:after="0"/>
              <w:rPr>
                <w:sz w:val="15"/>
                <w:szCs w:val="15"/>
                <w:color w:val="auto"/>
              </w:rPr>
            </w:pPr>
          </w:p>
        </w:tc>
        <w:tc>
          <w:tcPr>
            <w:tcW w:w="3200" w:type="dxa"/>
            <w:vAlign w:val="bottom"/>
            <w:tcBorders>
              <w:top w:val="single" w:sz="8" w:color="auto"/>
            </w:tcBorders>
          </w:tcPr>
          <w:p>
            <w:pPr>
              <w:ind w:left="560"/>
              <w:spacing w:after="0"/>
              <w:rPr>
                <w:sz w:val="20"/>
                <w:szCs w:val="20"/>
                <w:color w:val="auto"/>
              </w:rPr>
            </w:pPr>
            <w:r>
              <w:rPr>
                <w:rFonts w:ascii="Arial" w:cs="Arial" w:eastAsia="Arial" w:hAnsi="Arial"/>
                <w:sz w:val="15"/>
                <w:szCs w:val="15"/>
                <w:color w:val="auto"/>
              </w:rPr>
              <w:t>Roderick R. Baty</w:t>
            </w:r>
          </w:p>
        </w:tc>
      </w:tr>
      <w:tr>
        <w:trPr>
          <w:trHeight w:val="179"/>
        </w:trPr>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40" w:type="dxa"/>
            <w:vAlign w:val="bottom"/>
          </w:tcPr>
          <w:p>
            <w:pPr>
              <w:jc w:val="right"/>
              <w:ind w:right="1905"/>
              <w:spacing w:after="0"/>
              <w:rPr>
                <w:sz w:val="20"/>
                <w:szCs w:val="20"/>
                <w:color w:val="auto"/>
              </w:rPr>
            </w:pPr>
            <w:r>
              <w:rPr>
                <w:rFonts w:ascii="Arial" w:cs="Arial" w:eastAsia="Arial" w:hAnsi="Arial"/>
                <w:sz w:val="15"/>
                <w:szCs w:val="15"/>
                <w:color w:val="auto"/>
              </w:rPr>
              <w:t>Chairman, President and Chief</w:t>
            </w:r>
          </w:p>
        </w:tc>
        <w:tc>
          <w:tcPr>
            <w:tcW w:w="24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189"/>
        </w:trPr>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40" w:type="dxa"/>
            <w:vAlign w:val="bottom"/>
          </w:tcPr>
          <w:p>
            <w:pPr>
              <w:jc w:val="right"/>
              <w:ind w:right="2505"/>
              <w:spacing w:after="0"/>
              <w:rPr>
                <w:sz w:val="20"/>
                <w:szCs w:val="20"/>
                <w:color w:val="auto"/>
              </w:rPr>
            </w:pPr>
            <w:r>
              <w:rPr>
                <w:rFonts w:ascii="Arial" w:cs="Arial" w:eastAsia="Arial" w:hAnsi="Arial"/>
                <w:sz w:val="15"/>
                <w:szCs w:val="15"/>
                <w:color w:val="auto"/>
              </w:rPr>
              <w:t>Executive Officer</w:t>
            </w:r>
          </w:p>
        </w:tc>
        <w:tc>
          <w:tcPr>
            <w:tcW w:w="240" w:type="dxa"/>
            <w:vAlign w:val="bottom"/>
          </w:tcPr>
          <w:p>
            <w:pPr>
              <w:spacing w:after="0"/>
              <w:rPr>
                <w:sz w:val="16"/>
                <w:szCs w:val="16"/>
                <w:color w:val="auto"/>
              </w:rPr>
            </w:pPr>
          </w:p>
        </w:tc>
        <w:tc>
          <w:tcPr>
            <w:tcW w:w="3200" w:type="dxa"/>
            <w:vAlign w:val="bottom"/>
          </w:tcPr>
          <w:p>
            <w:pPr>
              <w:spacing w:after="0"/>
              <w:rPr>
                <w:sz w:val="16"/>
                <w:szCs w:val="16"/>
                <w:color w:val="auto"/>
              </w:rPr>
            </w:pPr>
          </w:p>
        </w:tc>
      </w:tr>
    </w:tbl>
    <w:p>
      <w:pPr>
        <w:spacing w:after="0" w:line="393"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60"/>
          </w:cols>
          <w:pgMar w:left="220" w:top="326"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OF CHIEF FINANCIAL OFFICER PURSUANT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SECTION 906 OF THE SARBANES-OXLEY ACT OF 2002</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connection with the Quarterly Report of NN, Inc. (the “Company”) on Form 10-Q for the interim period ended June 30,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6440" w:val="left"/>
        </w:tabs>
        <w:rPr>
          <w:sz w:val="20"/>
          <w:szCs w:val="20"/>
          <w:color w:val="auto"/>
        </w:rPr>
      </w:pPr>
      <w:r>
        <w:rPr>
          <w:rFonts w:ascii="Arial" w:cs="Arial" w:eastAsia="Arial" w:hAnsi="Arial"/>
          <w:sz w:val="15"/>
          <w:szCs w:val="15"/>
          <w:color w:val="auto"/>
        </w:rPr>
        <w:t xml:space="preserve">Date: </w:t>
      </w:r>
      <w:r>
        <w:rPr>
          <w:rFonts w:ascii="Arial" w:cs="Arial" w:eastAsia="Arial" w:hAnsi="Arial"/>
          <w:sz w:val="15"/>
          <w:szCs w:val="15"/>
          <w:u w:val="single" w:color="auto"/>
          <w:color w:val="auto"/>
        </w:rPr>
        <w:t>August 8, 2007</w:t>
      </w:r>
      <w:r>
        <w:rPr>
          <w:sz w:val="20"/>
          <w:szCs w:val="20"/>
          <w:color w:val="auto"/>
        </w:rPr>
        <w:tab/>
      </w:r>
      <w:r>
        <w:rPr>
          <w:rFonts w:ascii="Arial" w:cs="Arial" w:eastAsia="Arial" w:hAnsi="Arial"/>
          <w:sz w:val="13"/>
          <w:szCs w:val="13"/>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-10160</wp:posOffset>
            </wp:positionV>
            <wp:extent cx="162687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6870" cy="6985"/>
                    </a:xfrm>
                    <a:prstGeom prst="rect">
                      <a:avLst/>
                    </a:prstGeom>
                    <a:noFill/>
                  </pic:spPr>
                </pic:pic>
              </a:graphicData>
            </a:graphic>
          </wp:anchor>
        </w:drawing>
      </w:r>
    </w:p>
    <w:p>
      <w:pPr>
        <w:ind w:left="2400"/>
        <w:spacing w:after="0"/>
        <w:rPr>
          <w:sz w:val="20"/>
          <w:szCs w:val="20"/>
          <w:color w:val="auto"/>
        </w:rPr>
      </w:pPr>
      <w:r>
        <w:rPr>
          <w:rFonts w:ascii="Arial" w:cs="Arial" w:eastAsia="Arial" w:hAnsi="Arial"/>
          <w:sz w:val="15"/>
          <w:szCs w:val="15"/>
          <w:color w:val="auto"/>
        </w:rPr>
        <w:t>James H. Dorton</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Vice President – Corporate Developmentand Chief Financial Officer</w:t>
      </w:r>
    </w:p>
    <w:p>
      <w:pPr>
        <w:spacing w:after="0" w:line="39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60"/>
      </w:cols>
      <w:pgMar w:left="220" w:top="32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
    <w:nsid w:val="7545E14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2019-12-14T03:08:13Z</dcterms:created>
  <dcterms:modified xsi:type="dcterms:W3CDTF">2019-12-14T03:08:13Z</dcterms:modified>
</cp:coreProperties>
</file>