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175895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195580</wp:posOffset>
            </wp:positionV>
            <wp:extent cx="3206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379730</wp:posOffset>
            </wp:positionV>
            <wp:extent cx="95123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123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175895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520" w:type="dxa"/>
        <w:tblCellMar>
          <w:top w:w="0" w:type="dxa"/>
          <w:left w:w="0" w:type="dxa"/>
          <w:bottom w:w="0" w:type="dxa"/>
          <w:right w:w="0" w:type="dxa"/>
        </w:tblCellMar>
      </w:tblPr>
      <w:tr>
        <w:trPr>
          <w:trHeight w:val="218"/>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0" w:type="dxa"/>
            <w:vAlign w:val="bottom"/>
          </w:tcPr>
          <w:p>
            <w:pPr>
              <w:jc w:val="right"/>
              <w:ind w:right="1930"/>
              <w:spacing w:after="0"/>
              <w:rPr>
                <w:sz w:val="20"/>
                <w:szCs w:val="20"/>
                <w:color w:val="auto"/>
              </w:rPr>
            </w:pPr>
            <w:r>
              <w:rPr>
                <w:rFonts w:ascii="Times New Roman" w:cs="Times New Roman" w:eastAsia="Times New Roman" w:hAnsi="Times New Roman"/>
                <w:sz w:val="18"/>
                <w:szCs w:val="18"/>
                <w:b w:val="1"/>
                <w:bCs w:val="1"/>
                <w:color w:val="auto"/>
              </w:rPr>
              <w:t>001-39268</w:t>
            </w: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216"/>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60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940" w:type="dxa"/>
            <w:vAlign w:val="bottom"/>
          </w:tcPr>
          <w:p>
            <w:pPr>
              <w:jc w:val="center"/>
              <w:ind w:left="57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8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460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10"/>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6210 Ardrey Kell Road, Suite 120</w:t>
            </w:r>
          </w:p>
        </w:tc>
        <w:tc>
          <w:tcPr>
            <w:tcW w:w="46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8"/>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4600" w:type="dxa"/>
            <w:vAlign w:val="bottom"/>
          </w:tcPr>
          <w:p>
            <w:pPr>
              <w:spacing w:after="0"/>
              <w:rPr>
                <w:sz w:val="18"/>
                <w:szCs w:val="18"/>
                <w:color w:val="auto"/>
              </w:rPr>
            </w:pPr>
          </w:p>
        </w:tc>
        <w:tc>
          <w:tcPr>
            <w:tcW w:w="1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28277</w:t>
            </w:r>
          </w:p>
        </w:tc>
      </w:tr>
      <w:tr>
        <w:trPr>
          <w:trHeight w:val="236"/>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600" w:type="dxa"/>
            <w:vAlign w:val="bottom"/>
          </w:tcPr>
          <w:p>
            <w:pPr>
              <w:spacing w:after="0"/>
              <w:rPr>
                <w:sz w:val="20"/>
                <w:szCs w:val="20"/>
                <w:color w:val="auto"/>
              </w:rPr>
            </w:pPr>
          </w:p>
        </w:tc>
        <w:tc>
          <w:tcPr>
            <w:tcW w:w="1940" w:type="dxa"/>
            <w:vAlign w:val="bottom"/>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12"/>
        </w:trPr>
        <w:tc>
          <w:tcPr>
            <w:tcW w:w="2980" w:type="dxa"/>
            <w:vAlign w:val="bottom"/>
          </w:tcPr>
          <w:p>
            <w:pPr>
              <w:spacing w:after="0"/>
              <w:rPr>
                <w:sz w:val="24"/>
                <w:szCs w:val="24"/>
                <w:color w:val="auto"/>
              </w:rPr>
            </w:pPr>
          </w:p>
        </w:tc>
        <w:tc>
          <w:tcPr>
            <w:tcW w:w="460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(980) 264-4300</w:t>
            </w:r>
          </w:p>
        </w:tc>
        <w:tc>
          <w:tcPr>
            <w:tcW w:w="1940" w:type="dxa"/>
            <w:vAlign w:val="bottom"/>
          </w:tcPr>
          <w:p>
            <w:pPr>
              <w:spacing w:after="0"/>
              <w:rPr>
                <w:sz w:val="24"/>
                <w:szCs w:val="24"/>
                <w:color w:val="auto"/>
              </w:rPr>
            </w:pPr>
          </w:p>
        </w:tc>
      </w:tr>
      <w:tr>
        <w:trPr>
          <w:trHeight w:val="236"/>
        </w:trPr>
        <w:tc>
          <w:tcPr>
            <w:tcW w:w="2980" w:type="dxa"/>
            <w:vAlign w:val="bottom"/>
          </w:tcPr>
          <w:p>
            <w:pPr>
              <w:spacing w:after="0"/>
              <w:rPr>
                <w:sz w:val="20"/>
                <w:szCs w:val="20"/>
                <w:color w:val="auto"/>
              </w:rPr>
            </w:pPr>
          </w:p>
        </w:tc>
        <w:tc>
          <w:tcPr>
            <w:tcW w:w="4600" w:type="dxa"/>
            <w:vAlign w:val="bottom"/>
          </w:tcPr>
          <w:p>
            <w:pPr>
              <w:jc w:val="center"/>
              <w:ind w:right="29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60"/>
          </w:cols>
          <w:pgMar w:left="320" w:top="637" w:right="419" w:bottom="1440" w:gutter="0" w:footer="0" w:header="0"/>
        </w:sectPr>
      </w:pPr>
    </w:p>
    <w:p>
      <w:pPr>
        <w:spacing w:after="0" w:line="2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i w:val="1"/>
          <w:iCs w:val="1"/>
          <w:color w:val="auto"/>
        </w:rPr>
        <w:t>Title of each class</w:t>
      </w:r>
    </w:p>
    <w:p>
      <w:pPr>
        <w:spacing w:after="0" w:line="2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i w:val="1"/>
          <w:iCs w:val="1"/>
          <w:color w:val="auto"/>
        </w:rPr>
        <w:t>Trading symbol</w:t>
      </w:r>
    </w:p>
    <w:p>
      <w:pPr>
        <w:spacing w:after="0" w:line="4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NNBR</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4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460" w:space="720"/>
            <w:col w:w="1960" w:space="720"/>
            <w:col w:w="3300"/>
          </w:cols>
          <w:pgMar w:left="320" w:top="637" w:right="419" w:bottom="1440" w:gutter="0" w:footer="0" w:header="0"/>
          <w:type w:val="continuous"/>
        </w:sectPr>
      </w:pPr>
    </w:p>
    <w:p>
      <w:pPr>
        <w:spacing w:after="0" w:line="7"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20"/>
        <w:spacing w:after="0" w:line="207" w:lineRule="exact"/>
        <w:tabs>
          <w:tab w:leader="none" w:pos="10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637" w:right="41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December 12, 2025, NN, Inc., a Delaware corporation (the “Company”) issued the press release attached hereto as Exhibit 99.1 to this Current Report on Form 8-K. By filing this Current Report on Form 8-K and furnishing the information contained herein, the Company makes no admission as to the materiality of any information in this report that is required to be disclosed solely by reason of Regulation FD.</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under the Securities Act of 1933, as amended, or the Exchange Act, whether made before or after the date hereof, regardless of any general incorporation language in such filing.</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580" w:hanging="527"/>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17"/>
                <w:szCs w:val="17"/>
                <w:color w:val="auto"/>
              </w:rPr>
            </w:pPr>
          </w:p>
        </w:tc>
        <w:tc>
          <w:tcPr>
            <w:tcW w:w="10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4"/>
          </w:tcPr>
          <w:p>
            <w:pPr>
              <w:jc w:val="center"/>
              <w:ind w:right="8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Press Release, dated December 12, 2025</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gridSpan w:val="2"/>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675"/>
        </w:trPr>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December 12,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H. Bohnert</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397000" cy="1011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700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444444"/>
        </w:rPr>
        <w:t>NN, Inc. Announces Formation of a Strategic Committee of the Board of Directors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444444"/>
        </w:rPr>
        <w:t>Committee to Evaluate a Broad Range of Strategic, Financing and Other Alternatives to Enhance Shareholder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CHARLOTTE, N.C., Dec. 12, 2025 – NN, Inc. (“NN” or the “Company”) (NASDAQ: NNBR), a global diversified industrial company that engineers and manufactures high-precision components and assemblies, today announced that the Board of Directors (the “Board”) has formed a Strategic Committee to oversee a review of strategic and financial alternatives to further enhance shareholder value.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Strategic Committee is comprised of three independent directors, Raynard Benvenuti, Jeri Harman and Thomas Wilson, and has been tasked with evaluating a broad spectrum of strategic, financial and business configuration options for the Company. The Board has engaged Houlihan Lokey, a leading independent investment bank, as the Company’s financial advisor.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Board’s decision to form a Strategic Committee reflects our commitment to maximizing value for NN’s shareholders and evaluating potential avenues to achieve this objective,” said Ms. Harman, independent Chair of NN. Ms. Harman continued, “Over the past several years, we have strengthened our executive team, sharpened our strategic focus, expanded operating income and EBITDA, built a new sales pipeline of more than $800 million, secured approximately $200 million in new business, entered the medical and data center markets, developed a healthy M&amp;A pipeline, and positioned the Company to scale up to its next stage of growth. These accomplishments have improved our earnings quality and enhanced our free cash flow generation profile. With this stronger foundation in place, we believe now is the right time to take a fresh, comprehensive look at additional ways to unlock value for our shareholders.”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Harold Bevis, President and Chief Executive Officer of NN, added, “As the Committee conducts its review, the Company remains focused on advancing its transformation plan and delivering the high-quality products, engineering support and service that our customers expect from NN.”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process will result in any particular outcome. NN has not set a timetable for the completion of the review, and the Company does not intend to provide further updates unless and until the Board has approved a specific course of action or determines additional disclosure is appropriate or necessary.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w:t>
      </w:r>
    </w:p>
    <w:p>
      <w:pPr>
        <w:ind w:firstLine="8"/>
        <w:spacing w:after="0" w:line="260" w:lineRule="auto"/>
        <w:tabs>
          <w:tab w:leader="none" w:pos="3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facilities in North America, Europe, South America, and China. For more information about the company and its products, please visit </w:t>
      </w:r>
      <w:r>
        <w:rPr>
          <w:rFonts w:ascii="Times New Roman" w:cs="Times New Roman" w:eastAsia="Times New Roman" w:hAnsi="Times New Roman"/>
          <w:sz w:val="18"/>
          <w:szCs w:val="18"/>
          <w:u w:val="single" w:color="auto"/>
          <w:color w:val="auto"/>
        </w:rPr>
        <w:t>www.nninc.com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express and implied forward-looking statements within the meaning of the Private Securities Litigation Reform Act of 1995, including, but not limited to, statements regarding the strategic review, including the timing and outcome of such review, our long-term financial profile and other statements that are not historical fact.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statements. Such factors include, among others, general economic conditions and economic conditions in the industrial sector; material changes in the costs and availability of raw materials; the level of our indebtedness; our ability to secure, maintain or enforce patents or other appropriate protections for our intellectual property;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U.S. Securities and Exchange Commission.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Caminiti or Stephen Poe, 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NNBR@alpha-ir.com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312-445-2870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upperLetter"/>
      <w:start w:val="4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2025-12-12T07:25:20Z</dcterms:created>
  <dcterms:modified xsi:type="dcterms:W3CDTF">2025-12-12T07:25:20Z</dcterms:modified>
</cp:coreProperties>
</file>