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79"/>
        <w:spacing w:after="0" w:line="233"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94615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60960</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85090</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2554605</wp:posOffset>
            </wp:positionH>
            <wp:positionV relativeFrom="paragraph">
              <wp:posOffset>153670</wp:posOffset>
            </wp:positionV>
            <wp:extent cx="737235"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72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43180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001-39268</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120</w:t>
            </w:r>
          </w:p>
        </w:tc>
        <w:tc>
          <w:tcPr>
            <w:tcW w:w="1400" w:type="dxa"/>
            <w:vAlign w:val="bottom"/>
          </w:tcPr>
          <w:p>
            <w:pPr>
              <w:spacing w:after="0"/>
              <w:rPr>
                <w:sz w:val="24"/>
                <w:szCs w:val="24"/>
                <w:color w:val="auto"/>
              </w:rPr>
            </w:pPr>
          </w:p>
        </w:tc>
      </w:tr>
      <w:tr>
        <w:trPr>
          <w:trHeight w:val="256"/>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19"/>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33655</wp:posOffset>
            </wp:positionV>
            <wp:extent cx="2322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25"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50"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440"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440"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183" w:lineRule="exact"/>
        <w:rPr>
          <w:sz w:val="24"/>
          <w:szCs w:val="24"/>
          <w:color w:val="auto"/>
        </w:rPr>
      </w:pPr>
    </w:p>
    <w:p>
      <w:pPr>
        <w:sectPr>
          <w:pgSz w:w="11900" w:h="16838" w:orient="portrait"/>
          <w:cols w:equalWidth="0" w:num="3">
            <w:col w:w="3660" w:space="720"/>
            <w:col w:w="1400" w:space="720"/>
            <w:col w:w="2620"/>
          </w:cols>
          <w:pgMar w:left="1340" w:top="1440" w:right="1439" w:bottom="1440" w:gutter="0" w:footer="0" w:header="0"/>
          <w:type w:val="continuous"/>
        </w:sect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1068070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103505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128905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440" w:right="1439" w:bottom="1440" w:gutter="0" w:footer="0" w:header="0"/>
          <w:type w:val="continuous"/>
        </w:sectPr>
      </w:pPr>
    </w:p>
    <w:bookmarkStart w:id="1" w:name="page2"/>
    <w:bookmarkEnd w:id="1"/>
    <w:p>
      <w:pPr>
        <w:ind w:right="6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As further described below, at the 2026 Annual Meeting of Stockholders of NN, Inc. (the “Company”) held on May 20, 2026 (the “Annual Meeting”), the Company’s stockholders approved the Amended and Restated 2022 Omnibus Incentive Plan to, among other things, increase the number of shares of the Company’s common stock reserved for issuance thereunder by 2,000,000 shares (as so amended and restated, the “Amended 2022 Plan”), which has previously been adopted by the Company’s board of directors, subject to stockholder approval. A description of the terms and conditions of the Amended 2022 Plan is set forth on pages 21 to 31 in the Company’s definitive proxy statement for the Annual Meeting filed with the Securities and Exchange Commission on April 6, 2026 and is incorporated herein by reference. Such description does not purport to be complete and is qualified in its entirety by reference to the full text of the Amended 2022 Plan, which is attached hereto as Exhibit 10.1 and is incorporated herein by reference.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Meeting was held on May 20, 2026. As of March 23, 2026, the record date for the Annual Meeting, a total of 50,190,124 shares of the Company’s common stock were outstanding and entitled to vote on all matters presented to the Company’s stockholders at the Annual Meeting. At the Annual Meeting, the Company’s stockholders considered the following proposals:</w:t>
      </w:r>
    </w:p>
    <w:p>
      <w:pPr>
        <w:spacing w:after="0" w:line="68" w:lineRule="exact"/>
        <w:rPr>
          <w:sz w:val="20"/>
          <w:szCs w:val="20"/>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to serve for a term of one year;</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2022 Plan;</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approve the compensation of the Company’s named executive officers; and</w:t>
      </w:r>
    </w:p>
    <w:p>
      <w:pPr>
        <w:spacing w:after="0" w:line="117" w:lineRule="exact"/>
        <w:rPr>
          <w:rFonts w:ascii="Times New Roman" w:cs="Times New Roman" w:eastAsia="Times New Roman" w:hAnsi="Times New Roman"/>
          <w:sz w:val="18"/>
          <w:szCs w:val="18"/>
          <w:color w:val="auto"/>
        </w:rPr>
      </w:pPr>
    </w:p>
    <w:p>
      <w:pPr>
        <w:ind w:left="660" w:hanging="4"/>
        <w:spacing w:after="0" w:line="282" w:lineRule="auto"/>
        <w:tabs>
          <w:tab w:leader="none" w:pos="9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ratify the selection of Grant Thornton LLP as the Company’s registered independent public accounting firm for the fiscal year ending December 31, 2026.</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Eight directors were elected to serve for a term of one year. The results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vMerge w:val="restart"/>
          </w:tcPr>
          <w:p>
            <w:pPr>
              <w:spacing w:after="0"/>
              <w:rPr>
                <w:sz w:val="18"/>
                <w:szCs w:val="18"/>
                <w:color w:val="auto"/>
              </w:rPr>
            </w:pP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0" w:type="dxa"/>
            <w:vAlign w:val="bottom"/>
            <w:vMerge w:val="restart"/>
          </w:tcPr>
          <w:p>
            <w:pPr>
              <w:spacing w:after="0"/>
              <w:rPr>
                <w:sz w:val="18"/>
                <w:szCs w:val="18"/>
                <w:color w:val="auto"/>
              </w:rPr>
            </w:pPr>
          </w:p>
        </w:tc>
        <w:tc>
          <w:tcPr>
            <w:tcW w:w="14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 w:type="dxa"/>
            <w:vAlign w:val="bottom"/>
            <w:vMerge w:val="restart"/>
          </w:tcPr>
          <w:p>
            <w:pPr>
              <w:spacing w:after="0"/>
              <w:rPr>
                <w:sz w:val="18"/>
                <w:szCs w:val="18"/>
                <w:color w:val="auto"/>
              </w:rPr>
            </w:pPr>
          </w:p>
        </w:tc>
        <w:tc>
          <w:tcPr>
            <w:tcW w:w="22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0" w:type="dxa"/>
            <w:vAlign w:val="bottom"/>
            <w:vMerge w:val="restart"/>
          </w:tcPr>
          <w:p>
            <w:pPr>
              <w:spacing w:after="0"/>
              <w:rPr>
                <w:sz w:val="18"/>
                <w:szCs w:val="18"/>
                <w:color w:val="auto"/>
              </w:rPr>
            </w:pP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CCEEFF"/>
            </w:tcBorders>
            <w:vMerge w:val="continue"/>
          </w:tcPr>
          <w:p>
            <w:pPr>
              <w:spacing w:after="0"/>
              <w:rPr>
                <w:sz w:val="21"/>
                <w:szCs w:val="21"/>
                <w:color w:val="auto"/>
              </w:rPr>
            </w:pPr>
          </w:p>
        </w:tc>
        <w:tc>
          <w:tcPr>
            <w:tcW w:w="22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1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0" w:type="dxa"/>
            <w:vAlign w:val="bottom"/>
          </w:tcPr>
          <w:p>
            <w:pPr>
              <w:spacing w:after="0"/>
              <w:rPr>
                <w:sz w:val="1"/>
                <w:szCs w:val="1"/>
                <w:color w:val="auto"/>
              </w:rPr>
            </w:pPr>
          </w:p>
        </w:tc>
      </w:tr>
      <w:tr>
        <w:trPr>
          <w:trHeight w:val="264"/>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20,304,780</w:t>
            </w: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339,157</w:t>
            </w:r>
          </w:p>
        </w:tc>
        <w:tc>
          <w:tcPr>
            <w:tcW w:w="28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6,640,114</w:t>
            </w:r>
          </w:p>
        </w:tc>
        <w:tc>
          <w:tcPr>
            <w:tcW w:w="30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20,403,467</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239,469</w:t>
            </w:r>
          </w:p>
        </w:tc>
        <w:tc>
          <w:tcPr>
            <w:tcW w:w="28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6,641,115</w:t>
            </w:r>
          </w:p>
        </w:tc>
        <w:tc>
          <w:tcPr>
            <w:tcW w:w="3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20,234,974</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421,290</w:t>
            </w:r>
          </w:p>
        </w:tc>
        <w:tc>
          <w:tcPr>
            <w:tcW w:w="280" w:type="dxa"/>
            <w:vAlign w:val="bottom"/>
            <w:shd w:val="clear" w:color="auto" w:fill="CCEEFF"/>
          </w:tcPr>
          <w:p>
            <w:pPr>
              <w:spacing w:after="0"/>
              <w:rPr>
                <w:sz w:val="23"/>
                <w:szCs w:val="23"/>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6,627,787</w:t>
            </w: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20,399,097</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256,692</w:t>
            </w:r>
          </w:p>
        </w:tc>
        <w:tc>
          <w:tcPr>
            <w:tcW w:w="28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6,628,262</w:t>
            </w:r>
          </w:p>
        </w:tc>
        <w:tc>
          <w:tcPr>
            <w:tcW w:w="3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26,491,738</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377,519</w:t>
            </w:r>
          </w:p>
        </w:tc>
        <w:tc>
          <w:tcPr>
            <w:tcW w:w="280" w:type="dxa"/>
            <w:vAlign w:val="bottom"/>
            <w:shd w:val="clear" w:color="auto" w:fill="CCEEFF"/>
          </w:tcPr>
          <w:p>
            <w:pPr>
              <w:spacing w:after="0"/>
              <w:rPr>
                <w:sz w:val="23"/>
                <w:szCs w:val="23"/>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414,794</w:t>
            </w: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20,271,358</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371,332</w:t>
            </w:r>
          </w:p>
        </w:tc>
        <w:tc>
          <w:tcPr>
            <w:tcW w:w="28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6,641,361</w:t>
            </w:r>
          </w:p>
        </w:tc>
        <w:tc>
          <w:tcPr>
            <w:tcW w:w="3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20,305,665</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349,872</w:t>
            </w:r>
          </w:p>
        </w:tc>
        <w:tc>
          <w:tcPr>
            <w:tcW w:w="280" w:type="dxa"/>
            <w:vAlign w:val="bottom"/>
            <w:shd w:val="clear" w:color="auto" w:fill="CCEEFF"/>
          </w:tcPr>
          <w:p>
            <w:pPr>
              <w:spacing w:after="0"/>
              <w:rPr>
                <w:sz w:val="23"/>
                <w:szCs w:val="23"/>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6,628,514</w:t>
            </w: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T. White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25,600,326</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1,268,930</w:t>
            </w:r>
          </w:p>
        </w:tc>
        <w:tc>
          <w:tcPr>
            <w:tcW w:w="280" w:type="dxa"/>
            <w:vAlign w:val="bottom"/>
          </w:tcPr>
          <w:p>
            <w:pPr>
              <w:spacing w:after="0"/>
              <w:rPr>
                <w:sz w:val="23"/>
                <w:szCs w:val="2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414,795</w:t>
            </w:r>
          </w:p>
        </w:tc>
        <w:tc>
          <w:tcPr>
            <w:tcW w:w="3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13,596,034</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2022 Plan was approved. The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7"/>
        </w:trPr>
        <w:tc>
          <w:tcPr>
            <w:tcW w:w="28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19,933,766</w:t>
            </w:r>
          </w:p>
        </w:tc>
        <w:tc>
          <w:tcPr>
            <w:tcW w:w="27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1,034,018</w:t>
            </w:r>
          </w:p>
        </w:tc>
        <w:tc>
          <w:tcPr>
            <w:tcW w:w="27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6,316,267</w:t>
            </w:r>
          </w:p>
        </w:tc>
        <w:tc>
          <w:tcPr>
            <w:tcW w:w="29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13,596,034</w:t>
            </w:r>
          </w:p>
        </w:tc>
      </w:tr>
      <w:tr>
        <w:trPr>
          <w:trHeight w:val="27"/>
        </w:trPr>
        <w:tc>
          <w:tcPr>
            <w:tcW w:w="28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advisory (non-binding) vote on the executive compensation of the Company’s named executive officers was in favor of executive compensation. The results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7"/>
        </w:trPr>
        <w:tc>
          <w:tcPr>
            <w:tcW w:w="28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19,954,589</w:t>
            </w:r>
          </w:p>
        </w:tc>
        <w:tc>
          <w:tcPr>
            <w:tcW w:w="26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831,475</w:t>
            </w:r>
          </w:p>
        </w:tc>
        <w:tc>
          <w:tcPr>
            <w:tcW w:w="278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6,497,987</w:t>
            </w:r>
          </w:p>
        </w:tc>
        <w:tc>
          <w:tcPr>
            <w:tcW w:w="29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13,596,034</w:t>
            </w:r>
          </w:p>
        </w:tc>
      </w:tr>
      <w:tr>
        <w:trPr>
          <w:trHeight w:val="27"/>
        </w:trPr>
        <w:tc>
          <w:tcPr>
            <w:tcW w:w="28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w:t>
      </w:r>
    </w:p>
    <w:p>
      <w:pPr>
        <w:spacing w:after="0" w:line="25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Committee’s selection of Grant Thornton LLP as the Company’s registered independent public accounting firm for the fiscal year ending December 31, 2026 was ratified. The results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43"/>
        </w:trPr>
        <w:tc>
          <w:tcPr>
            <w:tcW w:w="3800" w:type="dxa"/>
            <w:vAlign w:val="bottom"/>
            <w:tcBorders>
              <w:bottom w:val="single" w:sz="8" w:color="CCEEFF"/>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34,443,464</w:t>
            </w:r>
          </w:p>
        </w:tc>
        <w:tc>
          <w:tcPr>
            <w:tcW w:w="362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85,258</w:t>
            </w:r>
          </w:p>
        </w:tc>
        <w:tc>
          <w:tcPr>
            <w:tcW w:w="38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6,351,363</w:t>
            </w:r>
          </w:p>
        </w:tc>
      </w:tr>
      <w:tr>
        <w:trPr>
          <w:trHeight w:val="1506"/>
        </w:trPr>
        <w:tc>
          <w:tcPr>
            <w:tcW w:w="38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02" w:lineRule="exact"/>
              <w:rPr>
                <w:sz w:val="20"/>
                <w:szCs w:val="20"/>
                <w:color w:val="auto"/>
              </w:rPr>
            </w:pPr>
            <w:r>
              <w:rPr>
                <w:rFonts w:ascii="Times New Roman" w:cs="Times New Roman" w:eastAsia="Times New Roman" w:hAnsi="Times New Roman"/>
                <w:sz w:val="11"/>
                <w:szCs w:val="11"/>
                <w:b w:val="1"/>
                <w:bCs w:val="1"/>
                <w:color w:val="auto"/>
              </w:rPr>
              <w:t>No.</w:t>
            </w:r>
          </w:p>
        </w:tc>
        <w:tc>
          <w:tcPr>
            <w:tcW w:w="360" w:type="dxa"/>
            <w:vAlign w:val="bottom"/>
          </w:tcPr>
          <w:p>
            <w:pPr>
              <w:spacing w:after="0"/>
              <w:rPr>
                <w:sz w:val="10"/>
                <w:szCs w:val="10"/>
                <w:color w:val="auto"/>
              </w:rPr>
            </w:pPr>
          </w:p>
        </w:tc>
        <w:tc>
          <w:tcPr>
            <w:tcW w:w="103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 w:type="dxa"/>
            <w:vAlign w:val="bottom"/>
            <w:gridSpan w:val="2"/>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7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8"/>
                <w:szCs w:val="18"/>
                <w:color w:val="auto"/>
              </w:rPr>
            </w:pPr>
          </w:p>
        </w:tc>
        <w:tc>
          <w:tcPr>
            <w:tcW w:w="10300" w:type="dxa"/>
            <w:vAlign w:val="bottom"/>
            <w:gridSpan w:val="4"/>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NN, Inc. Amended and Restated 2022 Omnibus Incentive Plan (incorporated by reference to Appendix A to the Company’s definitive proxy</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statement on Schedule 14A (File No. 001-39268) filed with the Securities and Exchange Commission on April 6, 2026)</w:t>
              </w:r>
            </w:hyperlink>
          </w:p>
        </w:tc>
        <w:tc>
          <w:tcPr>
            <w:tcW w:w="148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0"/>
        </w:trPr>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10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748"/>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May 20, 2026</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6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6647815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1413" w:right="1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2" Type="http://schemas.openxmlformats.org/officeDocument/2006/relationships/hyperlink" Target="https://www.sec.gov/ix?doc=/Archives/edgar/data/0000918541/000091854126000026/nnbr-202604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2026-05-20T15:27:06Z</dcterms:created>
  <dcterms:modified xsi:type="dcterms:W3CDTF">2026-05-20T15:27:06Z</dcterms:modified>
</cp:coreProperties>
</file>