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0"/>
        <w:spacing w:after="0"/>
        <w:rPr>
          <w:sz w:val="20"/>
          <w:szCs w:val="20"/>
          <w:color w:val="auto"/>
        </w:rPr>
      </w:pPr>
      <w:r>
        <w:rPr>
          <w:rFonts w:ascii="Courier New" w:cs="Courier New" w:eastAsia="Courier New" w:hAnsi="Courier New"/>
          <w:sz w:val="15"/>
          <w:szCs w:val="15"/>
          <w:color w:val="auto"/>
        </w:rPr>
        <w:t>UNITED STATES 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33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10-Q</w:t>
      </w:r>
    </w:p>
    <w:p>
      <w:pPr>
        <w:spacing w:after="0" w:line="175" w:lineRule="exact"/>
        <w:rPr>
          <w:sz w:val="24"/>
          <w:szCs w:val="24"/>
          <w:color w:val="auto"/>
        </w:rPr>
      </w:pPr>
    </w:p>
    <w:p>
      <w:pPr>
        <w:ind w:left="350" w:right="3179" w:hanging="350"/>
        <w:spacing w:after="0" w:line="235"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0"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For the quarterly period ended June 30, 2005</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350" w:right="3179" w:hanging="350"/>
        <w:spacing w:after="0" w:line="235" w:lineRule="auto"/>
        <w:tabs>
          <w:tab w:leader="none" w:pos="1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0" w:lineRule="exact"/>
        <w:rPr>
          <w:sz w:val="24"/>
          <w:szCs w:val="24"/>
          <w:color w:val="auto"/>
        </w:rPr>
      </w:pPr>
    </w:p>
    <w:p>
      <w:pPr>
        <w:ind w:left="1230"/>
        <w:spacing w:after="0"/>
        <w:rPr>
          <w:sz w:val="20"/>
          <w:szCs w:val="20"/>
          <w:color w:val="auto"/>
        </w:rPr>
      </w:pPr>
      <w:r>
        <w:rPr>
          <w:rFonts w:ascii="Courier New" w:cs="Courier New" w:eastAsia="Courier New" w:hAnsi="Courier New"/>
          <w:sz w:val="15"/>
          <w:szCs w:val="15"/>
          <w:color w:val="auto"/>
        </w:rPr>
        <w:t>For the transition period from _________ to _________</w:t>
      </w:r>
    </w:p>
    <w:p>
      <w:pPr>
        <w:spacing w:after="0" w:line="339" w:lineRule="exact"/>
        <w:rPr>
          <w:sz w:val="24"/>
          <w:szCs w:val="24"/>
          <w:color w:val="auto"/>
        </w:rPr>
      </w:pPr>
    </w:p>
    <w:p>
      <w:pPr>
        <w:ind w:left="2210"/>
        <w:spacing w:after="0"/>
        <w:rPr>
          <w:sz w:val="20"/>
          <w:szCs w:val="20"/>
          <w:color w:val="auto"/>
        </w:rPr>
      </w:pPr>
      <w:r>
        <w:rPr>
          <w:rFonts w:ascii="Courier New" w:cs="Courier New" w:eastAsia="Courier New" w:hAnsi="Courier New"/>
          <w:sz w:val="15"/>
          <w:szCs w:val="15"/>
          <w:color w:val="auto"/>
        </w:rPr>
        <w:t>Commission File Number 0-23486</w:t>
      </w:r>
    </w:p>
    <w:p>
      <w:pPr>
        <w:spacing w:after="0" w:line="33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NN, Inc.</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226" w:right="1440" w:bottom="0" w:gutter="0" w:footer="0" w:header="0"/>
        </w:sectPr>
      </w:pPr>
    </w:p>
    <w:p>
      <w:pPr>
        <w:spacing w:after="0" w:line="338" w:lineRule="exact"/>
        <w:rPr>
          <w:sz w:val="24"/>
          <w:szCs w:val="24"/>
          <w:color w:val="auto"/>
        </w:rPr>
      </w:pPr>
    </w:p>
    <w:p>
      <w:pPr>
        <w:ind w:left="105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ind w:left="9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62-1096725</w:t>
      </w: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5" w:lineRule="exact"/>
        <w:rPr>
          <w:sz w:val="24"/>
          <w:szCs w:val="24"/>
          <w:color w:val="auto"/>
        </w:rPr>
      </w:pPr>
    </w:p>
    <w:p>
      <w:pPr>
        <w:sectPr>
          <w:pgSz w:w="11900" w:h="16838" w:orient="portrait"/>
          <w:cols w:equalWidth="0" w:num="2">
            <w:col w:w="3690" w:space="720"/>
            <w:col w:w="5819"/>
          </w:cols>
          <w:pgMar w:left="230" w:top="226" w:right="1440" w:bottom="0" w:gutter="0" w:footer="0" w:header="0"/>
          <w:type w:val="continuous"/>
        </w:sectPr>
      </w:pPr>
    </w:p>
    <w:p>
      <w:pPr>
        <w:ind w:left="2550"/>
        <w:spacing w:after="0"/>
        <w:rPr>
          <w:sz w:val="20"/>
          <w:szCs w:val="20"/>
          <w:color w:val="auto"/>
        </w:rPr>
      </w:pPr>
      <w:r>
        <w:rPr>
          <w:rFonts w:ascii="Courier New" w:cs="Courier New" w:eastAsia="Courier New" w:hAnsi="Courier New"/>
          <w:sz w:val="15"/>
          <w:szCs w:val="15"/>
          <w:color w:val="auto"/>
        </w:rPr>
        <w:t>2000 Waters Edge Drive</w:t>
      </w:r>
    </w:p>
    <w:p>
      <w:pPr>
        <w:ind w:left="2650"/>
        <w:spacing w:after="0"/>
        <w:rPr>
          <w:sz w:val="20"/>
          <w:szCs w:val="20"/>
          <w:color w:val="auto"/>
        </w:rPr>
      </w:pPr>
      <w:r>
        <w:rPr>
          <w:rFonts w:ascii="Courier New" w:cs="Courier New" w:eastAsia="Courier New" w:hAnsi="Courier New"/>
          <w:sz w:val="15"/>
          <w:szCs w:val="15"/>
          <w:color w:val="auto"/>
        </w:rPr>
        <w:t>Building C, Suite 12</w:t>
      </w:r>
    </w:p>
    <w:p>
      <w:pPr>
        <w:ind w:left="2290"/>
        <w:spacing w:after="0"/>
        <w:rPr>
          <w:sz w:val="20"/>
          <w:szCs w:val="20"/>
          <w:color w:val="auto"/>
        </w:rPr>
      </w:pPr>
      <w:r>
        <w:rPr>
          <w:rFonts w:ascii="Courier New" w:cs="Courier New" w:eastAsia="Courier New" w:hAnsi="Courier New"/>
          <w:sz w:val="15"/>
          <w:szCs w:val="15"/>
          <w:color w:val="auto"/>
        </w:rPr>
        <w:t>Johnson City, Tennessee 37604</w:t>
      </w:r>
    </w:p>
    <w:p>
      <w:pPr>
        <w:ind w:left="890"/>
        <w:spacing w:after="0" w:line="238" w:lineRule="auto"/>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(423) 743-9151</w:t>
      </w:r>
    </w:p>
    <w:p>
      <w:pPr>
        <w:jc w:val="center"/>
        <w:ind w:right="317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44" w:lineRule="exact"/>
        <w:rPr>
          <w:sz w:val="24"/>
          <w:szCs w:val="24"/>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w:t>
      </w:r>
    </w:p>
    <w:tbl>
      <w:tblPr>
        <w:tblLayout w:type="fixed"/>
        <w:tblInd w:w="10" w:type="dxa"/>
        <w:tblCellMar>
          <w:top w:w="0" w:type="dxa"/>
          <w:left w:w="0" w:type="dxa"/>
          <w:bottom w:w="0" w:type="dxa"/>
          <w:right w:w="0" w:type="dxa"/>
        </w:tblCellMar>
      </w:tblPr>
      <w:tr>
        <w:trPr>
          <w:trHeight w:val="165"/>
        </w:trPr>
        <w:tc>
          <w:tcPr>
            <w:tcW w:w="380" w:type="dxa"/>
            <w:vAlign w:val="bottom"/>
          </w:tcPr>
          <w:p>
            <w:pPr>
              <w:spacing w:after="0" w:line="165" w:lineRule="exact"/>
              <w:rPr>
                <w:sz w:val="20"/>
                <w:szCs w:val="20"/>
                <w:color w:val="auto"/>
              </w:rPr>
            </w:pPr>
            <w:r>
              <w:rPr>
                <w:rFonts w:ascii="Courier New" w:cs="Courier New" w:eastAsia="Courier New" w:hAnsi="Courier New"/>
                <w:sz w:val="15"/>
                <w:szCs w:val="15"/>
                <w:color w:val="auto"/>
              </w:rPr>
              <w:t>the</w:t>
            </w:r>
          </w:p>
        </w:tc>
        <w:tc>
          <w:tcPr>
            <w:tcW w:w="1760" w:type="dxa"/>
            <w:vAlign w:val="bottom"/>
            <w:gridSpan w:val="3"/>
          </w:tcPr>
          <w:p>
            <w:pPr>
              <w:ind w:left="60"/>
              <w:spacing w:after="0" w:line="165" w:lineRule="exact"/>
              <w:rPr>
                <w:sz w:val="20"/>
                <w:szCs w:val="20"/>
                <w:color w:val="auto"/>
              </w:rPr>
            </w:pPr>
            <w:r>
              <w:rPr>
                <w:rFonts w:ascii="Courier New" w:cs="Courier New" w:eastAsia="Courier New" w:hAnsi="Courier New"/>
                <w:sz w:val="15"/>
                <w:szCs w:val="15"/>
                <w:color w:val="auto"/>
                <w:w w:val="98"/>
              </w:rPr>
              <w:t>preceding 12 months</w:t>
            </w:r>
          </w:p>
        </w:tc>
        <w:tc>
          <w:tcPr>
            <w:tcW w:w="1280" w:type="dxa"/>
            <w:vAlign w:val="bottom"/>
            <w:gridSpan w:val="2"/>
          </w:tcPr>
          <w:p>
            <w:pPr>
              <w:ind w:left="60"/>
              <w:spacing w:after="0" w:line="165" w:lineRule="exact"/>
              <w:rPr>
                <w:sz w:val="20"/>
                <w:szCs w:val="20"/>
                <w:color w:val="auto"/>
              </w:rPr>
            </w:pPr>
            <w:r>
              <w:rPr>
                <w:rFonts w:ascii="Courier New" w:cs="Courier New" w:eastAsia="Courier New" w:hAnsi="Courier New"/>
                <w:sz w:val="15"/>
                <w:szCs w:val="15"/>
                <w:color w:val="auto"/>
              </w:rPr>
              <w:t>(or for such</w:t>
            </w:r>
          </w:p>
        </w:tc>
        <w:tc>
          <w:tcPr>
            <w:tcW w:w="80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rPr>
              <w:t>shorter</w:t>
            </w:r>
          </w:p>
        </w:tc>
        <w:tc>
          <w:tcPr>
            <w:tcW w:w="1420" w:type="dxa"/>
            <w:vAlign w:val="bottom"/>
            <w:gridSpan w:val="3"/>
          </w:tcPr>
          <w:p>
            <w:pPr>
              <w:jc w:val="right"/>
              <w:ind w:right="27"/>
              <w:spacing w:after="0" w:line="165" w:lineRule="exact"/>
              <w:rPr>
                <w:sz w:val="20"/>
                <w:szCs w:val="20"/>
                <w:color w:val="auto"/>
              </w:rPr>
            </w:pPr>
            <w:r>
              <w:rPr>
                <w:rFonts w:ascii="Courier New" w:cs="Courier New" w:eastAsia="Courier New" w:hAnsi="Courier New"/>
                <w:sz w:val="15"/>
                <w:szCs w:val="15"/>
                <w:color w:val="auto"/>
                <w:w w:val="96"/>
              </w:rPr>
              <w:t>period that the</w:t>
            </w:r>
          </w:p>
        </w:tc>
        <w:tc>
          <w:tcPr>
            <w:tcW w:w="1400" w:type="dxa"/>
            <w:vAlign w:val="bottom"/>
            <w:gridSpan w:val="2"/>
          </w:tcPr>
          <w:p>
            <w:pPr>
              <w:jc w:val="right"/>
              <w:spacing w:after="0" w:line="165" w:lineRule="exact"/>
              <w:rPr>
                <w:sz w:val="20"/>
                <w:szCs w:val="20"/>
                <w:color w:val="auto"/>
              </w:rPr>
            </w:pPr>
            <w:r>
              <w:rPr>
                <w:rFonts w:ascii="Courier New" w:cs="Courier New" w:eastAsia="Courier New" w:hAnsi="Courier New"/>
                <w:sz w:val="15"/>
                <w:szCs w:val="15"/>
                <w:color w:val="auto"/>
              </w:rPr>
              <w:t>registrant  was</w:t>
            </w:r>
          </w:p>
        </w:tc>
      </w:tr>
      <w:tr>
        <w:trPr>
          <w:trHeight w:val="170"/>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required</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to file</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such</w:t>
            </w: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w w:val="93"/>
              </w:rPr>
              <w:t>reports),</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and</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(2) has</w:t>
            </w:r>
          </w:p>
        </w:tc>
        <w:tc>
          <w:tcPr>
            <w:tcW w:w="14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been  subject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to such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filing</w:t>
            </w:r>
          </w:p>
        </w:tc>
      </w:tr>
      <w:tr>
        <w:trPr>
          <w:trHeight w:val="170"/>
        </w:trPr>
        <w:tc>
          <w:tcPr>
            <w:tcW w:w="2980" w:type="dxa"/>
            <w:vAlign w:val="bottom"/>
            <w:gridSpan w:val="5"/>
          </w:tcPr>
          <w:p>
            <w:pPr>
              <w:spacing w:after="0"/>
              <w:rPr>
                <w:sz w:val="20"/>
                <w:szCs w:val="20"/>
                <w:color w:val="auto"/>
              </w:rPr>
            </w:pPr>
            <w:r>
              <w:rPr>
                <w:rFonts w:ascii="Courier New" w:cs="Courier New" w:eastAsia="Courier New" w:hAnsi="Courier New"/>
                <w:sz w:val="15"/>
                <w:szCs w:val="15"/>
                <w:color w:val="auto"/>
                <w:w w:val="96"/>
              </w:rPr>
              <w:t>requirements for the past 90 days.</w:t>
            </w:r>
          </w:p>
        </w:tc>
        <w:tc>
          <w:tcPr>
            <w:tcW w:w="440" w:type="dxa"/>
            <w:vAlign w:val="bottom"/>
          </w:tcPr>
          <w:p>
            <w:pPr>
              <w:spacing w:after="0"/>
              <w:rPr>
                <w:sz w:val="14"/>
                <w:szCs w:val="14"/>
                <w:color w:val="auto"/>
              </w:rPr>
            </w:pP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w w:val="88"/>
              </w:rPr>
              <w:t>Yes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c>
          <w:tcPr>
            <w:tcW w:w="540" w:type="dxa"/>
            <w:vAlign w:val="bottom"/>
          </w:tcPr>
          <w:p>
            <w:pPr>
              <w:spacing w:after="0"/>
              <w:rPr>
                <w:sz w:val="14"/>
                <w:szCs w:val="14"/>
                <w:color w:val="auto"/>
              </w:rPr>
            </w:pPr>
          </w:p>
        </w:tc>
        <w:tc>
          <w:tcPr>
            <w:tcW w:w="7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77"/>
              </w:rPr>
              <w:t>No</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[_]</w:t>
            </w:r>
          </w:p>
        </w:tc>
      </w:tr>
      <w:tr>
        <w:trPr>
          <w:trHeight w:val="339"/>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Indicate</w:t>
            </w:r>
          </w:p>
        </w:tc>
        <w:tc>
          <w:tcPr>
            <w:tcW w:w="1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by check mark</w:t>
            </w: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whether</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rPr>
              <w:t>registrant</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is an</w:t>
            </w: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accelerated  filer (as</w:t>
            </w:r>
          </w:p>
        </w:tc>
      </w:tr>
      <w:tr>
        <w:trPr>
          <w:trHeight w:val="170"/>
        </w:trPr>
        <w:tc>
          <w:tcPr>
            <w:tcW w:w="4480" w:type="dxa"/>
            <w:vAlign w:val="bottom"/>
            <w:gridSpan w:val="9"/>
          </w:tcPr>
          <w:p>
            <w:pPr>
              <w:spacing w:after="0"/>
              <w:rPr>
                <w:sz w:val="20"/>
                <w:szCs w:val="20"/>
                <w:color w:val="auto"/>
              </w:rPr>
            </w:pPr>
            <w:r>
              <w:rPr>
                <w:rFonts w:ascii="Courier New" w:cs="Courier New" w:eastAsia="Courier New" w:hAnsi="Courier New"/>
                <w:sz w:val="15"/>
                <w:szCs w:val="15"/>
                <w:color w:val="auto"/>
                <w:w w:val="97"/>
              </w:rPr>
              <w:t>defined in Rule 12b-2 of the Exchange Act). Yes [X]</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 [_]</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3960" w:type="dxa"/>
            <w:vAlign w:val="bottom"/>
            <w:gridSpan w:val="7"/>
          </w:tcPr>
          <w:p>
            <w:pPr>
              <w:spacing w:after="0"/>
              <w:rPr>
                <w:sz w:val="20"/>
                <w:szCs w:val="20"/>
                <w:color w:val="auto"/>
              </w:rPr>
            </w:pPr>
            <w:r>
              <w:rPr>
                <w:rFonts w:ascii="Courier New" w:cs="Courier New" w:eastAsia="Courier New" w:hAnsi="Courier New"/>
                <w:sz w:val="15"/>
                <w:szCs w:val="15"/>
                <w:color w:val="auto"/>
              </w:rPr>
              <w:t>As of August 1, 2005 there were  17,176,172</w:t>
            </w:r>
          </w:p>
        </w:tc>
        <w:tc>
          <w:tcPr>
            <w:tcW w:w="1140" w:type="dxa"/>
            <w:vAlign w:val="bottom"/>
            <w:gridSpan w:val="3"/>
          </w:tcPr>
          <w:p>
            <w:pPr>
              <w:spacing w:after="0"/>
              <w:rPr>
                <w:sz w:val="20"/>
                <w:szCs w:val="20"/>
                <w:color w:val="auto"/>
              </w:rPr>
            </w:pPr>
            <w:r>
              <w:rPr>
                <w:rFonts w:ascii="Courier New" w:cs="Courier New" w:eastAsia="Courier New" w:hAnsi="Courier New"/>
                <w:sz w:val="15"/>
                <w:szCs w:val="15"/>
                <w:color w:val="auto"/>
                <w:w w:val="95"/>
              </w:rPr>
              <w:t>shares of the</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registrant's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r>
      <w:tr>
        <w:trPr>
          <w:trHeight w:val="170"/>
        </w:trPr>
        <w:tc>
          <w:tcPr>
            <w:tcW w:w="4220" w:type="dxa"/>
            <w:vAlign w:val="bottom"/>
            <w:gridSpan w:val="8"/>
          </w:tcPr>
          <w:p>
            <w:pPr>
              <w:spacing w:after="0"/>
              <w:rPr>
                <w:sz w:val="20"/>
                <w:szCs w:val="20"/>
                <w:color w:val="auto"/>
              </w:rPr>
            </w:pPr>
            <w:r>
              <w:rPr>
                <w:rFonts w:ascii="Courier New" w:cs="Courier New" w:eastAsia="Courier New" w:hAnsi="Courier New"/>
                <w:sz w:val="15"/>
                <w:szCs w:val="15"/>
                <w:color w:val="auto"/>
              </w:rPr>
              <w:t>stock, par value $0.01 per share, outstanding.</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25"/>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NN, Inc.</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INDEX</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9"/>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Page No.</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Part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I.</w:t>
            </w:r>
          </w:p>
        </w:tc>
        <w:tc>
          <w:tcPr>
            <w:tcW w:w="2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Financial Information</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Financial</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Statements:</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38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Consolidated</w:t>
            </w:r>
          </w:p>
        </w:tc>
        <w:tc>
          <w:tcPr>
            <w:tcW w:w="2300" w:type="dxa"/>
            <w:vAlign w:val="bottom"/>
            <w:gridSpan w:val="4"/>
          </w:tcPr>
          <w:p>
            <w:pPr>
              <w:spacing w:after="0"/>
              <w:rPr>
                <w:sz w:val="20"/>
                <w:szCs w:val="20"/>
                <w:color w:val="auto"/>
              </w:rPr>
            </w:pPr>
            <w:r>
              <w:rPr>
                <w:rFonts w:ascii="Courier New" w:cs="Courier New" w:eastAsia="Courier New" w:hAnsi="Courier New"/>
                <w:sz w:val="15"/>
                <w:szCs w:val="15"/>
                <w:color w:val="auto"/>
              </w:rPr>
              <w:t>Statements of Income and</w:t>
            </w:r>
          </w:p>
        </w:tc>
        <w:tc>
          <w:tcPr>
            <w:tcW w:w="1140" w:type="dxa"/>
            <w:vAlign w:val="bottom"/>
            <w:gridSpan w:val="3"/>
          </w:tcPr>
          <w:p>
            <w:pPr>
              <w:spacing w:after="0"/>
              <w:rPr>
                <w:sz w:val="20"/>
                <w:szCs w:val="20"/>
                <w:color w:val="auto"/>
              </w:rPr>
            </w:pPr>
            <w:r>
              <w:rPr>
                <w:rFonts w:ascii="Courier New" w:cs="Courier New" w:eastAsia="Courier New" w:hAnsi="Courier New"/>
                <w:sz w:val="15"/>
                <w:szCs w:val="15"/>
                <w:color w:val="auto"/>
                <w:w w:val="95"/>
              </w:rPr>
              <w:t>Comprehensive</w:t>
            </w:r>
          </w:p>
        </w:tc>
        <w:tc>
          <w:tcPr>
            <w:tcW w:w="12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Income</w:t>
            </w:r>
          </w:p>
        </w:tc>
        <w:tc>
          <w:tcPr>
            <w:tcW w:w="70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5260" w:type="dxa"/>
            <w:vAlign w:val="bottom"/>
            <w:gridSpan w:val="10"/>
          </w:tcPr>
          <w:p>
            <w:pPr>
              <w:ind w:left="60"/>
              <w:spacing w:after="0"/>
              <w:rPr>
                <w:sz w:val="20"/>
                <w:szCs w:val="20"/>
                <w:color w:val="auto"/>
              </w:rPr>
            </w:pPr>
            <w:r>
              <w:rPr>
                <w:rFonts w:ascii="Courier New" w:cs="Courier New" w:eastAsia="Courier New" w:hAnsi="Courier New"/>
                <w:sz w:val="15"/>
                <w:szCs w:val="15"/>
                <w:color w:val="auto"/>
              </w:rPr>
              <w:t>for the three and six months ended June 30, 2005 and 2004</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Courier New" w:cs="Courier New" w:eastAsia="Courier New" w:hAnsi="Courier New"/>
                <w:sz w:val="5"/>
                <w:szCs w:val="5"/>
                <w:color w:val="auto"/>
                <w:w w:val="78"/>
              </w:rPr>
              <w:t>(Unaudited)............................................................</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39"/>
        </w:trPr>
        <w:tc>
          <w:tcPr>
            <w:tcW w:w="380" w:type="dxa"/>
            <w:vAlign w:val="bottom"/>
          </w:tcPr>
          <w:p>
            <w:pPr>
              <w:spacing w:after="0"/>
              <w:rPr>
                <w:sz w:val="24"/>
                <w:szCs w:val="24"/>
                <w:color w:val="auto"/>
              </w:rPr>
            </w:pPr>
          </w:p>
        </w:tc>
        <w:tc>
          <w:tcPr>
            <w:tcW w:w="5260" w:type="dxa"/>
            <w:vAlign w:val="bottom"/>
            <w:gridSpan w:val="10"/>
          </w:tcPr>
          <w:p>
            <w:pPr>
              <w:ind w:left="60"/>
              <w:spacing w:after="0"/>
              <w:rPr>
                <w:sz w:val="20"/>
                <w:szCs w:val="20"/>
                <w:color w:val="auto"/>
              </w:rPr>
            </w:pPr>
            <w:r>
              <w:rPr>
                <w:rFonts w:ascii="Courier New" w:cs="Courier New" w:eastAsia="Courier New" w:hAnsi="Courier New"/>
                <w:sz w:val="15"/>
                <w:szCs w:val="15"/>
                <w:color w:val="auto"/>
              </w:rPr>
              <w:t>Condensed Consolidated Balance Sheets at June 30, 2005</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3580" w:type="dxa"/>
            <w:vAlign w:val="bottom"/>
            <w:gridSpan w:val="6"/>
          </w:tcPr>
          <w:p>
            <w:pPr>
              <w:ind w:left="60"/>
              <w:spacing w:after="0"/>
              <w:rPr>
                <w:sz w:val="20"/>
                <w:szCs w:val="20"/>
                <w:color w:val="auto"/>
              </w:rPr>
            </w:pPr>
            <w:r>
              <w:rPr>
                <w:rFonts w:ascii="Courier New" w:cs="Courier New" w:eastAsia="Courier New" w:hAnsi="Courier New"/>
                <w:sz w:val="10"/>
                <w:szCs w:val="10"/>
                <w:color w:val="auto"/>
                <w:w w:val="82"/>
              </w:rPr>
              <w:t>and December 31, 2004 (unaudited)......................................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39"/>
        </w:trPr>
        <w:tc>
          <w:tcPr>
            <w:tcW w:w="380" w:type="dxa"/>
            <w:vAlign w:val="bottom"/>
          </w:tcPr>
          <w:p>
            <w:pPr>
              <w:spacing w:after="0"/>
              <w:rPr>
                <w:sz w:val="24"/>
                <w:szCs w:val="24"/>
                <w:color w:val="auto"/>
              </w:rPr>
            </w:pPr>
          </w:p>
        </w:tc>
        <w:tc>
          <w:tcPr>
            <w:tcW w:w="5960" w:type="dxa"/>
            <w:vAlign w:val="bottom"/>
            <w:gridSpan w:val="11"/>
          </w:tcPr>
          <w:p>
            <w:pPr>
              <w:ind w:left="60"/>
              <w:spacing w:after="0"/>
              <w:rPr>
                <w:sz w:val="20"/>
                <w:szCs w:val="20"/>
                <w:color w:val="auto"/>
              </w:rPr>
            </w:pPr>
            <w:r>
              <w:rPr>
                <w:rFonts w:ascii="Courier New" w:cs="Courier New" w:eastAsia="Courier New" w:hAnsi="Courier New"/>
                <w:sz w:val="15"/>
                <w:szCs w:val="15"/>
                <w:color w:val="auto"/>
                <w:w w:val="98"/>
              </w:rPr>
              <w:t>Consolidated Statements of Changes in Stockholders' Equity for the</w:t>
            </w:r>
          </w:p>
        </w:tc>
        <w:tc>
          <w:tcPr>
            <w:tcW w:w="70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5260" w:type="dxa"/>
            <w:vAlign w:val="bottom"/>
            <w:gridSpan w:val="10"/>
          </w:tcPr>
          <w:p>
            <w:pPr>
              <w:ind w:left="60"/>
              <w:spacing w:after="0"/>
              <w:rPr>
                <w:sz w:val="20"/>
                <w:szCs w:val="20"/>
                <w:color w:val="auto"/>
              </w:rPr>
            </w:pPr>
            <w:r>
              <w:rPr>
                <w:rFonts w:ascii="Courier New" w:cs="Courier New" w:eastAsia="Courier New" w:hAnsi="Courier New"/>
                <w:sz w:val="15"/>
                <w:szCs w:val="15"/>
                <w:color w:val="auto"/>
                <w:w w:val="81"/>
              </w:rPr>
              <w:t>six months ended June 30, 2005 and 2004 (unaudited)....................</w:t>
            </w:r>
          </w:p>
        </w:tc>
        <w:tc>
          <w:tcPr>
            <w:tcW w:w="7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39"/>
        </w:trPr>
        <w:tc>
          <w:tcPr>
            <w:tcW w:w="380" w:type="dxa"/>
            <w:vAlign w:val="bottom"/>
          </w:tcPr>
          <w:p>
            <w:pPr>
              <w:spacing w:after="0"/>
              <w:rPr>
                <w:sz w:val="24"/>
                <w:szCs w:val="24"/>
                <w:color w:val="auto"/>
              </w:rPr>
            </w:pPr>
          </w:p>
        </w:tc>
        <w:tc>
          <w:tcPr>
            <w:tcW w:w="5960" w:type="dxa"/>
            <w:vAlign w:val="bottom"/>
            <w:gridSpan w:val="11"/>
          </w:tcPr>
          <w:p>
            <w:pPr>
              <w:ind w:left="60"/>
              <w:spacing w:after="0"/>
              <w:rPr>
                <w:sz w:val="20"/>
                <w:szCs w:val="20"/>
                <w:color w:val="auto"/>
              </w:rPr>
            </w:pPr>
            <w:r>
              <w:rPr>
                <w:rFonts w:ascii="Courier New" w:cs="Courier New" w:eastAsia="Courier New" w:hAnsi="Courier New"/>
                <w:sz w:val="15"/>
                <w:szCs w:val="15"/>
                <w:color w:val="auto"/>
              </w:rPr>
              <w:t>Consolidated Statements of Cash Flows for the six months ended</w:t>
            </w:r>
          </w:p>
        </w:tc>
        <w:tc>
          <w:tcPr>
            <w:tcW w:w="70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3040" w:type="dxa"/>
            <w:vAlign w:val="bottom"/>
            <w:gridSpan w:val="5"/>
          </w:tcPr>
          <w:p>
            <w:pPr>
              <w:ind w:left="60"/>
              <w:spacing w:after="0"/>
              <w:rPr>
                <w:sz w:val="20"/>
                <w:szCs w:val="20"/>
                <w:color w:val="auto"/>
              </w:rPr>
            </w:pPr>
            <w:r>
              <w:rPr>
                <w:rFonts w:ascii="Courier New" w:cs="Courier New" w:eastAsia="Courier New" w:hAnsi="Courier New"/>
                <w:sz w:val="15"/>
                <w:szCs w:val="15"/>
                <w:color w:val="auto"/>
                <w:w w:val="96"/>
              </w:rPr>
              <w:t>June 30, 2005 and 2004 (unaudited)</w:t>
            </w:r>
          </w:p>
        </w:tc>
        <w:tc>
          <w:tcPr>
            <w:tcW w:w="800" w:type="dxa"/>
            <w:vAlign w:val="bottom"/>
            <w:gridSpan w:val="2"/>
          </w:tcPr>
          <w:p>
            <w:pPr>
              <w:spacing w:after="0"/>
              <w:rPr>
                <w:sz w:val="20"/>
                <w:szCs w:val="20"/>
                <w:color w:val="auto"/>
              </w:rPr>
            </w:pPr>
            <w:r>
              <w:rPr>
                <w:rFonts w:ascii="Courier New" w:cs="Courier New" w:eastAsia="Courier New" w:hAnsi="Courier New"/>
                <w:sz w:val="5"/>
                <w:szCs w:val="5"/>
                <w:color w:val="auto"/>
                <w:w w:val="70"/>
              </w:rPr>
              <w: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39"/>
        </w:trPr>
        <w:tc>
          <w:tcPr>
            <w:tcW w:w="380" w:type="dxa"/>
            <w:vAlign w:val="bottom"/>
          </w:tcPr>
          <w:p>
            <w:pPr>
              <w:spacing w:after="0"/>
              <w:rPr>
                <w:sz w:val="24"/>
                <w:szCs w:val="24"/>
                <w:color w:val="auto"/>
              </w:rPr>
            </w:pPr>
          </w:p>
        </w:tc>
        <w:tc>
          <w:tcPr>
            <w:tcW w:w="5960" w:type="dxa"/>
            <w:vAlign w:val="bottom"/>
            <w:gridSpan w:val="11"/>
          </w:tcPr>
          <w:p>
            <w:pPr>
              <w:ind w:left="60"/>
              <w:spacing w:after="0"/>
              <w:rPr>
                <w:sz w:val="20"/>
                <w:szCs w:val="20"/>
                <w:color w:val="auto"/>
              </w:rPr>
            </w:pPr>
            <w:r>
              <w:rPr>
                <w:rFonts w:ascii="Courier New" w:cs="Courier New" w:eastAsia="Courier New" w:hAnsi="Courier New"/>
                <w:sz w:val="15"/>
                <w:szCs w:val="15"/>
                <w:color w:val="auto"/>
                <w:w w:val="92"/>
              </w:rPr>
              <w:t>Notes to Consolidated Financial Statements (unaudited).................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c>
          <w:tcPr>
            <w:tcW w:w="4360" w:type="dxa"/>
            <w:vAlign w:val="bottom"/>
            <w:gridSpan w:val="8"/>
          </w:tcPr>
          <w:p>
            <w:pPr>
              <w:ind w:left="40"/>
              <w:spacing w:after="0"/>
              <w:rPr>
                <w:sz w:val="20"/>
                <w:szCs w:val="20"/>
                <w:color w:val="auto"/>
              </w:rPr>
            </w:pPr>
            <w:r>
              <w:rPr>
                <w:rFonts w:ascii="Courier New" w:cs="Courier New" w:eastAsia="Courier New" w:hAnsi="Courier New"/>
                <w:sz w:val="15"/>
                <w:szCs w:val="15"/>
                <w:color w:val="auto"/>
                <w:w w:val="97"/>
              </w:rPr>
              <w:t>Management's Discussion and Analysis of Financial</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80" w:type="dxa"/>
            <w:vAlign w:val="bottom"/>
            <w:gridSpan w:val="6"/>
          </w:tcPr>
          <w:p>
            <w:pPr>
              <w:ind w:left="40"/>
              <w:spacing w:after="0"/>
              <w:rPr>
                <w:sz w:val="20"/>
                <w:szCs w:val="20"/>
                <w:color w:val="auto"/>
              </w:rPr>
            </w:pPr>
            <w:r>
              <w:rPr>
                <w:rFonts w:ascii="Courier New" w:cs="Courier New" w:eastAsia="Courier New" w:hAnsi="Courier New"/>
                <w:sz w:val="12"/>
                <w:szCs w:val="12"/>
                <w:color w:val="auto"/>
                <w:w w:val="70"/>
              </w:rPr>
              <w:t>Condition and Results of Operations................................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3.</w:t>
            </w:r>
          </w:p>
        </w:tc>
        <w:tc>
          <w:tcPr>
            <w:tcW w:w="5600" w:type="dxa"/>
            <w:vAlign w:val="bottom"/>
            <w:gridSpan w:val="10"/>
          </w:tcPr>
          <w:p>
            <w:pPr>
              <w:ind w:left="40"/>
              <w:spacing w:after="0"/>
              <w:rPr>
                <w:sz w:val="20"/>
                <w:szCs w:val="20"/>
                <w:color w:val="auto"/>
              </w:rPr>
            </w:pPr>
            <w:r>
              <w:rPr>
                <w:rFonts w:ascii="Courier New" w:cs="Courier New" w:eastAsia="Courier New" w:hAnsi="Courier New"/>
                <w:sz w:val="15"/>
                <w:szCs w:val="15"/>
                <w:color w:val="auto"/>
                <w:w w:val="91"/>
              </w:rPr>
              <w:t>Quantitative and Qualitative Disclosures about Market Risk.........</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4.</w:t>
            </w:r>
          </w:p>
        </w:tc>
        <w:tc>
          <w:tcPr>
            <w:tcW w:w="2680" w:type="dxa"/>
            <w:vAlign w:val="bottom"/>
            <w:gridSpan w:val="4"/>
          </w:tcPr>
          <w:p>
            <w:pPr>
              <w:ind w:left="40"/>
              <w:spacing w:after="0"/>
              <w:rPr>
                <w:sz w:val="20"/>
                <w:szCs w:val="20"/>
                <w:color w:val="auto"/>
              </w:rPr>
            </w:pPr>
            <w:r>
              <w:rPr>
                <w:rFonts w:ascii="Courier New" w:cs="Courier New" w:eastAsia="Courier New" w:hAnsi="Courier New"/>
                <w:sz w:val="9"/>
                <w:szCs w:val="9"/>
                <w:color w:val="auto"/>
                <w:w w:val="72"/>
              </w:rPr>
              <w:t>Controls and Procedures............................................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Part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II.</w:t>
            </w:r>
          </w:p>
        </w:tc>
        <w:tc>
          <w:tcPr>
            <w:tcW w:w="22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Other Information</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w:t>
            </w:r>
          </w:p>
        </w:tc>
        <w:tc>
          <w:tcPr>
            <w:tcW w:w="2680" w:type="dxa"/>
            <w:vAlign w:val="bottom"/>
            <w:gridSpan w:val="4"/>
          </w:tcPr>
          <w:p>
            <w:pPr>
              <w:ind w:left="40"/>
              <w:spacing w:after="0"/>
              <w:rPr>
                <w:sz w:val="20"/>
                <w:szCs w:val="20"/>
                <w:color w:val="auto"/>
              </w:rPr>
            </w:pPr>
            <w:r>
              <w:rPr>
                <w:rFonts w:ascii="Courier New" w:cs="Courier New" w:eastAsia="Courier New" w:hAnsi="Courier New"/>
                <w:sz w:val="9"/>
                <w:szCs w:val="9"/>
                <w:color w:val="auto"/>
                <w:w w:val="72"/>
              </w:rPr>
              <w:t>Legal Proceedings..................................................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c>
          <w:tcPr>
            <w:tcW w:w="4360" w:type="dxa"/>
            <w:vAlign w:val="bottom"/>
            <w:gridSpan w:val="8"/>
          </w:tcPr>
          <w:p>
            <w:pPr>
              <w:ind w:left="40"/>
              <w:spacing w:after="0"/>
              <w:rPr>
                <w:sz w:val="20"/>
                <w:szCs w:val="20"/>
                <w:color w:val="auto"/>
              </w:rPr>
            </w:pPr>
            <w:r>
              <w:rPr>
                <w:rFonts w:ascii="Courier New" w:cs="Courier New" w:eastAsia="Courier New" w:hAnsi="Courier New"/>
                <w:sz w:val="15"/>
                <w:szCs w:val="15"/>
                <w:color w:val="auto"/>
                <w:w w:val="71"/>
              </w:rPr>
              <w:t>Changes in Securities and Use of Proceeds..........................</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3.</w:t>
            </w:r>
          </w:p>
        </w:tc>
        <w:tc>
          <w:tcPr>
            <w:tcW w:w="3480" w:type="dxa"/>
            <w:vAlign w:val="bottom"/>
            <w:gridSpan w:val="6"/>
          </w:tcPr>
          <w:p>
            <w:pPr>
              <w:ind w:left="40"/>
              <w:spacing w:after="0"/>
              <w:rPr>
                <w:sz w:val="20"/>
                <w:szCs w:val="20"/>
                <w:color w:val="auto"/>
              </w:rPr>
            </w:pPr>
            <w:r>
              <w:rPr>
                <w:rFonts w:ascii="Courier New" w:cs="Courier New" w:eastAsia="Courier New" w:hAnsi="Courier New"/>
                <w:sz w:val="12"/>
                <w:szCs w:val="12"/>
                <w:color w:val="auto"/>
                <w:w w:val="70"/>
              </w:rPr>
              <w:t>Defaults Upon Senior Securities....................................</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4.</w:t>
            </w:r>
          </w:p>
        </w:tc>
        <w:tc>
          <w:tcPr>
            <w:tcW w:w="5600" w:type="dxa"/>
            <w:vAlign w:val="bottom"/>
            <w:gridSpan w:val="10"/>
          </w:tcPr>
          <w:p>
            <w:pPr>
              <w:ind w:left="40"/>
              <w:spacing w:after="0"/>
              <w:rPr>
                <w:sz w:val="20"/>
                <w:szCs w:val="20"/>
                <w:color w:val="auto"/>
              </w:rPr>
            </w:pPr>
            <w:r>
              <w:rPr>
                <w:rFonts w:ascii="Courier New" w:cs="Courier New" w:eastAsia="Courier New" w:hAnsi="Courier New"/>
                <w:sz w:val="15"/>
                <w:szCs w:val="15"/>
                <w:color w:val="auto"/>
                <w:w w:val="91"/>
              </w:rPr>
              <w:t>Submission of Matters to a Vote of Security Holders................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5.</w:t>
            </w:r>
          </w:p>
        </w:tc>
        <w:tc>
          <w:tcPr>
            <w:tcW w:w="2680" w:type="dxa"/>
            <w:vAlign w:val="bottom"/>
            <w:gridSpan w:val="4"/>
          </w:tcPr>
          <w:p>
            <w:pPr>
              <w:ind w:left="40"/>
              <w:spacing w:after="0"/>
              <w:rPr>
                <w:sz w:val="20"/>
                <w:szCs w:val="20"/>
                <w:color w:val="auto"/>
              </w:rPr>
            </w:pPr>
            <w:r>
              <w:rPr>
                <w:rFonts w:ascii="Courier New" w:cs="Courier New" w:eastAsia="Courier New" w:hAnsi="Courier New"/>
                <w:sz w:val="9"/>
                <w:szCs w:val="9"/>
                <w:color w:val="auto"/>
                <w:w w:val="72"/>
              </w:rPr>
              <w:t>Other Information..................................................</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ectPr>
          <w:pgSz w:w="11900" w:h="16838" w:orient="portrait"/>
          <w:cols w:equalWidth="0" w:num="1">
            <w:col w:w="10229"/>
          </w:cols>
          <w:pgMar w:left="230" w:top="226" w:right="1440" w:bottom="0" w:gutter="0" w:footer="0" w:header="0"/>
          <w:type w:val="continuous"/>
        </w:sectPr>
      </w:pPr>
    </w:p>
    <w:bookmarkStart w:id="1" w:name="page2"/>
    <w:bookmarkEnd w:id="1"/>
    <w:p>
      <w:pPr>
        <w:spacing w:after="0"/>
        <w:tabs>
          <w:tab w:leader="none" w:pos="760" w:val="left"/>
          <w:tab w:leader="dot" w:pos="6840" w:val="left"/>
        </w:tabs>
        <w:rPr>
          <w:sz w:val="20"/>
          <w:szCs w:val="20"/>
          <w:color w:val="auto"/>
        </w:rPr>
      </w:pPr>
      <w:r>
        <w:rPr>
          <w:rFonts w:ascii="Courier New" w:cs="Courier New" w:eastAsia="Courier New" w:hAnsi="Courier New"/>
          <w:sz w:val="15"/>
          <w:szCs w:val="15"/>
          <w:color w:val="auto"/>
        </w:rPr>
        <w:t>Item 6.</w:t>
        <w:tab/>
        <w:t>Exhibits and Reports on Form 8-K</w:t>
      </w:r>
      <w:r>
        <w:rPr>
          <w:sz w:val="20"/>
          <w:szCs w:val="20"/>
          <w:color w:val="auto"/>
        </w:rPr>
        <w:tab/>
      </w:r>
      <w:r>
        <w:rPr>
          <w:rFonts w:ascii="Courier New" w:cs="Courier New" w:eastAsia="Courier New" w:hAnsi="Courier New"/>
          <w:sz w:val="15"/>
          <w:szCs w:val="15"/>
          <w:color w:val="auto"/>
        </w:rPr>
        <w:t>26</w:t>
      </w:r>
    </w:p>
    <w:p>
      <w:pPr>
        <w:spacing w:after="0" w:line="169"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27</w:t>
      </w:r>
    </w:p>
    <w:p>
      <w:pPr>
        <w:sectPr>
          <w:pgSz w:w="11900" w:h="16838" w:orient="portrait"/>
          <w:cols w:equalWidth="0" w:num="1">
            <w:col w:w="10219"/>
          </w:cols>
          <w:pgMar w:left="240" w:top="136" w:right="1440" w:bottom="1440" w:gutter="0" w:footer="0" w:header="0"/>
        </w:sectPr>
      </w:pPr>
    </w:p>
    <w:bookmarkStart w:id="2" w:name="page3"/>
    <w:bookmarkEnd w:id="2"/>
    <w:p>
      <w:pPr>
        <w:ind w:left="2380"/>
        <w:spacing w:after="0"/>
        <w:tabs>
          <w:tab w:leader="none" w:pos="314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NN, Inc.</w:t>
      </w:r>
    </w:p>
    <w:p>
      <w:pPr>
        <w:jc w:val="center"/>
        <w:ind w:right="3180"/>
        <w:spacing w:after="0"/>
        <w:rPr>
          <w:sz w:val="20"/>
          <w:szCs w:val="20"/>
          <w:color w:val="auto"/>
        </w:rPr>
      </w:pPr>
      <w:r>
        <w:rPr>
          <w:rFonts w:ascii="Courier New" w:cs="Courier New" w:eastAsia="Courier New" w:hAnsi="Courier New"/>
          <w:sz w:val="15"/>
          <w:szCs w:val="15"/>
          <w:color w:val="auto"/>
        </w:rPr>
        <w:t>Consolidated Statements of Income and Comprehensive Income</w:t>
      </w:r>
    </w:p>
    <w:p>
      <w:pPr>
        <w:jc w:val="center"/>
        <w:ind w:right="30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center"/>
              <w:ind w:right="267"/>
              <w:spacing w:after="0"/>
              <w:rPr>
                <w:sz w:val="20"/>
                <w:szCs w:val="20"/>
                <w:color w:val="auto"/>
              </w:rPr>
            </w:pPr>
            <w:r>
              <w:rPr>
                <w:rFonts w:ascii="Courier New" w:cs="Courier New" w:eastAsia="Courier New" w:hAnsi="Courier New"/>
                <w:sz w:val="15"/>
                <w:szCs w:val="15"/>
                <w:color w:val="auto"/>
                <w:w w:val="97"/>
              </w:rPr>
              <w:t>Three Months Ended</w:t>
            </w:r>
          </w:p>
        </w:tc>
        <w:tc>
          <w:tcPr>
            <w:tcW w:w="440" w:type="dxa"/>
            <w:vAlign w:val="bottom"/>
          </w:tcPr>
          <w:p>
            <w:pPr>
              <w:spacing w:after="0"/>
              <w:rPr>
                <w:sz w:val="14"/>
                <w:szCs w:val="14"/>
                <w:color w:val="auto"/>
              </w:rPr>
            </w:pPr>
          </w:p>
        </w:tc>
        <w:tc>
          <w:tcPr>
            <w:tcW w:w="2380" w:type="dxa"/>
            <w:vAlign w:val="bottom"/>
            <w:gridSpan w:val="3"/>
          </w:tcPr>
          <w:p>
            <w:pPr>
              <w:jc w:val="center"/>
              <w:ind w:right="387"/>
              <w:spacing w:after="0"/>
              <w:rPr>
                <w:sz w:val="20"/>
                <w:szCs w:val="20"/>
                <w:color w:val="auto"/>
              </w:rPr>
            </w:pPr>
            <w:r>
              <w:rPr>
                <w:rFonts w:ascii="Courier New" w:cs="Courier New" w:eastAsia="Courier New" w:hAnsi="Courier New"/>
                <w:sz w:val="15"/>
                <w:szCs w:val="15"/>
                <w:color w:val="auto"/>
                <w:w w:val="97"/>
              </w:rPr>
              <w:t>Six Months Ended</w:t>
            </w:r>
          </w:p>
        </w:tc>
      </w:tr>
      <w:tr>
        <w:trPr>
          <w:trHeight w:val="170"/>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left="387"/>
              <w:spacing w:after="0"/>
              <w:rPr>
                <w:sz w:val="20"/>
                <w:szCs w:val="20"/>
                <w:color w:val="auto"/>
              </w:rPr>
            </w:pPr>
            <w:r>
              <w:rPr>
                <w:rFonts w:ascii="Courier New" w:cs="Courier New" w:eastAsia="Courier New" w:hAnsi="Courier New"/>
                <w:sz w:val="15"/>
                <w:szCs w:val="15"/>
                <w:color w:val="auto"/>
                <w:w w:val="97"/>
              </w:rPr>
              <w:t>June 30,</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7"/>
              </w:rPr>
              <w:t>June 30,</w:t>
            </w:r>
          </w:p>
        </w:tc>
        <w:tc>
          <w:tcPr>
            <w:tcW w:w="800" w:type="dxa"/>
            <w:vAlign w:val="bottom"/>
          </w:tcPr>
          <w:p>
            <w:pPr>
              <w:spacing w:after="0"/>
              <w:rPr>
                <w:sz w:val="14"/>
                <w:szCs w:val="14"/>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(Thousands of Dollars, Except Per Share Data)</w:t>
            </w:r>
          </w:p>
        </w:tc>
        <w:tc>
          <w:tcPr>
            <w:tcW w:w="22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2005</w:t>
            </w:r>
          </w:p>
        </w:tc>
        <w:tc>
          <w:tcPr>
            <w:tcW w:w="13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2004</w:t>
            </w:r>
          </w:p>
        </w:tc>
        <w:tc>
          <w:tcPr>
            <w:tcW w:w="440" w:type="dxa"/>
            <w:vAlign w:val="bottom"/>
          </w:tcPr>
          <w:p>
            <w:pPr>
              <w:spacing w:after="0"/>
              <w:rPr>
                <w:sz w:val="14"/>
                <w:szCs w:val="14"/>
                <w:color w:val="auto"/>
              </w:rPr>
            </w:pPr>
          </w:p>
        </w:tc>
        <w:tc>
          <w:tcPr>
            <w:tcW w:w="10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2005</w:t>
            </w:r>
          </w:p>
        </w:tc>
        <w:tc>
          <w:tcPr>
            <w:tcW w:w="13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7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83,787</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$75,265</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$ 170,502</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$152,897</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Cost of products sold (exclusive of depreciation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700" w:type="dxa"/>
            <w:vAlign w:val="bottom"/>
          </w:tcPr>
          <w:p>
            <w:pPr>
              <w:ind w:left="440"/>
              <w:spacing w:after="0"/>
              <w:rPr>
                <w:sz w:val="20"/>
                <w:szCs w:val="20"/>
                <w:color w:val="auto"/>
              </w:rPr>
            </w:pPr>
            <w:r>
              <w:rPr>
                <w:rFonts w:ascii="Courier New" w:cs="Courier New" w:eastAsia="Courier New" w:hAnsi="Courier New"/>
                <w:sz w:val="15"/>
                <w:szCs w:val="15"/>
                <w:color w:val="auto"/>
              </w:rPr>
              <w:t>shown separately below)</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66,005</w:t>
            </w:r>
          </w:p>
        </w:tc>
        <w:tc>
          <w:tcPr>
            <w:tcW w:w="5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58,937</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133,670</w:t>
            </w:r>
          </w:p>
        </w:tc>
        <w:tc>
          <w:tcPr>
            <w:tcW w:w="5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119,326</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7,297</w:t>
            </w:r>
          </w:p>
        </w:tc>
        <w:tc>
          <w:tcPr>
            <w:tcW w:w="5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8,041</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14,782</w:t>
            </w:r>
          </w:p>
        </w:tc>
        <w:tc>
          <w:tcPr>
            <w:tcW w:w="5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15,184</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4,130</w:t>
            </w:r>
          </w:p>
        </w:tc>
        <w:tc>
          <w:tcPr>
            <w:tcW w:w="5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3,969</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8,303</w:t>
            </w:r>
          </w:p>
        </w:tc>
        <w:tc>
          <w:tcPr>
            <w:tcW w:w="5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7,918</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Loss on disposal of assets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w:t>
            </w:r>
          </w:p>
        </w:tc>
        <w:tc>
          <w:tcPr>
            <w:tcW w:w="5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6,353</w:t>
            </w:r>
          </w:p>
        </w:tc>
        <w:tc>
          <w:tcPr>
            <w:tcW w:w="5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4,318</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13,741</w:t>
            </w:r>
          </w:p>
        </w:tc>
        <w:tc>
          <w:tcPr>
            <w:tcW w:w="5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10,469</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22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1,025</w:t>
            </w:r>
          </w:p>
        </w:tc>
        <w:tc>
          <w:tcPr>
            <w:tcW w:w="58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932</w:t>
            </w:r>
          </w:p>
        </w:tc>
        <w:tc>
          <w:tcPr>
            <w:tcW w:w="44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2,008</w:t>
            </w:r>
          </w:p>
        </w:tc>
        <w:tc>
          <w:tcPr>
            <w:tcW w:w="5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1,824</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w:t>
            </w:r>
          </w:p>
        </w:tc>
        <w:tc>
          <w:tcPr>
            <w:tcW w:w="5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w:t>
            </w:r>
          </w:p>
        </w:tc>
        <w:tc>
          <w:tcPr>
            <w:tcW w:w="44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(340)</w:t>
            </w:r>
          </w:p>
        </w:tc>
        <w:tc>
          <w:tcPr>
            <w:tcW w:w="5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5,496</w:t>
            </w:r>
          </w:p>
        </w:tc>
        <w:tc>
          <w:tcPr>
            <w:tcW w:w="5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3,361</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12,073</w:t>
            </w:r>
          </w:p>
        </w:tc>
        <w:tc>
          <w:tcPr>
            <w:tcW w:w="5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8,676</w:t>
            </w: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2,184</w:t>
            </w:r>
          </w:p>
        </w:tc>
        <w:tc>
          <w:tcPr>
            <w:tcW w:w="5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1,375</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4,736</w:t>
            </w:r>
          </w:p>
        </w:tc>
        <w:tc>
          <w:tcPr>
            <w:tcW w:w="5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3,472</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3,312</w:t>
            </w:r>
          </w:p>
        </w:tc>
        <w:tc>
          <w:tcPr>
            <w:tcW w:w="5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1,986</w:t>
            </w:r>
          </w:p>
        </w:tc>
        <w:tc>
          <w:tcPr>
            <w:tcW w:w="44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7,337</w:t>
            </w:r>
          </w:p>
        </w:tc>
        <w:tc>
          <w:tcPr>
            <w:tcW w:w="5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5,204</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700" w:type="dxa"/>
            <w:vAlign w:val="bottom"/>
          </w:tcPr>
          <w:p>
            <w:pPr>
              <w:ind w:left="440"/>
              <w:spacing w:after="0"/>
              <w:rPr>
                <w:sz w:val="20"/>
                <w:szCs w:val="20"/>
                <w:color w:val="auto"/>
              </w:rPr>
            </w:pPr>
            <w:r>
              <w:rPr>
                <w:rFonts w:ascii="Courier New" w:cs="Courier New" w:eastAsia="Courier New" w:hAnsi="Courier New"/>
                <w:sz w:val="15"/>
                <w:szCs w:val="15"/>
                <w:color w:val="auto"/>
              </w:rPr>
              <w:t>Unrealized holding gain on securities,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700" w:type="dxa"/>
            <w:vAlign w:val="bottom"/>
          </w:tcPr>
          <w:p>
            <w:pPr>
              <w:ind w:left="700"/>
              <w:spacing w:after="0"/>
              <w:rPr>
                <w:sz w:val="20"/>
                <w:szCs w:val="20"/>
                <w:color w:val="auto"/>
              </w:rPr>
            </w:pPr>
            <w:r>
              <w:rPr>
                <w:rFonts w:ascii="Courier New" w:cs="Courier New" w:eastAsia="Courier New" w:hAnsi="Courier New"/>
                <w:sz w:val="15"/>
                <w:szCs w:val="15"/>
                <w:color w:val="auto"/>
              </w:rPr>
              <w:t>net of tax</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w:t>
            </w:r>
          </w:p>
        </w:tc>
        <w:tc>
          <w:tcPr>
            <w:tcW w:w="5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(5,895)</w:t>
            </w:r>
          </w:p>
        </w:tc>
        <w:tc>
          <w:tcPr>
            <w:tcW w:w="5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(524)</w:t>
            </w:r>
          </w:p>
        </w:tc>
        <w:tc>
          <w:tcPr>
            <w:tcW w:w="44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(9,965)</w:t>
            </w:r>
          </w:p>
        </w:tc>
        <w:tc>
          <w:tcPr>
            <w:tcW w:w="5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(3,013)</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ind w:left="440"/>
              <w:spacing w:after="0"/>
              <w:rPr>
                <w:sz w:val="20"/>
                <w:szCs w:val="20"/>
                <w:color w:val="auto"/>
              </w:rPr>
            </w:pPr>
            <w:r>
              <w:rPr>
                <w:rFonts w:ascii="Courier New" w:cs="Courier New" w:eastAsia="Courier New" w:hAnsi="Courier New"/>
                <w:sz w:val="15"/>
                <w:szCs w:val="15"/>
                <w:color w:val="auto"/>
              </w:rPr>
              <w:t>Comprehensive income (loss)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(2,583)</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$ 1,462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(2,701)</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2,191</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Basic income per common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0.20</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0.43</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0.31</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shares outstanding</w:t>
            </w:r>
          </w:p>
        </w:tc>
        <w:tc>
          <w:tcPr>
            <w:tcW w:w="22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16,971</w:t>
            </w:r>
          </w:p>
        </w:tc>
        <w:tc>
          <w:tcPr>
            <w:tcW w:w="58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16,721</w:t>
            </w:r>
          </w:p>
        </w:tc>
        <w:tc>
          <w:tcPr>
            <w:tcW w:w="44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16,914</w:t>
            </w:r>
          </w:p>
        </w:tc>
        <w:tc>
          <w:tcPr>
            <w:tcW w:w="5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16,713</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Diluted income per common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0.19</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0.43</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0.30</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shares outstanding</w:t>
            </w:r>
          </w:p>
        </w:tc>
        <w:tc>
          <w:tcPr>
            <w:tcW w:w="22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17,328</w:t>
            </w:r>
          </w:p>
        </w:tc>
        <w:tc>
          <w:tcPr>
            <w:tcW w:w="58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17,177</w:t>
            </w:r>
          </w:p>
        </w:tc>
        <w:tc>
          <w:tcPr>
            <w:tcW w:w="44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17,252</w:t>
            </w:r>
          </w:p>
        </w:tc>
        <w:tc>
          <w:tcPr>
            <w:tcW w:w="5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17,176</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Cash dividends per common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0.08</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0.16</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0.16</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0"/>
          </w:cols>
          <w:pgMar w:left="240" w:top="791" w:right="1439" w:bottom="1440" w:gutter="0" w:footer="0" w:header="0"/>
        </w:sectPr>
      </w:pPr>
    </w:p>
    <w:bookmarkStart w:id="3" w:name="page4"/>
    <w:bookmarkEnd w:id="3"/>
    <w:p>
      <w:pPr>
        <w:jc w:val="center"/>
        <w:ind w:right="3180"/>
        <w:spacing w:after="0"/>
        <w:rPr>
          <w:sz w:val="20"/>
          <w:szCs w:val="20"/>
          <w:color w:val="auto"/>
        </w:rPr>
      </w:pPr>
      <w:r>
        <w:rPr>
          <w:rFonts w:ascii="Courier New" w:cs="Courier New" w:eastAsia="Courier New" w:hAnsi="Courier New"/>
          <w:sz w:val="15"/>
          <w:szCs w:val="15"/>
          <w:color w:val="auto"/>
        </w:rPr>
        <w:t>NN, Inc.</w:t>
      </w:r>
    </w:p>
    <w:p>
      <w:pPr>
        <w:jc w:val="center"/>
        <w:ind w:right="3080"/>
        <w:spacing w:after="0"/>
        <w:rPr>
          <w:sz w:val="20"/>
          <w:szCs w:val="20"/>
          <w:color w:val="auto"/>
        </w:rPr>
      </w:pPr>
      <w:r>
        <w:rPr>
          <w:rFonts w:ascii="Courier New" w:cs="Courier New" w:eastAsia="Courier New" w:hAnsi="Courier New"/>
          <w:sz w:val="15"/>
          <w:szCs w:val="15"/>
          <w:color w:val="auto"/>
        </w:rPr>
        <w:t>Condensed Consolidated Balance Sheets</w:t>
      </w:r>
    </w:p>
    <w:p>
      <w:pPr>
        <w:jc w:val="center"/>
        <w:ind w:right="3080"/>
        <w:spacing w:after="0"/>
        <w:rPr>
          <w:sz w:val="20"/>
          <w:szCs w:val="20"/>
          <w:color w:val="auto"/>
        </w:rPr>
      </w:pPr>
      <w:r>
        <w:rPr>
          <w:rFonts w:ascii="Courier New" w:cs="Courier New" w:eastAsia="Courier New" w:hAnsi="Courier New"/>
          <w:sz w:val="15"/>
          <w:szCs w:val="15"/>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370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7"/>
              </w:rPr>
              <w:t>June 30,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370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2005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8,038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10,772</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56,554</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51,597</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Inventories, net</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33,161</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35,629</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Income tax receivable</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2,837</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4,401</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Other current assets</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9,183</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5,939</w:t>
            </w:r>
          </w:p>
        </w:tc>
      </w:tr>
      <w:tr>
        <w:trPr>
          <w:trHeight w:val="170"/>
        </w:trPr>
        <w:tc>
          <w:tcPr>
            <w:tcW w:w="4980" w:type="dxa"/>
            <w:vAlign w:val="bottom"/>
          </w:tcPr>
          <w:p>
            <w:pPr>
              <w:spacing w:after="0"/>
              <w:rPr>
                <w:sz w:val="14"/>
                <w:szCs w:val="14"/>
                <w:color w:val="auto"/>
              </w:rPr>
            </w:pPr>
          </w:p>
        </w:tc>
        <w:tc>
          <w:tcPr>
            <w:tcW w:w="31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109,773</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108,338</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16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115,214</w:t>
            </w:r>
          </w:p>
        </w:tc>
        <w:tc>
          <w:tcPr>
            <w:tcW w:w="114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131,169</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42,044</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44,457</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5,840</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5,905</w:t>
            </w:r>
          </w:p>
        </w:tc>
      </w:tr>
      <w:tr>
        <w:trPr>
          <w:trHeight w:val="170"/>
        </w:trPr>
        <w:tc>
          <w:tcPr>
            <w:tcW w:w="4980" w:type="dxa"/>
            <w:vAlign w:val="bottom"/>
          </w:tcPr>
          <w:p>
            <w:pPr>
              <w:spacing w:after="0"/>
              <w:rPr>
                <w:sz w:val="14"/>
                <w:szCs w:val="14"/>
                <w:color w:val="auto"/>
              </w:rPr>
            </w:pPr>
          </w:p>
        </w:tc>
        <w:tc>
          <w:tcPr>
            <w:tcW w:w="31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31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$ 272,871</w:t>
            </w:r>
          </w:p>
        </w:tc>
        <w:tc>
          <w:tcPr>
            <w:tcW w:w="1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$ 289,869</w:t>
            </w:r>
          </w:p>
        </w:tc>
      </w:tr>
      <w:tr>
        <w:trPr>
          <w:trHeight w:val="170"/>
        </w:trPr>
        <w:tc>
          <w:tcPr>
            <w:tcW w:w="4980" w:type="dxa"/>
            <w:vAlign w:val="bottom"/>
          </w:tcPr>
          <w:p>
            <w:pPr>
              <w:spacing w:after="0"/>
              <w:rPr>
                <w:sz w:val="14"/>
                <w:szCs w:val="14"/>
                <w:color w:val="auto"/>
              </w:rPr>
            </w:pPr>
          </w:p>
        </w:tc>
        <w:tc>
          <w:tcPr>
            <w:tcW w:w="31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w:t>
            </w: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38,869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45,217</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Accrued salaries and wages</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13,944</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16,332</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Income taxes</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3,459</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1,599</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Current maturities of long-term debt</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7,255</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7,160</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Other current liabilities</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3,061</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4,123</w:t>
            </w:r>
          </w:p>
        </w:tc>
      </w:tr>
      <w:tr>
        <w:trPr>
          <w:trHeight w:val="170"/>
        </w:trPr>
        <w:tc>
          <w:tcPr>
            <w:tcW w:w="4980" w:type="dxa"/>
            <w:vAlign w:val="bottom"/>
          </w:tcPr>
          <w:p>
            <w:pPr>
              <w:spacing w:after="0"/>
              <w:rPr>
                <w:sz w:val="14"/>
                <w:szCs w:val="14"/>
                <w:color w:val="auto"/>
              </w:rPr>
            </w:pPr>
          </w:p>
        </w:tc>
        <w:tc>
          <w:tcPr>
            <w:tcW w:w="31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66,588</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74,431</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Non-current deferred tax liability</w:t>
            </w:r>
          </w:p>
        </w:tc>
        <w:tc>
          <w:tcPr>
            <w:tcW w:w="216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16,760</w:t>
            </w:r>
          </w:p>
        </w:tc>
        <w:tc>
          <w:tcPr>
            <w:tcW w:w="114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17,857</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64,669</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67,510</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Accrued pension and other</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13,009</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14,931</w:t>
            </w:r>
          </w:p>
        </w:tc>
      </w:tr>
      <w:tr>
        <w:trPr>
          <w:trHeight w:val="170"/>
        </w:trPr>
        <w:tc>
          <w:tcPr>
            <w:tcW w:w="4980" w:type="dxa"/>
            <w:vAlign w:val="bottom"/>
          </w:tcPr>
          <w:p>
            <w:pPr>
              <w:spacing w:after="0"/>
              <w:rPr>
                <w:sz w:val="14"/>
                <w:szCs w:val="14"/>
                <w:color w:val="auto"/>
              </w:rPr>
            </w:pPr>
          </w:p>
        </w:tc>
        <w:tc>
          <w:tcPr>
            <w:tcW w:w="31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216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161,026</w:t>
            </w:r>
          </w:p>
        </w:tc>
        <w:tc>
          <w:tcPr>
            <w:tcW w:w="1140" w:type="dxa"/>
            <w:vAlign w:val="bottom"/>
          </w:tcPr>
          <w:p>
            <w:pPr>
              <w:spacing w:after="0"/>
              <w:rPr>
                <w:sz w:val="14"/>
                <w:szCs w:val="1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174,729</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16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111,845</w:t>
            </w:r>
          </w:p>
        </w:tc>
        <w:tc>
          <w:tcPr>
            <w:tcW w:w="114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115,140</w:t>
            </w:r>
          </w:p>
        </w:tc>
      </w:tr>
      <w:tr>
        <w:trPr>
          <w:trHeight w:val="170"/>
        </w:trPr>
        <w:tc>
          <w:tcPr>
            <w:tcW w:w="4980" w:type="dxa"/>
            <w:vAlign w:val="bottom"/>
          </w:tcPr>
          <w:p>
            <w:pPr>
              <w:spacing w:after="0"/>
              <w:rPr>
                <w:sz w:val="14"/>
                <w:szCs w:val="14"/>
                <w:color w:val="auto"/>
              </w:rPr>
            </w:pPr>
          </w:p>
        </w:tc>
        <w:tc>
          <w:tcPr>
            <w:tcW w:w="31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31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$ 272,871</w:t>
            </w:r>
          </w:p>
        </w:tc>
        <w:tc>
          <w:tcPr>
            <w:tcW w:w="1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$ 289,869</w:t>
            </w:r>
          </w:p>
        </w:tc>
      </w:tr>
      <w:tr>
        <w:trPr>
          <w:trHeight w:val="170"/>
        </w:trPr>
        <w:tc>
          <w:tcPr>
            <w:tcW w:w="4980" w:type="dxa"/>
            <w:vAlign w:val="bottom"/>
          </w:tcPr>
          <w:p>
            <w:pPr>
              <w:spacing w:after="0"/>
              <w:rPr>
                <w:sz w:val="14"/>
                <w:szCs w:val="14"/>
                <w:color w:val="auto"/>
              </w:rPr>
            </w:pPr>
          </w:p>
        </w:tc>
        <w:tc>
          <w:tcPr>
            <w:tcW w:w="31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0"/>
          </w:cols>
          <w:pgMar w:left="240" w:top="622" w:right="1439" w:bottom="1440" w:gutter="0" w:footer="0" w:header="0"/>
        </w:sectPr>
      </w:pPr>
    </w:p>
    <w:bookmarkStart w:id="4" w:name="page5"/>
    <w:bookmarkEnd w:id="4"/>
    <w:p>
      <w:pPr>
        <w:jc w:val="center"/>
        <w:ind w:right="4480"/>
        <w:spacing w:after="0"/>
        <w:rPr>
          <w:sz w:val="20"/>
          <w:szCs w:val="20"/>
          <w:color w:val="auto"/>
        </w:rPr>
      </w:pPr>
      <w:r>
        <w:rPr>
          <w:rFonts w:ascii="Courier New" w:cs="Courier New" w:eastAsia="Courier New" w:hAnsi="Courier New"/>
          <w:sz w:val="15"/>
          <w:szCs w:val="15"/>
          <w:color w:val="auto"/>
        </w:rPr>
        <w:t>NN, Inc.</w:t>
      </w:r>
    </w:p>
    <w:p>
      <w:pPr>
        <w:jc w:val="center"/>
        <w:ind w:right="4480"/>
        <w:spacing w:after="0"/>
        <w:rPr>
          <w:sz w:val="20"/>
          <w:szCs w:val="20"/>
          <w:color w:val="auto"/>
        </w:rPr>
      </w:pPr>
      <w:r>
        <w:rPr>
          <w:rFonts w:ascii="Courier New" w:cs="Courier New" w:eastAsia="Courier New" w:hAnsi="Courier New"/>
          <w:sz w:val="15"/>
          <w:szCs w:val="15"/>
          <w:color w:val="auto"/>
        </w:rPr>
        <w:t>Consolidated Statements of Changes in Stockholders' Equity</w:t>
      </w:r>
    </w:p>
    <w:tbl>
      <w:tblPr>
        <w:tblLayout w:type="fixed"/>
        <w:tblInd w:w="0" w:type="dxa"/>
        <w:tblCellMar>
          <w:top w:w="0" w:type="dxa"/>
          <w:left w:w="0" w:type="dxa"/>
          <w:bottom w:w="0" w:type="dxa"/>
          <w:right w:w="0" w:type="dxa"/>
        </w:tblCellMar>
      </w:tblPr>
      <w:tr>
        <w:trPr>
          <w:trHeight w:val="169"/>
        </w:trPr>
        <w:tc>
          <w:tcPr>
            <w:tcW w:w="3080" w:type="dxa"/>
            <w:vAlign w:val="bottom"/>
          </w:tcPr>
          <w:p>
            <w:pPr>
              <w:spacing w:after="0"/>
              <w:rPr>
                <w:sz w:val="14"/>
                <w:szCs w:val="14"/>
                <w:color w:val="auto"/>
              </w:rPr>
            </w:pPr>
          </w:p>
        </w:tc>
        <w:tc>
          <w:tcPr>
            <w:tcW w:w="1980" w:type="dxa"/>
            <w:vAlign w:val="bottom"/>
          </w:tcPr>
          <w:p>
            <w:pPr>
              <w:jc w:val="right"/>
              <w:ind w:right="947"/>
              <w:spacing w:after="0"/>
              <w:rPr>
                <w:sz w:val="20"/>
                <w:szCs w:val="20"/>
                <w:color w:val="auto"/>
              </w:rPr>
            </w:pPr>
            <w:r>
              <w:rPr>
                <w:rFonts w:ascii="Courier New" w:cs="Courier New" w:eastAsia="Courier New" w:hAnsi="Courier New"/>
                <w:sz w:val="15"/>
                <w:szCs w:val="15"/>
                <w:color w:val="auto"/>
                <w:w w:val="94"/>
              </w:rPr>
              <w:t>(Unaudited)</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848"/>
        </w:trPr>
        <w:tc>
          <w:tcPr>
            <w:tcW w:w="3080" w:type="dxa"/>
            <w:vAlign w:val="bottom"/>
          </w:tcPr>
          <w:p>
            <w:pPr>
              <w:spacing w:after="0"/>
              <w:rPr>
                <w:sz w:val="24"/>
                <w:szCs w:val="24"/>
                <w:color w:val="auto"/>
              </w:rPr>
            </w:pPr>
          </w:p>
        </w:tc>
        <w:tc>
          <w:tcPr>
            <w:tcW w:w="30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Accumulated</w:t>
            </w:r>
          </w:p>
        </w:tc>
        <w:tc>
          <w:tcPr>
            <w:tcW w:w="1180" w:type="dxa"/>
            <w:vAlign w:val="bottom"/>
          </w:tcPr>
          <w:p>
            <w:pPr>
              <w:spacing w:after="0"/>
              <w:rPr>
                <w:sz w:val="24"/>
                <w:szCs w:val="24"/>
                <w:color w:val="auto"/>
              </w:rPr>
            </w:pPr>
          </w:p>
        </w:tc>
      </w:tr>
      <w:tr>
        <w:trPr>
          <w:trHeight w:val="170"/>
        </w:trPr>
        <w:tc>
          <w:tcPr>
            <w:tcW w:w="3080" w:type="dxa"/>
            <w:vAlign w:val="bottom"/>
          </w:tcPr>
          <w:p>
            <w:pPr>
              <w:spacing w:after="0"/>
              <w:rPr>
                <w:sz w:val="14"/>
                <w:szCs w:val="14"/>
                <w:color w:val="auto"/>
              </w:rPr>
            </w:pPr>
          </w:p>
        </w:tc>
        <w:tc>
          <w:tcPr>
            <w:tcW w:w="198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9"/>
              </w:rPr>
              <w:t>Number</w:t>
            </w:r>
          </w:p>
        </w:tc>
        <w:tc>
          <w:tcPr>
            <w:tcW w:w="11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Additional</w:t>
            </w:r>
          </w:p>
        </w:tc>
        <w:tc>
          <w:tcPr>
            <w:tcW w:w="1360" w:type="dxa"/>
            <w:vAlign w:val="bottom"/>
          </w:tcPr>
          <w:p>
            <w:pPr>
              <w:spacing w:after="0"/>
              <w:rPr>
                <w:sz w:val="14"/>
                <w:szCs w:val="14"/>
                <w:color w:val="auto"/>
              </w:rPr>
            </w:pPr>
          </w:p>
        </w:tc>
        <w:tc>
          <w:tcPr>
            <w:tcW w:w="15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98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9"/>
              </w:rPr>
              <w:t>Of</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Par</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paid in</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Retained</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Comprehensive</w:t>
            </w:r>
          </w:p>
        </w:tc>
        <w:tc>
          <w:tcPr>
            <w:tcW w:w="118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(Thousands of Dollars and Shares)</w:t>
            </w:r>
          </w:p>
        </w:tc>
        <w:tc>
          <w:tcPr>
            <w:tcW w:w="198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9"/>
              </w:rPr>
              <w:t>Shares</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value</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capital</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Earnings</w:t>
            </w:r>
          </w:p>
        </w:tc>
        <w:tc>
          <w:tcPr>
            <w:tcW w:w="15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Income (Loss)</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5060" w:type="dxa"/>
            <w:vAlign w:val="bottom"/>
            <w:gridSpan w:val="2"/>
          </w:tcPr>
          <w:p>
            <w:pPr>
              <w:spacing w:after="0"/>
              <w:rPr>
                <w:sz w:val="20"/>
                <w:szCs w:val="20"/>
                <w:color w:val="auto"/>
              </w:rPr>
            </w:pPr>
            <w:r>
              <w:rPr>
                <w:rFonts w:ascii="Courier New" w:cs="Courier New" w:eastAsia="Courier New" w:hAnsi="Courier New"/>
                <w:sz w:val="15"/>
                <w:szCs w:val="15"/>
                <w:color w:val="auto"/>
                <w:w w:val="99"/>
              </w:rPr>
              <w:t>- ------------------------------------------- ----------</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January 1, 2004</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16,712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$ 52,960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$ 43,931</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9,409</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$ 106,468</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Shares issued</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5,204</w:t>
            </w:r>
          </w:p>
        </w:tc>
        <w:tc>
          <w:tcPr>
            <w:tcW w:w="5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5,204</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Dividends declared</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(2,674)</w:t>
            </w:r>
          </w:p>
        </w:tc>
        <w:tc>
          <w:tcPr>
            <w:tcW w:w="5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(2,674)</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w w:val="97"/>
              </w:rPr>
              <w:t>Other comprehensive income (loss)</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(3,013)</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(3,013)</w:t>
            </w:r>
          </w:p>
        </w:tc>
      </w:tr>
      <w:tr>
        <w:trPr>
          <w:trHeight w:val="170"/>
        </w:trPr>
        <w:tc>
          <w:tcPr>
            <w:tcW w:w="3080" w:type="dxa"/>
            <w:vAlign w:val="bottom"/>
          </w:tcPr>
          <w:p>
            <w:pPr>
              <w:spacing w:after="0"/>
              <w:rPr>
                <w:sz w:val="14"/>
                <w:szCs w:val="14"/>
                <w:color w:val="auto"/>
              </w:rPr>
            </w:pP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June 30, 2004</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16,727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$ 53,049</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$ 46,461</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6,396</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$ 106,074</w:t>
            </w:r>
          </w:p>
        </w:tc>
      </w:tr>
      <w:tr>
        <w:trPr>
          <w:trHeight w:val="170"/>
        </w:trPr>
        <w:tc>
          <w:tcPr>
            <w:tcW w:w="3080" w:type="dxa"/>
            <w:vAlign w:val="bottom"/>
          </w:tcPr>
          <w:p>
            <w:pPr>
              <w:spacing w:after="0"/>
              <w:rPr>
                <w:sz w:val="14"/>
                <w:szCs w:val="14"/>
                <w:color w:val="auto"/>
              </w:rPr>
            </w:pP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January 1, 2005</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16,777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$ 53,423</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$ 45,676</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$ 15,873</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$ 115,140</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Shares issued</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2,123</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7,337</w:t>
            </w:r>
          </w:p>
        </w:tc>
        <w:tc>
          <w:tcPr>
            <w:tcW w:w="5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7,337</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Dividends declared</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(2,717)</w:t>
            </w:r>
          </w:p>
        </w:tc>
        <w:tc>
          <w:tcPr>
            <w:tcW w:w="5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(2,717)</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Unrealized holding gain on</w:t>
            </w:r>
          </w:p>
        </w:tc>
        <w:tc>
          <w:tcPr>
            <w:tcW w:w="1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available for sale securities</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w w:val="97"/>
              </w:rPr>
              <w:t>Other comprehensive income (loss)</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(9,965)</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(9,965)</w:t>
            </w:r>
          </w:p>
        </w:tc>
      </w:tr>
      <w:tr>
        <w:trPr>
          <w:trHeight w:val="170"/>
        </w:trPr>
        <w:tc>
          <w:tcPr>
            <w:tcW w:w="3080" w:type="dxa"/>
            <w:vAlign w:val="bottom"/>
          </w:tcPr>
          <w:p>
            <w:pPr>
              <w:spacing w:after="0"/>
              <w:rPr>
                <w:sz w:val="14"/>
                <w:szCs w:val="14"/>
                <w:color w:val="auto"/>
              </w:rPr>
            </w:pP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June 30, 2005</w:t>
            </w: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17,062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$ 55,543</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$ 50,296</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5,835</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$ 111,845</w:t>
            </w:r>
          </w:p>
        </w:tc>
      </w:tr>
      <w:tr>
        <w:trPr>
          <w:trHeight w:val="170"/>
        </w:trPr>
        <w:tc>
          <w:tcPr>
            <w:tcW w:w="3080" w:type="dxa"/>
            <w:vAlign w:val="bottom"/>
          </w:tcPr>
          <w:p>
            <w:pPr>
              <w:spacing w:after="0"/>
              <w:rPr>
                <w:sz w:val="14"/>
                <w:szCs w:val="14"/>
                <w:color w:val="auto"/>
              </w:rPr>
            </w:pPr>
          </w:p>
        </w:tc>
        <w:tc>
          <w:tcPr>
            <w:tcW w:w="19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791" w:right="139" w:bottom="1440" w:gutter="0" w:footer="0" w:header="0"/>
        </w:sectPr>
      </w:pPr>
    </w:p>
    <w:bookmarkStart w:id="5" w:name="page6"/>
    <w:bookmarkEnd w:id="5"/>
    <w:p>
      <w:pPr>
        <w:jc w:val="center"/>
        <w:ind w:right="3179"/>
        <w:spacing w:after="0"/>
        <w:rPr>
          <w:sz w:val="20"/>
          <w:szCs w:val="20"/>
          <w:color w:val="auto"/>
        </w:rPr>
      </w:pPr>
      <w:r>
        <w:rPr>
          <w:rFonts w:ascii="Courier New" w:cs="Courier New" w:eastAsia="Courier New" w:hAnsi="Courier New"/>
          <w:sz w:val="15"/>
          <w:szCs w:val="15"/>
          <w:color w:val="auto"/>
        </w:rPr>
        <w:t>NN, Inc.</w:t>
      </w:r>
    </w:p>
    <w:p>
      <w:pPr>
        <w:jc w:val="center"/>
        <w:ind w:right="3079"/>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30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5480"/>
        <w:spacing w:after="0"/>
        <w:rPr>
          <w:sz w:val="20"/>
          <w:szCs w:val="20"/>
          <w:color w:val="auto"/>
        </w:rPr>
      </w:pPr>
      <w:r>
        <w:rPr>
          <w:rFonts w:ascii="Courier New" w:cs="Courier New" w:eastAsia="Courier New" w:hAnsi="Courier New"/>
          <w:sz w:val="15"/>
          <w:szCs w:val="15"/>
          <w:color w:val="auto"/>
        </w:rPr>
        <w:t>Six Months Ended</w:t>
      </w:r>
    </w:p>
    <w:p>
      <w:pPr>
        <w:jc w:val="center"/>
        <w:ind w:left="5480"/>
        <w:spacing w:after="0"/>
        <w:rPr>
          <w:sz w:val="20"/>
          <w:szCs w:val="20"/>
          <w:color w:val="auto"/>
        </w:rPr>
      </w:pPr>
      <w:r>
        <w:rPr>
          <w:rFonts w:ascii="Courier New" w:cs="Courier New" w:eastAsia="Courier New" w:hAnsi="Courier New"/>
          <w:sz w:val="15"/>
          <w:szCs w:val="15"/>
          <w:color w:val="auto"/>
        </w:rPr>
        <w:t>June 30,</w:t>
      </w:r>
    </w:p>
    <w:p>
      <w:pPr>
        <w:spacing w:after="0"/>
        <w:tabs>
          <w:tab w:leader="none" w:pos="7560" w:val="left"/>
          <w:tab w:leader="none" w:pos="8960" w:val="left"/>
        </w:tabs>
        <w:rPr>
          <w:sz w:val="20"/>
          <w:szCs w:val="20"/>
          <w:color w:val="auto"/>
        </w:rPr>
      </w:pPr>
      <w:r>
        <w:rPr>
          <w:rFonts w:ascii="Courier New" w:cs="Courier New" w:eastAsia="Courier New" w:hAnsi="Courier New"/>
          <w:sz w:val="15"/>
          <w:szCs w:val="15"/>
          <w:color w:val="auto"/>
        </w:rPr>
        <w:t>(Thousands of Dollars)</w:t>
      </w:r>
      <w:r>
        <w:rPr>
          <w:sz w:val="20"/>
          <w:szCs w:val="20"/>
          <w:color w:val="auto"/>
        </w:rPr>
        <w:tab/>
      </w: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0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$ 7,337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$ 5,204</w:t>
            </w:r>
          </w:p>
        </w:tc>
      </w:tr>
      <w:tr>
        <w:trPr>
          <w:trHeight w:val="170"/>
        </w:trPr>
        <w:tc>
          <w:tcPr>
            <w:tcW w:w="708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to net cash provided (used) by operating</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080" w:type="dxa"/>
            <w:vAlign w:val="bottom"/>
          </w:tcPr>
          <w:p>
            <w:pPr>
              <w:ind w:left="520"/>
              <w:spacing w:after="0"/>
              <w:rPr>
                <w:sz w:val="20"/>
                <w:szCs w:val="20"/>
                <w:color w:val="auto"/>
              </w:rPr>
            </w:pPr>
            <w:r>
              <w:rPr>
                <w:rFonts w:ascii="Courier New" w:cs="Courier New" w:eastAsia="Courier New" w:hAnsi="Courier New"/>
                <w:sz w:val="15"/>
                <w:szCs w:val="15"/>
                <w:color w:val="auto"/>
              </w:rPr>
              <w:t>activities:</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08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8,303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7,918</w:t>
            </w:r>
          </w:p>
        </w:tc>
      </w:tr>
      <w:tr>
        <w:trPr>
          <w:trHeight w:val="170"/>
        </w:trPr>
        <w:tc>
          <w:tcPr>
            <w:tcW w:w="708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debt issue costs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w:t>
            </w:r>
          </w:p>
        </w:tc>
      </w:tr>
      <w:tr>
        <w:trPr>
          <w:trHeight w:val="170"/>
        </w:trPr>
        <w:tc>
          <w:tcPr>
            <w:tcW w:w="7080" w:type="dxa"/>
            <w:vAlign w:val="bottom"/>
          </w:tcPr>
          <w:p>
            <w:pPr>
              <w:ind w:left="340"/>
              <w:spacing w:after="0"/>
              <w:rPr>
                <w:sz w:val="20"/>
                <w:szCs w:val="20"/>
                <w:color w:val="auto"/>
              </w:rPr>
            </w:pPr>
            <w:r>
              <w:rPr>
                <w:rFonts w:ascii="Courier New" w:cs="Courier New" w:eastAsia="Courier New" w:hAnsi="Courier New"/>
                <w:sz w:val="15"/>
                <w:szCs w:val="15"/>
                <w:color w:val="auto"/>
              </w:rPr>
              <w:t>Write-off of unamortized debt issue costs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w:t>
            </w:r>
          </w:p>
        </w:tc>
      </w:tr>
      <w:tr>
        <w:trPr>
          <w:trHeight w:val="170"/>
        </w:trPr>
        <w:tc>
          <w:tcPr>
            <w:tcW w:w="7080" w:type="dxa"/>
            <w:vAlign w:val="bottom"/>
          </w:tcPr>
          <w:p>
            <w:pPr>
              <w:ind w:left="340"/>
              <w:spacing w:after="0"/>
              <w:rPr>
                <w:sz w:val="20"/>
                <w:szCs w:val="20"/>
                <w:color w:val="auto"/>
              </w:rPr>
            </w:pPr>
            <w:r>
              <w:rPr>
                <w:rFonts w:ascii="Courier New" w:cs="Courier New" w:eastAsia="Courier New" w:hAnsi="Courier New"/>
                <w:sz w:val="15"/>
                <w:szCs w:val="15"/>
                <w:color w:val="auto"/>
              </w:rPr>
              <w:t>Gain (loss) on disposal of property, plant and equipment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7080" w:type="dxa"/>
            <w:vAlign w:val="bottom"/>
          </w:tcPr>
          <w:p>
            <w:pPr>
              <w:ind w:left="3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080" w:type="dxa"/>
            <w:vAlign w:val="bottom"/>
          </w:tcPr>
          <w:p>
            <w:pPr>
              <w:ind w:left="520"/>
              <w:spacing w:after="0"/>
              <w:rPr>
                <w:sz w:val="20"/>
                <w:szCs w:val="20"/>
                <w:color w:val="auto"/>
              </w:rPr>
            </w:pPr>
            <w:r>
              <w:rPr>
                <w:rFonts w:ascii="Courier New" w:cs="Courier New" w:eastAsia="Courier New" w:hAnsi="Courier New"/>
                <w:sz w:val="15"/>
                <w:szCs w:val="15"/>
                <w:color w:val="auto"/>
              </w:rPr>
              <w:t>Accounts receivable</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(8,563)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(7,951)</w:t>
            </w:r>
          </w:p>
        </w:tc>
      </w:tr>
      <w:tr>
        <w:trPr>
          <w:trHeight w:val="170"/>
        </w:trPr>
        <w:tc>
          <w:tcPr>
            <w:tcW w:w="7080" w:type="dxa"/>
            <w:vAlign w:val="bottom"/>
          </w:tcPr>
          <w:p>
            <w:pPr>
              <w:ind w:left="520"/>
              <w:spacing w:after="0"/>
              <w:rPr>
                <w:sz w:val="20"/>
                <w:szCs w:val="20"/>
                <w:color w:val="auto"/>
              </w:rPr>
            </w:pPr>
            <w:r>
              <w:rPr>
                <w:rFonts w:ascii="Courier New" w:cs="Courier New" w:eastAsia="Courier New" w:hAnsi="Courier New"/>
                <w:sz w:val="15"/>
                <w:szCs w:val="15"/>
                <w:color w:val="auto"/>
              </w:rPr>
              <w:t>Inventories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3,694</w:t>
            </w:r>
          </w:p>
        </w:tc>
      </w:tr>
      <w:tr>
        <w:trPr>
          <w:trHeight w:val="170"/>
        </w:trPr>
        <w:tc>
          <w:tcPr>
            <w:tcW w:w="7080" w:type="dxa"/>
            <w:vAlign w:val="bottom"/>
          </w:tcPr>
          <w:p>
            <w:pPr>
              <w:ind w:left="520"/>
              <w:spacing w:after="0"/>
              <w:rPr>
                <w:sz w:val="20"/>
                <w:szCs w:val="20"/>
                <w:color w:val="auto"/>
              </w:rPr>
            </w:pPr>
            <w:r>
              <w:rPr>
                <w:rFonts w:ascii="Courier New" w:cs="Courier New" w:eastAsia="Courier New" w:hAnsi="Courier New"/>
                <w:sz w:val="15"/>
                <w:szCs w:val="15"/>
                <w:color w:val="auto"/>
              </w:rPr>
              <w:t>Other current assets</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(2,969)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w:t>
            </w:r>
          </w:p>
        </w:tc>
      </w:tr>
      <w:tr>
        <w:trPr>
          <w:trHeight w:val="170"/>
        </w:trPr>
        <w:tc>
          <w:tcPr>
            <w:tcW w:w="7080" w:type="dxa"/>
            <w:vAlign w:val="bottom"/>
          </w:tcPr>
          <w:p>
            <w:pPr>
              <w:ind w:left="520"/>
              <w:spacing w:after="0"/>
              <w:rPr>
                <w:sz w:val="20"/>
                <w:szCs w:val="20"/>
                <w:color w:val="auto"/>
              </w:rPr>
            </w:pPr>
            <w:r>
              <w:rPr>
                <w:rFonts w:ascii="Courier New" w:cs="Courier New" w:eastAsia="Courier New" w:hAnsi="Courier New"/>
                <w:sz w:val="15"/>
                <w:szCs w:val="15"/>
                <w:color w:val="auto"/>
              </w:rPr>
              <w:t>Other assets</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r>
        <w:trPr>
          <w:trHeight w:val="170"/>
        </w:trPr>
        <w:tc>
          <w:tcPr>
            <w:tcW w:w="7080" w:type="dxa"/>
            <w:vAlign w:val="bottom"/>
          </w:tcPr>
          <w:p>
            <w:pPr>
              <w:ind w:left="520"/>
              <w:spacing w:after="0"/>
              <w:rPr>
                <w:sz w:val="20"/>
                <w:szCs w:val="20"/>
                <w:color w:val="auto"/>
              </w:rPr>
            </w:pPr>
            <w:r>
              <w:rPr>
                <w:rFonts w:ascii="Courier New" w:cs="Courier New" w:eastAsia="Courier New" w:hAnsi="Courier New"/>
                <w:sz w:val="15"/>
                <w:szCs w:val="15"/>
                <w:color w:val="auto"/>
              </w:rPr>
              <w:t>Accounts payable</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(4,549)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2,959</w:t>
            </w:r>
          </w:p>
        </w:tc>
      </w:tr>
      <w:tr>
        <w:trPr>
          <w:trHeight w:val="170"/>
        </w:trPr>
        <w:tc>
          <w:tcPr>
            <w:tcW w:w="7080" w:type="dxa"/>
            <w:vAlign w:val="bottom"/>
          </w:tcPr>
          <w:p>
            <w:pPr>
              <w:ind w:left="520"/>
              <w:spacing w:after="0"/>
              <w:rPr>
                <w:sz w:val="20"/>
                <w:szCs w:val="20"/>
                <w:color w:val="auto"/>
              </w:rPr>
            </w:pPr>
            <w:r>
              <w:rPr>
                <w:rFonts w:ascii="Courier New" w:cs="Courier New" w:eastAsia="Courier New" w:hAnsi="Courier New"/>
                <w:sz w:val="15"/>
                <w:szCs w:val="15"/>
                <w:color w:val="auto"/>
              </w:rPr>
              <w:t>Income tax receivable</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1,259</w:t>
            </w:r>
          </w:p>
        </w:tc>
      </w:tr>
      <w:tr>
        <w:trPr>
          <w:trHeight w:val="170"/>
        </w:trPr>
        <w:tc>
          <w:tcPr>
            <w:tcW w:w="7080" w:type="dxa"/>
            <w:vAlign w:val="bottom"/>
          </w:tcPr>
          <w:p>
            <w:pPr>
              <w:ind w:left="520"/>
              <w:spacing w:after="0"/>
              <w:rPr>
                <w:sz w:val="20"/>
                <w:szCs w:val="20"/>
                <w:color w:val="auto"/>
              </w:rPr>
            </w:pPr>
            <w:r>
              <w:rPr>
                <w:rFonts w:ascii="Courier New" w:cs="Courier New" w:eastAsia="Courier New" w:hAnsi="Courier New"/>
                <w:sz w:val="15"/>
                <w:szCs w:val="15"/>
                <w:color w:val="auto"/>
              </w:rPr>
              <w:t>Other liabilities</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13,392</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(5,178)</w:t>
            </w:r>
          </w:p>
        </w:tc>
      </w:tr>
      <w:tr>
        <w:trPr>
          <w:trHeight w:val="170"/>
        </w:trPr>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Proceeds from disposals of property, plant and equipment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ind w:left="780"/>
              <w:spacing w:after="0"/>
              <w:rPr>
                <w:sz w:val="20"/>
                <w:szCs w:val="20"/>
                <w:color w:val="auto"/>
              </w:rPr>
            </w:pPr>
            <w:r>
              <w:rPr>
                <w:rFonts w:ascii="Courier New" w:cs="Courier New" w:eastAsia="Courier New" w:hAnsi="Courier New"/>
                <w:sz w:val="15"/>
                <w:szCs w:val="15"/>
                <w:color w:val="auto"/>
              </w:rPr>
              <w:t>Net cash used by investing activities</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(5,091)</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Proceeds from long-term debt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40,000</w:t>
            </w:r>
          </w:p>
        </w:tc>
      </w:tr>
      <w:tr>
        <w:trPr>
          <w:trHeight w:val="170"/>
        </w:trPr>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Proceeds from short-term debt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Increase in cash from reclassification of book overdraft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Debt issue costs paid</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(703)</w:t>
            </w:r>
          </w:p>
        </w:tc>
      </w:tr>
      <w:tr>
        <w:trPr>
          <w:trHeight w:val="170"/>
        </w:trPr>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Repayment of long-term debt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(41,075)</w:t>
            </w:r>
          </w:p>
        </w:tc>
      </w:tr>
      <w:tr>
        <w:trPr>
          <w:trHeight w:val="170"/>
        </w:trPr>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Repayment of short-term debt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Proceeds from issuance of stock</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w:t>
            </w:r>
          </w:p>
        </w:tc>
      </w:tr>
      <w:tr>
        <w:trPr>
          <w:trHeight w:val="170"/>
        </w:trPr>
        <w:tc>
          <w:tcPr>
            <w:tcW w:w="7080" w:type="dxa"/>
            <w:vAlign w:val="bottom"/>
          </w:tcPr>
          <w:p>
            <w:pPr>
              <w:ind w:left="80"/>
              <w:spacing w:after="0"/>
              <w:rPr>
                <w:sz w:val="20"/>
                <w:szCs w:val="20"/>
                <w:color w:val="auto"/>
              </w:rPr>
            </w:pPr>
            <w:r>
              <w:rPr>
                <w:rFonts w:ascii="Courier New" w:cs="Courier New" w:eastAsia="Courier New" w:hAnsi="Courier New"/>
                <w:sz w:val="15"/>
                <w:szCs w:val="15"/>
                <w:color w:val="auto"/>
              </w:rPr>
              <w:t>Dividends paid</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(2,717)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(2,674)</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(used) by financing activities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(6,362)</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 equivalents</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(273)</w:t>
            </w:r>
          </w:p>
        </w:tc>
      </w:tr>
      <w:tr>
        <w:trPr>
          <w:trHeight w:val="339"/>
        </w:trPr>
        <w:tc>
          <w:tcPr>
            <w:tcW w:w="708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(2,734)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1,666</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10,772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4,978</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$ 8,038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$ 6,644</w:t>
            </w:r>
          </w:p>
        </w:tc>
      </w:tr>
      <w:tr>
        <w:trPr>
          <w:trHeight w:val="170"/>
        </w:trPr>
        <w:tc>
          <w:tcPr>
            <w:tcW w:w="708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791" w:right="1440" w:bottom="1440" w:gutter="0" w:footer="0" w:header="0"/>
        </w:sectPr>
      </w:pPr>
    </w:p>
    <w:bookmarkStart w:id="6" w:name="page7"/>
    <w:bookmarkEnd w:id="6"/>
    <w:p>
      <w:pPr>
        <w:jc w:val="center"/>
        <w:ind w:right="3179"/>
        <w:spacing w:after="0"/>
        <w:rPr>
          <w:sz w:val="20"/>
          <w:szCs w:val="20"/>
          <w:color w:val="auto"/>
        </w:rPr>
      </w:pPr>
      <w:r>
        <w:rPr>
          <w:rFonts w:ascii="Courier New" w:cs="Courier New" w:eastAsia="Courier New" w:hAnsi="Courier New"/>
          <w:sz w:val="15"/>
          <w:szCs w:val="15"/>
          <w:color w:val="auto"/>
        </w:rPr>
        <w:t>NN, Inc.</w:t>
      </w: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099"/>
        <w:spacing w:after="0"/>
        <w:rPr>
          <w:sz w:val="20"/>
          <w:szCs w:val="20"/>
          <w:color w:val="auto"/>
        </w:rPr>
      </w:pPr>
      <w:r>
        <w:rPr>
          <w:rFonts w:ascii="Courier New" w:cs="Courier New" w:eastAsia="Courier New" w:hAnsi="Courier New"/>
          <w:sz w:val="15"/>
          <w:szCs w:val="15"/>
          <w:color w:val="auto"/>
        </w:rPr>
        <w:t>(unaudited)</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Interim Financial Statements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accompanying consolidated financial statements of NN, Inc. (the "Company") have not been audited by our independent registered public accounting firm, except that the balance sheet at December 31, 2004 is derived from the Company's audited financial statements. In the opinion of the Company's management, the financial statements reflect all adjustments necessary to present fairly the results of operations for the three and six month periods ended June 30, 2005 and 2004, the Company's financial position at June 30, 2005 and December 31, 2004, and the cash flows for the six month periods ended June 30, 2005 and 2004. These adjustments are of a normal recurring nature and are, in the opinion of management, necessary for fair presentation of the financial position and operating results for the interim periods. As used in this Quarterly Report on Form 10-Q, the terms "NN", "the Company", "we", "our", or "us" mean NN, Inc. and its subsidiaries.</w:t>
      </w:r>
    </w:p>
    <w:p>
      <w:pPr>
        <w:spacing w:after="0" w:line="18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 These Condensed, Consolidated, Unaudited Financial Statements should be read in conjunction with our audited Consolidated Financial Statements and the Notes thereto included in our most recent annual report on Form 10-K which we filed with the Securities and Exchange Commission on March 16, 2005.</w:t>
      </w:r>
    </w:p>
    <w:p>
      <w:pPr>
        <w:spacing w:after="0" w:line="178"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results for the first and second quarters of 2005 are not necessarily indicative of future results.</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Derivative Financial Instruments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have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connection with a variable Euribor rate debt financing in July 2000, our subsidiary, NN Europe ApS (formerly known as NN Euroball ApS) entered into an interest rate swap with a notional amount of 12.5 million Euro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 This original debt was repaid in May 2003, however, the swap remains pursuant to its original terms.</w:t>
      </w:r>
    </w:p>
    <w:p>
      <w:pPr>
        <w:spacing w:after="0" w:line="180"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As of June 30, 2005, the fair value of the swap was approximately $108,000 which is recorded in other non-current liabilities. The change in fair value during the three and six month periods ending June 30, 2005 was a loss of approximatley $46,000 and a loss of approximately $60,000, respectively, which have been included as components of other (income)expense. The change in fair value during the three and six month periods ending June 30, 2004 was a loss of approximately $8,000 and a gain of approximately $84,000, respectively.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Inventories</w:t>
      </w:r>
    </w:p>
    <w:p>
      <w:pPr>
        <w:spacing w:after="0" w:line="175" w:lineRule="exact"/>
        <w:rPr>
          <w:sz w:val="20"/>
          <w:szCs w:val="20"/>
          <w:color w:val="auto"/>
        </w:rPr>
      </w:pPr>
    </w:p>
    <w:p>
      <w:pPr>
        <w:ind w:right="700"/>
        <w:spacing w:after="0" w:line="235" w:lineRule="auto"/>
        <w:rPr>
          <w:sz w:val="20"/>
          <w:szCs w:val="20"/>
          <w:color w:val="auto"/>
        </w:rPr>
      </w:pPr>
      <w:r>
        <w:rPr>
          <w:rFonts w:ascii="Courier New" w:cs="Courier New" w:eastAsia="Courier New" w:hAnsi="Courier New"/>
          <w:sz w:val="15"/>
          <w:szCs w:val="15"/>
          <w:color w:val="auto"/>
        </w:rPr>
        <w:t>Inventories are stated at the lower of cost or market. Cost is determined using the first-in, first-out method.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are comprised of the following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June 30,</w:t>
            </w:r>
          </w:p>
        </w:tc>
        <w:tc>
          <w:tcPr>
            <w:tcW w:w="1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2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2005</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2820" w:type="dxa"/>
            <w:vAlign w:val="bottom"/>
          </w:tcPr>
          <w:p>
            <w:pPr>
              <w:spacing w:after="0"/>
              <w:rPr>
                <w:sz w:val="14"/>
                <w:szCs w:val="14"/>
                <w:color w:val="auto"/>
              </w:rPr>
            </w:pPr>
          </w:p>
        </w:tc>
        <w:tc>
          <w:tcPr>
            <w:tcW w:w="2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8,396</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8,584</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4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6,417</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6,356</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4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19,793</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22,334</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Less inventory reserves</w:t>
            </w:r>
          </w:p>
        </w:tc>
        <w:tc>
          <w:tcPr>
            <w:tcW w:w="148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(1,445)</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(1,645)</w:t>
            </w:r>
          </w:p>
        </w:tc>
      </w:tr>
      <w:tr>
        <w:trPr>
          <w:trHeight w:val="170"/>
        </w:trPr>
        <w:tc>
          <w:tcPr>
            <w:tcW w:w="2820" w:type="dxa"/>
            <w:vAlign w:val="bottom"/>
          </w:tcPr>
          <w:p>
            <w:pPr>
              <w:spacing w:after="0"/>
              <w:rPr>
                <w:sz w:val="14"/>
                <w:szCs w:val="14"/>
                <w:color w:val="auto"/>
              </w:rPr>
            </w:pPr>
          </w:p>
        </w:tc>
        <w:tc>
          <w:tcPr>
            <w:tcW w:w="2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33,161</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$ 35,629</w:t>
            </w:r>
          </w:p>
        </w:tc>
      </w:tr>
      <w:tr>
        <w:trPr>
          <w:trHeight w:val="170"/>
        </w:trPr>
        <w:tc>
          <w:tcPr>
            <w:tcW w:w="2820" w:type="dxa"/>
            <w:vAlign w:val="bottom"/>
          </w:tcPr>
          <w:p>
            <w:pPr>
              <w:spacing w:after="0"/>
              <w:rPr>
                <w:sz w:val="14"/>
                <w:szCs w:val="14"/>
                <w:color w:val="auto"/>
              </w:rPr>
            </w:pPr>
          </w:p>
        </w:tc>
        <w:tc>
          <w:tcPr>
            <w:tcW w:w="2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1320"/>
        <w:spacing w:after="0" w:line="235" w:lineRule="auto"/>
        <w:rPr>
          <w:sz w:val="20"/>
          <w:szCs w:val="20"/>
          <w:color w:val="auto"/>
        </w:rPr>
      </w:pPr>
      <w:r>
        <w:rPr>
          <w:rFonts w:ascii="Courier New" w:cs="Courier New" w:eastAsia="Courier New" w:hAnsi="Courier New"/>
          <w:sz w:val="15"/>
          <w:szCs w:val="15"/>
          <w:color w:val="auto"/>
        </w:rPr>
        <w:t>Inventories on consignment at customer locations as of June 30, 2005 and December 31, 2004 totaled $3.8 million at each date.</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Net Income Per Share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(Thousands of Dollars, Except Share and</w:t>
            </w:r>
          </w:p>
        </w:tc>
        <w:tc>
          <w:tcPr>
            <w:tcW w:w="340" w:type="dxa"/>
            <w:vAlign w:val="bottom"/>
          </w:tcPr>
          <w:p>
            <w:pPr>
              <w:spacing w:after="0"/>
              <w:rPr>
                <w:sz w:val="14"/>
                <w:szCs w:val="14"/>
                <w:color w:val="auto"/>
              </w:rPr>
            </w:pPr>
          </w:p>
        </w:tc>
        <w:tc>
          <w:tcPr>
            <w:tcW w:w="15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June 30,</w:t>
            </w:r>
          </w:p>
        </w:tc>
        <w:tc>
          <w:tcPr>
            <w:tcW w:w="1060" w:type="dxa"/>
            <w:vAlign w:val="bottom"/>
          </w:tcPr>
          <w:p>
            <w:pPr>
              <w:spacing w:after="0"/>
              <w:rPr>
                <w:sz w:val="14"/>
                <w:szCs w:val="1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34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4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3,312</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1,986</w:t>
            </w:r>
          </w:p>
        </w:tc>
      </w:tr>
      <w:tr>
        <w:trPr>
          <w:trHeight w:val="170"/>
        </w:trPr>
        <w:tc>
          <w:tcPr>
            <w:tcW w:w="4760" w:type="dxa"/>
            <w:vAlign w:val="bottom"/>
          </w:tcPr>
          <w:p>
            <w:pPr>
              <w:spacing w:after="0"/>
              <w:rPr>
                <w:sz w:val="14"/>
                <w:szCs w:val="14"/>
                <w:color w:val="auto"/>
              </w:rPr>
            </w:pPr>
          </w:p>
        </w:tc>
        <w:tc>
          <w:tcPr>
            <w:tcW w:w="1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4760" w:type="dxa"/>
            <w:vAlign w:val="bottom"/>
          </w:tcPr>
          <w:p>
            <w:pPr>
              <w:spacing w:after="0"/>
              <w:rPr>
                <w:sz w:val="20"/>
                <w:szCs w:val="20"/>
                <w:color w:val="auto"/>
              </w:rPr>
            </w:pPr>
            <w:r>
              <w:rPr>
                <w:rFonts w:ascii="Courier New" w:cs="Courier New" w:eastAsia="Courier New" w:hAnsi="Courier New"/>
                <w:sz w:val="15"/>
                <w:szCs w:val="15"/>
                <w:color w:val="auto"/>
              </w:rPr>
              <w:t>Weighted average basic shares</w:t>
            </w:r>
          </w:p>
        </w:tc>
        <w:tc>
          <w:tcPr>
            <w:tcW w:w="3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16,970,929</w:t>
            </w:r>
          </w:p>
        </w:tc>
        <w:tc>
          <w:tcPr>
            <w:tcW w:w="3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16,720,858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Effect of dilutive stock options</w:t>
            </w:r>
          </w:p>
        </w:tc>
        <w:tc>
          <w:tcPr>
            <w:tcW w:w="3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357,487</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455,695</w:t>
            </w:r>
          </w:p>
        </w:tc>
      </w:tr>
      <w:tr>
        <w:trPr>
          <w:trHeight w:val="170"/>
        </w:trPr>
        <w:tc>
          <w:tcPr>
            <w:tcW w:w="4760" w:type="dxa"/>
            <w:vAlign w:val="bottom"/>
          </w:tcPr>
          <w:p>
            <w:pPr>
              <w:spacing w:after="0"/>
              <w:rPr>
                <w:sz w:val="14"/>
                <w:szCs w:val="14"/>
                <w:color w:val="auto"/>
              </w:rPr>
            </w:pPr>
          </w:p>
        </w:tc>
        <w:tc>
          <w:tcPr>
            <w:tcW w:w="1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Weighted average dilutive shares outstanding</w:t>
            </w:r>
          </w:p>
        </w:tc>
        <w:tc>
          <w:tcPr>
            <w:tcW w:w="3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17,328,416</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17,176,553</w:t>
            </w:r>
          </w:p>
        </w:tc>
      </w:tr>
      <w:tr>
        <w:trPr>
          <w:trHeight w:val="170"/>
        </w:trPr>
        <w:tc>
          <w:tcPr>
            <w:tcW w:w="4760" w:type="dxa"/>
            <w:vAlign w:val="bottom"/>
          </w:tcPr>
          <w:p>
            <w:pPr>
              <w:spacing w:after="0"/>
              <w:rPr>
                <w:sz w:val="14"/>
                <w:szCs w:val="14"/>
                <w:color w:val="auto"/>
              </w:rPr>
            </w:pPr>
          </w:p>
        </w:tc>
        <w:tc>
          <w:tcPr>
            <w:tcW w:w="1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3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$ 0.20</w:t>
            </w:r>
          </w:p>
        </w:tc>
        <w:tc>
          <w:tcPr>
            <w:tcW w:w="3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$ 0.12</w:t>
            </w:r>
          </w:p>
        </w:tc>
      </w:tr>
      <w:tr>
        <w:trPr>
          <w:trHeight w:val="170"/>
        </w:trPr>
        <w:tc>
          <w:tcPr>
            <w:tcW w:w="4760" w:type="dxa"/>
            <w:vAlign w:val="bottom"/>
          </w:tcPr>
          <w:p>
            <w:pPr>
              <w:spacing w:after="0"/>
              <w:rPr>
                <w:sz w:val="14"/>
                <w:szCs w:val="14"/>
                <w:color w:val="auto"/>
              </w:rPr>
            </w:pPr>
          </w:p>
        </w:tc>
        <w:tc>
          <w:tcPr>
            <w:tcW w:w="1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3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$ 0.19</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$ 0.12</w:t>
            </w:r>
          </w:p>
        </w:tc>
      </w:tr>
      <w:tr>
        <w:trPr>
          <w:trHeight w:val="170"/>
        </w:trPr>
        <w:tc>
          <w:tcPr>
            <w:tcW w:w="4760" w:type="dxa"/>
            <w:vAlign w:val="bottom"/>
          </w:tcPr>
          <w:p>
            <w:pPr>
              <w:spacing w:after="0"/>
              <w:rPr>
                <w:sz w:val="14"/>
                <w:szCs w:val="14"/>
                <w:color w:val="auto"/>
              </w:rPr>
            </w:pPr>
          </w:p>
        </w:tc>
        <w:tc>
          <w:tcPr>
            <w:tcW w:w="1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right="620"/>
        <w:spacing w:after="0" w:line="260" w:lineRule="auto"/>
        <w:rPr>
          <w:sz w:val="20"/>
          <w:szCs w:val="20"/>
          <w:color w:val="auto"/>
        </w:rPr>
      </w:pPr>
      <w:r>
        <w:rPr>
          <w:rFonts w:ascii="Courier New" w:cs="Courier New" w:eastAsia="Courier New" w:hAnsi="Courier New"/>
          <w:sz w:val="14"/>
          <w:szCs w:val="14"/>
          <w:color w:val="auto"/>
        </w:rPr>
        <w:t>Excluded from the shares outstanding for each of the periods ended June 30, 2005 and 2004 were 357,000 and 438,000 antidilutive options, respectively, which had exercise prices of $12.62 as of June 30, 2005 and as of June 30, 2004.</w:t>
      </w:r>
    </w:p>
    <w:p>
      <w:pPr>
        <w:spacing w:after="0" w:line="15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Segment Information</w:t>
      </w:r>
    </w:p>
    <w:p>
      <w:pPr>
        <w:spacing w:after="0" w:line="175" w:lineRule="exact"/>
        <w:rPr>
          <w:sz w:val="20"/>
          <w:szCs w:val="20"/>
          <w:color w:val="auto"/>
        </w:rPr>
      </w:pPr>
    </w:p>
    <w:p>
      <w:pPr>
        <w:jc w:val="both"/>
        <w:ind w:right="620"/>
        <w:spacing w:after="0" w:line="256" w:lineRule="auto"/>
        <w:rPr>
          <w:sz w:val="20"/>
          <w:szCs w:val="20"/>
          <w:color w:val="auto"/>
        </w:rPr>
      </w:pPr>
      <w:r>
        <w:rPr>
          <w:rFonts w:ascii="Courier New" w:cs="Courier New" w:eastAsia="Courier New" w:hAnsi="Courier New"/>
          <w:sz w:val="14"/>
          <w:szCs w:val="14"/>
          <w:color w:val="auto"/>
        </w:rPr>
        <w:t>During 2005 and 2004, the Company's reportable segments are based on differences in product lines and geographic locations and are divided among Domestic Ball and Roller, European operations ("NN Europe") and Plastic and Rubber Components. The Domestic Ball and Roller Segment is comprised of two manufacturing facilities in the eastern United States. The NN Europe Segment is comprised of precision ball, roller and metal cage manufacturing facilities located in Kilkenny, Ireland; Eltmann, Germany; Pinerolo, Italy; Kysucke Nove Mesto, Slovakia (which began production in the second quarter of 2004); and Veenendaal, The Netherlands ("Veenendaal"). All of the facilities in the Domestic Ball and Roller Segment are engaged in the production of precision balls and rollers used primarily in the bearing industry. All of the facilities in the NN Europe Segment are engaged in the production of precision balls used primarily in the bearing industry, except for Veenendaal which is engaged in the production of tapered rollers and cages for use primarily in the bearing industry. The Plastic and Rubber Components Segment is comprised of the Industrial Molding Corporation ("IMC") business, located in Lubbock, Texas and The Delta Rubber Company ("Delta") business, located in Danielson, Connecticut. IMC is engaged in the production of plastic injection molded products for the bearing, automotive, instrumentation, fiber optic and office automation markets. Delta is engaged principally in the production of engineered bearing seals used principally in automotive, industrial, agricultural, mining and aerospace applications.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2560" w:type="dxa"/>
            <w:vAlign w:val="bottom"/>
            <w:gridSpan w:val="3"/>
          </w:tcPr>
          <w:p>
            <w:pPr>
              <w:jc w:val="right"/>
              <w:ind w:right="64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360" w:type="dxa"/>
            <w:vAlign w:val="bottom"/>
          </w:tcPr>
          <w:p>
            <w:pPr>
              <w:spacing w:after="0"/>
              <w:rPr>
                <w:sz w:val="14"/>
                <w:szCs w:val="14"/>
                <w:color w:val="auto"/>
              </w:rPr>
            </w:pPr>
          </w:p>
        </w:tc>
        <w:tc>
          <w:tcPr>
            <w:tcW w:w="15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June 30,</w:t>
            </w:r>
          </w:p>
        </w:tc>
        <w:tc>
          <w:tcPr>
            <w:tcW w:w="1060" w:type="dxa"/>
            <w:vAlign w:val="bottom"/>
          </w:tcPr>
          <w:p>
            <w:pPr>
              <w:spacing w:after="0"/>
              <w:rPr>
                <w:sz w:val="14"/>
                <w:szCs w:val="14"/>
                <w:color w:val="auto"/>
              </w:rPr>
            </w:pPr>
          </w:p>
        </w:tc>
      </w:tr>
      <w:tr>
        <w:trPr>
          <w:trHeight w:val="170"/>
        </w:trPr>
        <w:tc>
          <w:tcPr>
            <w:tcW w:w="36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7,337</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5,204</w:t>
            </w:r>
          </w:p>
        </w:tc>
      </w:tr>
      <w:tr>
        <w:trPr>
          <w:trHeight w:val="170"/>
        </w:trPr>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3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16,914,044</w:t>
            </w:r>
          </w:p>
        </w:tc>
        <w:tc>
          <w:tcPr>
            <w:tcW w:w="3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16,712,867</w:t>
            </w:r>
          </w:p>
        </w:tc>
      </w:tr>
      <w:tr>
        <w:trPr>
          <w:trHeight w:val="170"/>
        </w:trPr>
        <w:tc>
          <w:tcPr>
            <w:tcW w:w="3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338,150</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462,832</w:t>
            </w:r>
          </w:p>
        </w:tc>
      </w:tr>
      <w:tr>
        <w:trPr>
          <w:trHeight w:val="170"/>
        </w:trPr>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17,252,194</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17,175,699</w:t>
            </w:r>
          </w:p>
        </w:tc>
      </w:tr>
      <w:tr>
        <w:trPr>
          <w:trHeight w:val="170"/>
        </w:trPr>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$ 0.43</w:t>
            </w:r>
          </w:p>
        </w:tc>
        <w:tc>
          <w:tcPr>
            <w:tcW w:w="3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$ 0.31</w:t>
            </w:r>
          </w:p>
        </w:tc>
      </w:tr>
      <w:tr>
        <w:trPr>
          <w:trHeight w:val="170"/>
        </w:trPr>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$ 0.43</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$ 0.30</w:t>
            </w:r>
          </w:p>
        </w:tc>
      </w:tr>
      <w:tr>
        <w:trPr>
          <w:trHeight w:val="170"/>
        </w:trPr>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660" w:space="260"/>
            <w:col w:w="2920"/>
          </w:cols>
          <w:pgMar w:left="240" w:top="622" w:right="819" w:bottom="1440" w:gutter="0" w:footer="0" w:header="0"/>
        </w:sectPr>
      </w:pPr>
    </w:p>
    <w:bookmarkStart w:id="8" w:name="page9"/>
    <w:bookmarkEnd w:id="8"/>
    <w:p>
      <w:pPr>
        <w:jc w:val="both"/>
        <w:ind w:right="3700"/>
        <w:spacing w:after="0" w:line="238" w:lineRule="auto"/>
        <w:rPr>
          <w:sz w:val="20"/>
          <w:szCs w:val="20"/>
          <w:color w:val="auto"/>
        </w:rPr>
      </w:pPr>
      <w:r>
        <w:rPr>
          <w:rFonts w:ascii="Courier New" w:cs="Courier New" w:eastAsia="Courier New" w:hAnsi="Courier New"/>
          <w:sz w:val="15"/>
          <w:szCs w:val="15"/>
          <w:color w:val="auto"/>
        </w:rPr>
        <w:t>The accounting policies of each segment are the same as those described in the summary of significant accounting policies in the Company's Annual Report on Form 10-K for the fiscal year ended December 31, 2004. We evaluate segment performance based on profit or loss from operations before income taxes. We account for inter-segment sales and transfers at current market prices; however, we did not have any material inter-segment transactions during the three or six month periods ended June 30, 2005 or 2004.</w:t>
      </w:r>
    </w:p>
    <w:p>
      <w:pPr>
        <w:spacing w:after="0" w:line="200" w:lineRule="exact"/>
        <w:rPr>
          <w:sz w:val="20"/>
          <w:szCs w:val="20"/>
          <w:color w:val="auto"/>
        </w:rPr>
      </w:pPr>
    </w:p>
    <w:p>
      <w:pPr>
        <w:spacing w:after="0" w:line="310" w:lineRule="exact"/>
        <w:rPr>
          <w:sz w:val="20"/>
          <w:szCs w:val="20"/>
          <w:color w:val="auto"/>
        </w:rPr>
      </w:pPr>
    </w:p>
    <w:p>
      <w:pPr>
        <w:jc w:val="center"/>
        <w:ind w:left="1700"/>
        <w:spacing w:after="0"/>
        <w:rPr>
          <w:sz w:val="20"/>
          <w:szCs w:val="20"/>
          <w:color w:val="auto"/>
        </w:rPr>
      </w:pPr>
      <w:r>
        <w:rPr>
          <w:rFonts w:ascii="Courier New" w:cs="Courier New" w:eastAsia="Courier New" w:hAnsi="Courier New"/>
          <w:sz w:val="15"/>
          <w:szCs w:val="15"/>
          <w:color w:val="auto"/>
        </w:rPr>
        <w:t>Three Months Ended June 30,</w:t>
      </w:r>
    </w:p>
    <w:p>
      <w:pPr>
        <w:ind w:left="4300"/>
        <w:spacing w:after="0"/>
        <w:tabs>
          <w:tab w:leader="none" w:pos="834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2960" w:val="left"/>
          <w:tab w:leader="none" w:pos="5520" w:val="left"/>
          <w:tab w:leader="none" w:pos="6940" w:val="left"/>
          <w:tab w:leader="none" w:pos="9580" w:val="left"/>
        </w:tabs>
        <w:rPr>
          <w:sz w:val="20"/>
          <w:szCs w:val="20"/>
          <w:color w:val="auto"/>
        </w:rPr>
      </w:pPr>
      <w:r>
        <w:rPr>
          <w:rFonts w:ascii="Courier New" w:cs="Courier New" w:eastAsia="Courier New" w:hAnsi="Courier New"/>
          <w:sz w:val="15"/>
          <w:szCs w:val="15"/>
          <w:color w:val="auto"/>
        </w:rPr>
        <w:t>(In Thousands of Dollars)</w:t>
      </w:r>
      <w:r>
        <w:rPr>
          <w:sz w:val="20"/>
          <w:szCs w:val="20"/>
          <w:color w:val="auto"/>
        </w:rPr>
        <w:tab/>
      </w:r>
      <w:r>
        <w:rPr>
          <w:rFonts w:ascii="Courier New" w:cs="Courier New" w:eastAsia="Courier New" w:hAnsi="Courier New"/>
          <w:sz w:val="15"/>
          <w:szCs w:val="15"/>
          <w:color w:val="auto"/>
        </w:rPr>
        <w:t>Domestic</w:t>
      </w:r>
      <w:r>
        <w:rPr>
          <w:sz w:val="20"/>
          <w:szCs w:val="20"/>
          <w:color w:val="auto"/>
        </w:rPr>
        <w:tab/>
      </w:r>
      <w:r>
        <w:rPr>
          <w:rFonts w:ascii="Courier New" w:cs="Courier New" w:eastAsia="Courier New" w:hAnsi="Courier New"/>
          <w:sz w:val="15"/>
          <w:szCs w:val="15"/>
          <w:color w:val="auto"/>
        </w:rPr>
        <w:t>Plastic and</w:t>
      </w:r>
      <w:r>
        <w:rPr>
          <w:sz w:val="20"/>
          <w:szCs w:val="20"/>
          <w:color w:val="auto"/>
        </w:rPr>
        <w:tab/>
      </w:r>
      <w:r>
        <w:rPr>
          <w:rFonts w:ascii="Courier New" w:cs="Courier New" w:eastAsia="Courier New" w:hAnsi="Courier New"/>
          <w:sz w:val="15"/>
          <w:szCs w:val="15"/>
          <w:color w:val="auto"/>
        </w:rPr>
        <w:t>Domestic</w:t>
      </w:r>
      <w:r>
        <w:rPr>
          <w:sz w:val="20"/>
          <w:szCs w:val="20"/>
          <w:color w:val="auto"/>
        </w:rPr>
        <w:tab/>
      </w:r>
      <w:r>
        <w:rPr>
          <w:rFonts w:ascii="Courier New" w:cs="Courier New" w:eastAsia="Courier New" w:hAnsi="Courier New"/>
          <w:sz w:val="14"/>
          <w:szCs w:val="14"/>
          <w:color w:val="auto"/>
        </w:rPr>
        <w:t>Plastic and</w:t>
      </w:r>
    </w:p>
    <w:p>
      <w:pPr>
        <w:ind w:left="2980"/>
        <w:spacing w:after="0"/>
        <w:tabs>
          <w:tab w:leader="none" w:pos="4200" w:val="left"/>
          <w:tab w:leader="none" w:pos="5700" w:val="left"/>
          <w:tab w:leader="none" w:pos="7020" w:val="left"/>
          <w:tab w:leader="none" w:pos="8160" w:val="left"/>
          <w:tab w:leader="none" w:pos="9760" w:val="left"/>
        </w:tabs>
        <w:rPr>
          <w:sz w:val="20"/>
          <w:szCs w:val="20"/>
          <w:color w:val="auto"/>
        </w:rPr>
      </w:pPr>
      <w:r>
        <w:rPr>
          <w:rFonts w:ascii="Courier New" w:cs="Courier New" w:eastAsia="Courier New" w:hAnsi="Courier New"/>
          <w:sz w:val="15"/>
          <w:szCs w:val="15"/>
          <w:color w:val="auto"/>
        </w:rPr>
        <w:t>Ball &amp;</w:t>
      </w:r>
      <w:r>
        <w:rPr>
          <w:sz w:val="20"/>
          <w:szCs w:val="20"/>
          <w:color w:val="auto"/>
        </w:rPr>
        <w:tab/>
      </w:r>
      <w:r>
        <w:rPr>
          <w:rFonts w:ascii="Courier New" w:cs="Courier New" w:eastAsia="Courier New" w:hAnsi="Courier New"/>
          <w:sz w:val="15"/>
          <w:szCs w:val="15"/>
          <w:color w:val="auto"/>
        </w:rPr>
        <w:t>NN Europe</w:t>
      </w:r>
      <w:r>
        <w:rPr>
          <w:sz w:val="20"/>
          <w:szCs w:val="20"/>
          <w:color w:val="auto"/>
        </w:rPr>
        <w:tab/>
      </w:r>
      <w:r>
        <w:rPr>
          <w:rFonts w:ascii="Courier New" w:cs="Courier New" w:eastAsia="Courier New" w:hAnsi="Courier New"/>
          <w:sz w:val="15"/>
          <w:szCs w:val="15"/>
          <w:color w:val="auto"/>
        </w:rPr>
        <w:t>Rubber</w:t>
      </w:r>
      <w:r>
        <w:rPr>
          <w:sz w:val="20"/>
          <w:szCs w:val="20"/>
          <w:color w:val="auto"/>
        </w:rPr>
        <w:tab/>
      </w:r>
      <w:r>
        <w:rPr>
          <w:rFonts w:ascii="Courier New" w:cs="Courier New" w:eastAsia="Courier New" w:hAnsi="Courier New"/>
          <w:sz w:val="15"/>
          <w:szCs w:val="15"/>
          <w:color w:val="auto"/>
        </w:rPr>
        <w:t>Ball &amp;</w:t>
      </w:r>
      <w:r>
        <w:rPr>
          <w:sz w:val="20"/>
          <w:szCs w:val="20"/>
          <w:color w:val="auto"/>
        </w:rPr>
        <w:tab/>
      </w:r>
      <w:r>
        <w:rPr>
          <w:rFonts w:ascii="Courier New" w:cs="Courier New" w:eastAsia="Courier New" w:hAnsi="Courier New"/>
          <w:sz w:val="15"/>
          <w:szCs w:val="15"/>
          <w:color w:val="auto"/>
        </w:rPr>
        <w:t>NN Europe</w:t>
      </w:r>
      <w:r>
        <w:rPr>
          <w:sz w:val="20"/>
          <w:szCs w:val="20"/>
          <w:color w:val="auto"/>
        </w:rPr>
        <w:tab/>
      </w:r>
      <w:r>
        <w:rPr>
          <w:rFonts w:ascii="Courier New" w:cs="Courier New" w:eastAsia="Courier New" w:hAnsi="Courier New"/>
          <w:sz w:val="14"/>
          <w:szCs w:val="14"/>
          <w:color w:val="auto"/>
        </w:rPr>
        <w:t>Rubber</w:t>
      </w:r>
    </w:p>
    <w:p>
      <w:pPr>
        <w:ind w:left="2980"/>
        <w:spacing w:after="0"/>
        <w:tabs>
          <w:tab w:leader="none" w:pos="4200" w:val="left"/>
          <w:tab w:leader="none" w:pos="5520" w:val="left"/>
          <w:tab w:leader="none" w:pos="7020" w:val="left"/>
          <w:tab w:leader="none" w:pos="8260" w:val="left"/>
          <w:tab w:leader="none" w:pos="9580" w:val="left"/>
        </w:tabs>
        <w:rPr>
          <w:sz w:val="20"/>
          <w:szCs w:val="20"/>
          <w:color w:val="auto"/>
        </w:rPr>
      </w:pPr>
      <w:r>
        <w:rPr>
          <w:rFonts w:ascii="Courier New" w:cs="Courier New" w:eastAsia="Courier New" w:hAnsi="Courier New"/>
          <w:sz w:val="15"/>
          <w:szCs w:val="15"/>
          <w:color w:val="auto"/>
        </w:rPr>
        <w:t>Roller</w:t>
      </w:r>
      <w:r>
        <w:rPr>
          <w:sz w:val="20"/>
          <w:szCs w:val="20"/>
          <w:color w:val="auto"/>
        </w:rPr>
        <w:tab/>
      </w:r>
      <w:r>
        <w:rPr>
          <w:rFonts w:ascii="Courier New" w:cs="Courier New" w:eastAsia="Courier New" w:hAnsi="Courier New"/>
          <w:sz w:val="15"/>
          <w:szCs w:val="15"/>
          <w:color w:val="auto"/>
        </w:rPr>
        <w:t>Segment</w:t>
      </w:r>
      <w:r>
        <w:rPr>
          <w:sz w:val="20"/>
          <w:szCs w:val="20"/>
          <w:color w:val="auto"/>
        </w:rPr>
        <w:tab/>
      </w:r>
      <w:r>
        <w:rPr>
          <w:rFonts w:ascii="Courier New" w:cs="Courier New" w:eastAsia="Courier New" w:hAnsi="Courier New"/>
          <w:sz w:val="15"/>
          <w:szCs w:val="15"/>
          <w:color w:val="auto"/>
        </w:rPr>
        <w:t>Components</w:t>
      </w:r>
      <w:r>
        <w:rPr>
          <w:sz w:val="20"/>
          <w:szCs w:val="20"/>
          <w:color w:val="auto"/>
        </w:rPr>
        <w:tab/>
      </w:r>
      <w:r>
        <w:rPr>
          <w:rFonts w:ascii="Courier New" w:cs="Courier New" w:eastAsia="Courier New" w:hAnsi="Courier New"/>
          <w:sz w:val="15"/>
          <w:szCs w:val="15"/>
          <w:color w:val="auto"/>
        </w:rPr>
        <w:t>Roller</w:t>
      </w:r>
      <w:r>
        <w:rPr>
          <w:sz w:val="20"/>
          <w:szCs w:val="20"/>
          <w:color w:val="auto"/>
        </w:rPr>
        <w:tab/>
      </w:r>
      <w:r>
        <w:rPr>
          <w:rFonts w:ascii="Courier New" w:cs="Courier New" w:eastAsia="Courier New" w:hAnsi="Courier New"/>
          <w:sz w:val="15"/>
          <w:szCs w:val="15"/>
          <w:color w:val="auto"/>
        </w:rPr>
        <w:t>Segment</w:t>
      </w:r>
      <w:r>
        <w:rPr>
          <w:sz w:val="20"/>
          <w:szCs w:val="20"/>
          <w:color w:val="auto"/>
        </w:rPr>
        <w:tab/>
      </w:r>
      <w:r>
        <w:rPr>
          <w:rFonts w:ascii="Courier New" w:cs="Courier New" w:eastAsia="Courier New" w:hAnsi="Courier New"/>
          <w:sz w:val="14"/>
          <w:szCs w:val="14"/>
          <w:color w:val="auto"/>
        </w:rPr>
        <w:t>Components</w:t>
      </w:r>
    </w:p>
    <w:p>
      <w:pPr>
        <w:spacing w:after="0"/>
        <w:tabs>
          <w:tab w:leader="none" w:pos="402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 --------------- ------------- --------------- ---------------</w:t>
      </w:r>
    </w:p>
    <w:p>
      <w:pPr>
        <w:sectPr>
          <w:pgSz w:w="11900" w:h="16838" w:orient="portrait"/>
          <w:cols w:equalWidth="0" w:num="1">
            <w:col w:w="10740"/>
          </w:cols>
          <w:pgMar w:left="240" w:top="797" w:right="919"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from external</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$ 16,508</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$ 52,773</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$ 14,506</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$ 14,550</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$ 48,387</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$ 12,328</w:t>
      </w:r>
    </w:p>
    <w:p>
      <w:pPr>
        <w:spacing w:after="0" w:line="11" w:lineRule="exact"/>
        <w:rPr>
          <w:sz w:val="20"/>
          <w:szCs w:val="20"/>
          <w:color w:val="auto"/>
        </w:rPr>
      </w:pPr>
    </w:p>
    <w:p>
      <w:pPr>
        <w:sectPr>
          <w:pgSz w:w="11900" w:h="16838" w:orient="portrait"/>
          <w:cols w:equalWidth="0" w:num="7">
            <w:col w:w="2180" w:space="720"/>
            <w:col w:w="700" w:space="700"/>
            <w:col w:w="720" w:space="700"/>
            <w:col w:w="700" w:space="540"/>
            <w:col w:w="700" w:space="700"/>
            <w:col w:w="700" w:space="720"/>
            <w:col w:w="960"/>
          </w:cols>
          <w:pgMar w:left="240" w:top="797" w:right="9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customers</w:t>
      </w:r>
    </w:p>
    <w:p>
      <w:pPr>
        <w:sectPr>
          <w:pgSz w:w="11900" w:h="16838" w:orient="portrait"/>
          <w:cols w:equalWidth="0" w:num="1">
            <w:col w:w="10740"/>
          </w:cols>
          <w:pgMar w:left="240" w:top="797" w:right="9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Pretax profit (loss)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Courier New" w:cs="Courier New" w:eastAsia="Courier New" w:hAnsi="Courier New"/>
          <w:sz w:val="15"/>
          <w:szCs w:val="15"/>
          <w:color w:val="auto"/>
        </w:rPr>
        <w:t>374</w:t>
      </w:r>
    </w:p>
    <w:p>
      <w:pPr>
        <w:spacing w:after="0" w:line="5"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51,818</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5,147</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162,716</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(25)</w:t>
      </w:r>
    </w:p>
    <w:p>
      <w:pPr>
        <w:spacing w:after="0"/>
        <w:rPr>
          <w:sz w:val="20"/>
          <w:szCs w:val="20"/>
          <w:color w:val="auto"/>
        </w:rPr>
      </w:pPr>
      <w:r>
        <w:rPr>
          <w:rFonts w:ascii="Courier New" w:cs="Courier New" w:eastAsia="Courier New" w:hAnsi="Courier New"/>
          <w:sz w:val="15"/>
          <w:szCs w:val="15"/>
          <w:color w:val="auto"/>
        </w:rPr>
        <w:t>58,337</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(137)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50,072</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3,088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157,027</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410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56,761</w:t>
      </w:r>
    </w:p>
    <w:p>
      <w:pPr>
        <w:spacing w:after="0" w:line="200" w:lineRule="exact"/>
        <w:rPr>
          <w:sz w:val="20"/>
          <w:szCs w:val="20"/>
          <w:color w:val="auto"/>
        </w:rPr>
      </w:pPr>
    </w:p>
    <w:p>
      <w:pPr>
        <w:sectPr>
          <w:pgSz w:w="11900" w:h="16838" w:orient="portrait"/>
          <w:cols w:equalWidth="0" w:num="7">
            <w:col w:w="2360" w:space="720"/>
            <w:col w:w="600" w:space="720"/>
            <w:col w:w="780" w:space="720"/>
            <w:col w:w="620" w:space="620"/>
            <w:col w:w="600" w:space="720"/>
            <w:col w:w="780" w:space="720"/>
            <w:col w:w="780"/>
          </w:cols>
          <w:pgMar w:left="240" w:top="797" w:right="919" w:bottom="1440" w:gutter="0" w:footer="0" w:header="0"/>
          <w:type w:val="continuous"/>
        </w:sectPr>
      </w:pPr>
    </w:p>
    <w:p>
      <w:pPr>
        <w:spacing w:after="0" w:line="138" w:lineRule="exact"/>
        <w:rPr>
          <w:sz w:val="20"/>
          <w:szCs w:val="20"/>
          <w:color w:val="auto"/>
        </w:rPr>
      </w:pPr>
    </w:p>
    <w:p>
      <w:pPr>
        <w:jc w:val="center"/>
        <w:ind w:left="1680"/>
        <w:spacing w:after="0"/>
        <w:rPr>
          <w:sz w:val="20"/>
          <w:szCs w:val="20"/>
          <w:color w:val="auto"/>
        </w:rPr>
      </w:pPr>
      <w:r>
        <w:rPr>
          <w:rFonts w:ascii="Courier New" w:cs="Courier New" w:eastAsia="Courier New" w:hAnsi="Courier New"/>
          <w:sz w:val="15"/>
          <w:szCs w:val="15"/>
          <w:color w:val="auto"/>
        </w:rPr>
        <w:t>Six Months Ended June 30,</w:t>
      </w:r>
    </w:p>
    <w:p>
      <w:pPr>
        <w:ind w:left="4300"/>
        <w:spacing w:after="0"/>
        <w:tabs>
          <w:tab w:leader="none" w:pos="834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tabs>
          <w:tab w:leader="none" w:pos="2960" w:val="left"/>
          <w:tab w:leader="none" w:pos="5520" w:val="left"/>
          <w:tab w:leader="none" w:pos="6940" w:val="left"/>
          <w:tab w:leader="none" w:pos="9580" w:val="left"/>
        </w:tabs>
        <w:rPr>
          <w:sz w:val="20"/>
          <w:szCs w:val="20"/>
          <w:color w:val="auto"/>
        </w:rPr>
      </w:pPr>
      <w:r>
        <w:rPr>
          <w:rFonts w:ascii="Courier New" w:cs="Courier New" w:eastAsia="Courier New" w:hAnsi="Courier New"/>
          <w:sz w:val="15"/>
          <w:szCs w:val="15"/>
          <w:color w:val="auto"/>
        </w:rPr>
        <w:t>(In Thousands of Dollars)</w:t>
      </w:r>
      <w:r>
        <w:rPr>
          <w:sz w:val="20"/>
          <w:szCs w:val="20"/>
          <w:color w:val="auto"/>
        </w:rPr>
        <w:tab/>
      </w:r>
      <w:r>
        <w:rPr>
          <w:rFonts w:ascii="Courier New" w:cs="Courier New" w:eastAsia="Courier New" w:hAnsi="Courier New"/>
          <w:sz w:val="15"/>
          <w:szCs w:val="15"/>
          <w:color w:val="auto"/>
        </w:rPr>
        <w:t>Domestic</w:t>
      </w:r>
      <w:r>
        <w:rPr>
          <w:sz w:val="20"/>
          <w:szCs w:val="20"/>
          <w:color w:val="auto"/>
        </w:rPr>
        <w:tab/>
      </w:r>
      <w:r>
        <w:rPr>
          <w:rFonts w:ascii="Courier New" w:cs="Courier New" w:eastAsia="Courier New" w:hAnsi="Courier New"/>
          <w:sz w:val="15"/>
          <w:szCs w:val="15"/>
          <w:color w:val="auto"/>
        </w:rPr>
        <w:t>Plastic and</w:t>
      </w:r>
      <w:r>
        <w:rPr>
          <w:sz w:val="20"/>
          <w:szCs w:val="20"/>
          <w:color w:val="auto"/>
        </w:rPr>
        <w:tab/>
      </w:r>
      <w:r>
        <w:rPr>
          <w:rFonts w:ascii="Courier New" w:cs="Courier New" w:eastAsia="Courier New" w:hAnsi="Courier New"/>
          <w:sz w:val="15"/>
          <w:szCs w:val="15"/>
          <w:color w:val="auto"/>
        </w:rPr>
        <w:t>Domestic</w:t>
      </w:r>
      <w:r>
        <w:rPr>
          <w:sz w:val="20"/>
          <w:szCs w:val="20"/>
          <w:color w:val="auto"/>
        </w:rPr>
        <w:tab/>
      </w:r>
      <w:r>
        <w:rPr>
          <w:rFonts w:ascii="Courier New" w:cs="Courier New" w:eastAsia="Courier New" w:hAnsi="Courier New"/>
          <w:sz w:val="14"/>
          <w:szCs w:val="14"/>
          <w:color w:val="auto"/>
        </w:rPr>
        <w:t>Plastic and</w:t>
      </w:r>
    </w:p>
    <w:p>
      <w:pPr>
        <w:ind w:left="2980"/>
        <w:spacing w:after="0"/>
        <w:tabs>
          <w:tab w:leader="none" w:pos="4200" w:val="left"/>
          <w:tab w:leader="none" w:pos="5700" w:val="left"/>
          <w:tab w:leader="none" w:pos="7020" w:val="left"/>
          <w:tab w:leader="none" w:pos="8260" w:val="left"/>
          <w:tab w:leader="none" w:pos="9760" w:val="left"/>
        </w:tabs>
        <w:rPr>
          <w:sz w:val="20"/>
          <w:szCs w:val="20"/>
          <w:color w:val="auto"/>
        </w:rPr>
      </w:pPr>
      <w:r>
        <w:rPr>
          <w:rFonts w:ascii="Courier New" w:cs="Courier New" w:eastAsia="Courier New" w:hAnsi="Courier New"/>
          <w:sz w:val="15"/>
          <w:szCs w:val="15"/>
          <w:color w:val="auto"/>
        </w:rPr>
        <w:t>Ball &amp;</w:t>
      </w:r>
      <w:r>
        <w:rPr>
          <w:sz w:val="20"/>
          <w:szCs w:val="20"/>
          <w:color w:val="auto"/>
        </w:rPr>
        <w:tab/>
      </w:r>
      <w:r>
        <w:rPr>
          <w:rFonts w:ascii="Courier New" w:cs="Courier New" w:eastAsia="Courier New" w:hAnsi="Courier New"/>
          <w:sz w:val="15"/>
          <w:szCs w:val="15"/>
          <w:color w:val="auto"/>
        </w:rPr>
        <w:t>NN Europe</w:t>
      </w:r>
      <w:r>
        <w:rPr>
          <w:sz w:val="20"/>
          <w:szCs w:val="20"/>
          <w:color w:val="auto"/>
        </w:rPr>
        <w:tab/>
      </w:r>
      <w:r>
        <w:rPr>
          <w:rFonts w:ascii="Courier New" w:cs="Courier New" w:eastAsia="Courier New" w:hAnsi="Courier New"/>
          <w:sz w:val="15"/>
          <w:szCs w:val="15"/>
          <w:color w:val="auto"/>
        </w:rPr>
        <w:t>Rubber</w:t>
      </w:r>
      <w:r>
        <w:rPr>
          <w:sz w:val="20"/>
          <w:szCs w:val="20"/>
          <w:color w:val="auto"/>
        </w:rPr>
        <w:tab/>
      </w:r>
      <w:r>
        <w:rPr>
          <w:rFonts w:ascii="Courier New" w:cs="Courier New" w:eastAsia="Courier New" w:hAnsi="Courier New"/>
          <w:sz w:val="15"/>
          <w:szCs w:val="15"/>
          <w:color w:val="auto"/>
        </w:rPr>
        <w:t>Ball &amp;</w:t>
      </w:r>
      <w:r>
        <w:rPr>
          <w:sz w:val="20"/>
          <w:szCs w:val="20"/>
          <w:color w:val="auto"/>
        </w:rPr>
        <w:tab/>
      </w:r>
      <w:r>
        <w:rPr>
          <w:rFonts w:ascii="Courier New" w:cs="Courier New" w:eastAsia="Courier New" w:hAnsi="Courier New"/>
          <w:sz w:val="15"/>
          <w:szCs w:val="15"/>
          <w:color w:val="auto"/>
        </w:rPr>
        <w:t>NN Europe</w:t>
      </w:r>
      <w:r>
        <w:rPr>
          <w:sz w:val="20"/>
          <w:szCs w:val="20"/>
          <w:color w:val="auto"/>
        </w:rPr>
        <w:tab/>
      </w:r>
      <w:r>
        <w:rPr>
          <w:rFonts w:ascii="Courier New" w:cs="Courier New" w:eastAsia="Courier New" w:hAnsi="Courier New"/>
          <w:sz w:val="14"/>
          <w:szCs w:val="14"/>
          <w:color w:val="auto"/>
        </w:rPr>
        <w:t>Rubber</w:t>
      </w:r>
    </w:p>
    <w:p>
      <w:pPr>
        <w:ind w:left="2980"/>
        <w:spacing w:after="0"/>
        <w:tabs>
          <w:tab w:leader="none" w:pos="4200" w:val="left"/>
          <w:tab w:leader="none" w:pos="5520" w:val="left"/>
          <w:tab w:leader="none" w:pos="7020" w:val="left"/>
          <w:tab w:leader="none" w:pos="8260" w:val="left"/>
          <w:tab w:leader="none" w:pos="9580" w:val="left"/>
        </w:tabs>
        <w:rPr>
          <w:sz w:val="20"/>
          <w:szCs w:val="20"/>
          <w:color w:val="auto"/>
        </w:rPr>
      </w:pPr>
      <w:r>
        <w:rPr>
          <w:rFonts w:ascii="Courier New" w:cs="Courier New" w:eastAsia="Courier New" w:hAnsi="Courier New"/>
          <w:sz w:val="15"/>
          <w:szCs w:val="15"/>
          <w:color w:val="auto"/>
        </w:rPr>
        <w:t>Roller</w:t>
      </w:r>
      <w:r>
        <w:rPr>
          <w:sz w:val="20"/>
          <w:szCs w:val="20"/>
          <w:color w:val="auto"/>
        </w:rPr>
        <w:tab/>
      </w:r>
      <w:r>
        <w:rPr>
          <w:rFonts w:ascii="Courier New" w:cs="Courier New" w:eastAsia="Courier New" w:hAnsi="Courier New"/>
          <w:sz w:val="15"/>
          <w:szCs w:val="15"/>
          <w:color w:val="auto"/>
        </w:rPr>
        <w:t>Segment</w:t>
      </w:r>
      <w:r>
        <w:rPr>
          <w:sz w:val="20"/>
          <w:szCs w:val="20"/>
          <w:color w:val="auto"/>
        </w:rPr>
        <w:tab/>
      </w:r>
      <w:r>
        <w:rPr>
          <w:rFonts w:ascii="Courier New" w:cs="Courier New" w:eastAsia="Courier New" w:hAnsi="Courier New"/>
          <w:sz w:val="15"/>
          <w:szCs w:val="15"/>
          <w:color w:val="auto"/>
        </w:rPr>
        <w:t>Components</w:t>
      </w:r>
      <w:r>
        <w:rPr>
          <w:sz w:val="20"/>
          <w:szCs w:val="20"/>
          <w:color w:val="auto"/>
        </w:rPr>
        <w:tab/>
      </w:r>
      <w:r>
        <w:rPr>
          <w:rFonts w:ascii="Courier New" w:cs="Courier New" w:eastAsia="Courier New" w:hAnsi="Courier New"/>
          <w:sz w:val="15"/>
          <w:szCs w:val="15"/>
          <w:color w:val="auto"/>
        </w:rPr>
        <w:t>Roller</w:t>
      </w:r>
      <w:r>
        <w:rPr>
          <w:sz w:val="20"/>
          <w:szCs w:val="20"/>
          <w:color w:val="auto"/>
        </w:rPr>
        <w:tab/>
      </w:r>
      <w:r>
        <w:rPr>
          <w:rFonts w:ascii="Courier New" w:cs="Courier New" w:eastAsia="Courier New" w:hAnsi="Courier New"/>
          <w:sz w:val="15"/>
          <w:szCs w:val="15"/>
          <w:color w:val="auto"/>
        </w:rPr>
        <w:t>Segment</w:t>
      </w:r>
      <w:r>
        <w:rPr>
          <w:sz w:val="20"/>
          <w:szCs w:val="20"/>
          <w:color w:val="auto"/>
        </w:rPr>
        <w:tab/>
      </w:r>
      <w:r>
        <w:rPr>
          <w:rFonts w:ascii="Courier New" w:cs="Courier New" w:eastAsia="Courier New" w:hAnsi="Courier New"/>
          <w:sz w:val="14"/>
          <w:szCs w:val="14"/>
          <w:color w:val="auto"/>
        </w:rPr>
        <w:t>Components</w:t>
      </w:r>
    </w:p>
    <w:p>
      <w:pPr>
        <w:sectPr>
          <w:pgSz w:w="11900" w:h="16838" w:orient="portrait"/>
          <w:cols w:equalWidth="0" w:num="1">
            <w:col w:w="10740"/>
          </w:cols>
          <w:pgMar w:left="240" w:top="797" w:right="91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Revenues from</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external</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$ 32,435</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$108,711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$ 29,356</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$ 28,977</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$ 98,441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$ 25,479</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customers</w:t>
            </w: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Pretax profit</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(loss)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1,698</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9,698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677</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630</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6,878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1,168</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4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51,818</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162,716</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58,337</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50,072</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157,027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56,761</w:t>
            </w:r>
          </w:p>
        </w:tc>
      </w:tr>
    </w:tbl>
    <w:p>
      <w:pPr>
        <w:spacing w:after="0" w:line="33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Acquisitions</w:t>
      </w:r>
    </w:p>
    <w:p>
      <w:pPr>
        <w:spacing w:after="0" w:line="175" w:lineRule="exact"/>
        <w:rPr>
          <w:sz w:val="20"/>
          <w:szCs w:val="20"/>
          <w:color w:val="auto"/>
        </w:rPr>
      </w:pPr>
    </w:p>
    <w:p>
      <w:pPr>
        <w:jc w:val="both"/>
        <w:ind w:right="3700"/>
        <w:spacing w:after="0" w:line="257" w:lineRule="auto"/>
        <w:rPr>
          <w:sz w:val="20"/>
          <w:szCs w:val="20"/>
          <w:color w:val="auto"/>
        </w:rPr>
      </w:pPr>
      <w:r>
        <w:rPr>
          <w:rFonts w:ascii="Courier New" w:cs="Courier New" w:eastAsia="Courier New" w:hAnsi="Courier New"/>
          <w:sz w:val="14"/>
          <w:szCs w:val="14"/>
          <w:color w:val="auto"/>
        </w:rPr>
        <w:t>During 2004, we formed a wholly-owned subsidiary, NN Precision Bearing Products Company, LTD, ("NN Asia)". This subsidiary, which is expected to begin precision ball production during the second half of 2005, will be located in the Kunshan Economic and Technology Development Zone, Jiangsu, The People's Republic of China and is a component of our strategy to globally expand our manufacturing base. The costs incurred as a result of this start-up for the six month periods ended June 30, 2005 and 2004 of approximately $0.4 million and $0.1 million, respectively, were classified as selling, general and administrative expense and are included in the Domestic Ball and Roller Segment.</w:t>
      </w:r>
    </w:p>
    <w:p>
      <w:pPr>
        <w:spacing w:after="0" w:line="167" w:lineRule="exact"/>
        <w:rPr>
          <w:sz w:val="20"/>
          <w:szCs w:val="20"/>
          <w:color w:val="auto"/>
        </w:rPr>
      </w:pPr>
    </w:p>
    <w:p>
      <w:pPr>
        <w:jc w:val="both"/>
        <w:ind w:right="3700"/>
        <w:spacing w:after="0" w:line="237" w:lineRule="auto"/>
        <w:rPr>
          <w:sz w:val="20"/>
          <w:szCs w:val="20"/>
          <w:color w:val="auto"/>
        </w:rPr>
      </w:pPr>
      <w:r>
        <w:rPr>
          <w:rFonts w:ascii="Courier New" w:cs="Courier New" w:eastAsia="Courier New" w:hAnsi="Courier New"/>
          <w:sz w:val="15"/>
          <w:szCs w:val="15"/>
          <w:color w:val="auto"/>
        </w:rPr>
        <w:t>On July 22, 2005, we acquired an adjacent building to the existing building in Kysucke Nove Mesto, Slovakia for approximately 1.2 million Euros ($1.4 million), which will allow for future growth in manufacturing capacity.</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Pensions</w:t>
      </w:r>
    </w:p>
    <w:p>
      <w:pPr>
        <w:spacing w:after="0" w:line="175" w:lineRule="exact"/>
        <w:rPr>
          <w:sz w:val="20"/>
          <w:szCs w:val="20"/>
          <w:color w:val="auto"/>
        </w:rPr>
      </w:pPr>
    </w:p>
    <w:p>
      <w:pPr>
        <w:jc w:val="both"/>
        <w:ind w:right="3700"/>
        <w:spacing w:after="0" w:line="238" w:lineRule="auto"/>
        <w:rPr>
          <w:sz w:val="20"/>
          <w:szCs w:val="20"/>
          <w:color w:val="auto"/>
        </w:rPr>
      </w:pPr>
      <w:r>
        <w:rPr>
          <w:rFonts w:ascii="Courier New" w:cs="Courier New" w:eastAsia="Courier New" w:hAnsi="Courier New"/>
          <w:sz w:val="15"/>
          <w:szCs w:val="15"/>
          <w:color w:val="auto"/>
        </w:rPr>
        <w:t>In December 2003 the FASB issued SFAS No. 132 (revised 2003), "Employers' Disclosures about Pensions and Other Postretirement Benefits". SFAS No. 132R revises employers' disclosures about pension plans and other postretirement benefit plans. It does not change the measurement or recognition of those plans required by FASB Statements No. 87, "Employers' Accounting for Pensions", No. 88, "Employers' Accounting for Settlements and Curtailments of Defined Benefit Pensions Plans and for Termination Benefits", and No. 106, "Employers' Accounting for Postretirement Benefits Other Than Pensions".</w:t>
      </w:r>
    </w:p>
    <w:p>
      <w:pPr>
        <w:spacing w:after="0" w:line="178" w:lineRule="exact"/>
        <w:rPr>
          <w:sz w:val="20"/>
          <w:szCs w:val="20"/>
          <w:color w:val="auto"/>
        </w:rPr>
      </w:pPr>
    </w:p>
    <w:p>
      <w:pPr>
        <w:jc w:val="both"/>
        <w:ind w:right="3700"/>
        <w:spacing w:after="0" w:line="257" w:lineRule="auto"/>
        <w:rPr>
          <w:sz w:val="20"/>
          <w:szCs w:val="20"/>
          <w:color w:val="auto"/>
        </w:rPr>
      </w:pPr>
      <w:r>
        <w:rPr>
          <w:rFonts w:ascii="Courier New" w:cs="Courier New" w:eastAsia="Courier New" w:hAnsi="Courier New"/>
          <w:sz w:val="14"/>
          <w:szCs w:val="14"/>
          <w:color w:val="auto"/>
        </w:rPr>
        <w:t>SFAS No. 132R requires additional disclosures to those in the original Statement 132 about the assets, obligations, cash flows, and net periodic benefit cost of defined benefit pension plans and other defined benefit postretirement plans. At June 30, 2005, we have complied with the disclosure requirements of SFAS No. 132R. We have a defined benefit pension plan covering the employees at our Eltmann, Germany facility. The benefits are based on the expected years of service including the rate of compensation increase. The plan is unfunded.</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740"/>
          </w:cols>
          <w:pgMar w:left="240" w:top="797" w:right="91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Components of Net Periodic Pension Cost:</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9"/>
        </w:trPr>
        <w:tc>
          <w:tcPr>
            <w:tcW w:w="3560" w:type="dxa"/>
            <w:vAlign w:val="bottom"/>
          </w:tcPr>
          <w:p>
            <w:pPr>
              <w:spacing w:after="0"/>
              <w:rPr>
                <w:sz w:val="24"/>
                <w:szCs w:val="24"/>
                <w:color w:val="auto"/>
              </w:rPr>
            </w:pPr>
          </w:p>
        </w:tc>
        <w:tc>
          <w:tcPr>
            <w:tcW w:w="264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Three months ended</w:t>
            </w:r>
          </w:p>
        </w:tc>
        <w:tc>
          <w:tcPr>
            <w:tcW w:w="25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w w:val="94"/>
              </w:rPr>
              <w:t>June 30,</w:t>
            </w:r>
          </w:p>
        </w:tc>
        <w:tc>
          <w:tcPr>
            <w:tcW w:w="25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356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5"/>
              </w:rPr>
              <w:t>---------------------------</w:t>
            </w:r>
          </w:p>
        </w:tc>
        <w:tc>
          <w:tcPr>
            <w:tcW w:w="136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ind w:left="780"/>
              <w:spacing w:after="0"/>
              <w:rPr>
                <w:sz w:val="20"/>
                <w:szCs w:val="20"/>
                <w:color w:val="auto"/>
              </w:rPr>
            </w:pPr>
            <w:r>
              <w:rPr>
                <w:rFonts w:ascii="Courier New" w:cs="Courier New" w:eastAsia="Courier New" w:hAnsi="Courier New"/>
                <w:sz w:val="15"/>
                <w:szCs w:val="15"/>
                <w:color w:val="auto"/>
              </w:rPr>
              <w:t>(In Thousands of Dollars)</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2005</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2004</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2005</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3560" w:type="dxa"/>
            <w:vAlign w:val="bottom"/>
          </w:tcPr>
          <w:p>
            <w:pPr>
              <w:ind w:left="780"/>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560" w:type="dxa"/>
            <w:vAlign w:val="bottom"/>
          </w:tcPr>
          <w:p>
            <w:pPr>
              <w:ind w:left="780"/>
              <w:spacing w:after="0"/>
              <w:rPr>
                <w:sz w:val="20"/>
                <w:szCs w:val="20"/>
                <w:color w:val="auto"/>
              </w:rPr>
            </w:pPr>
            <w:r>
              <w:rPr>
                <w:rFonts w:ascii="Courier New" w:cs="Courier New" w:eastAsia="Courier New" w:hAnsi="Courier New"/>
                <w:sz w:val="15"/>
                <w:szCs w:val="15"/>
                <w:color w:val="auto"/>
              </w:rPr>
              <w:t>Service cost</w:t>
            </w:r>
          </w:p>
        </w:tc>
        <w:tc>
          <w:tcPr>
            <w:tcW w:w="84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25</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$ 26</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52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52</w:t>
            </w:r>
          </w:p>
        </w:tc>
      </w:tr>
      <w:tr>
        <w:trPr>
          <w:trHeight w:val="170"/>
        </w:trPr>
        <w:tc>
          <w:tcPr>
            <w:tcW w:w="3560" w:type="dxa"/>
            <w:vAlign w:val="bottom"/>
          </w:tcPr>
          <w:p>
            <w:pPr>
              <w:ind w:left="780"/>
              <w:spacing w:after="0"/>
              <w:rPr>
                <w:sz w:val="20"/>
                <w:szCs w:val="20"/>
                <w:color w:val="auto"/>
              </w:rPr>
            </w:pPr>
            <w:r>
              <w:rPr>
                <w:rFonts w:ascii="Courier New" w:cs="Courier New" w:eastAsia="Courier New" w:hAnsi="Courier New"/>
                <w:sz w:val="15"/>
                <w:szCs w:val="15"/>
                <w:color w:val="auto"/>
              </w:rPr>
              <w:t>Interest cost</w:t>
            </w:r>
          </w:p>
        </w:tc>
        <w:tc>
          <w:tcPr>
            <w:tcW w:w="840" w:type="dxa"/>
            <w:vAlign w:val="bottom"/>
          </w:tcPr>
          <w:p>
            <w:pPr>
              <w:spacing w:after="0"/>
              <w:rPr>
                <w:sz w:val="14"/>
                <w:szCs w:val="14"/>
                <w:color w:val="auto"/>
              </w:rPr>
            </w:pP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50</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0"/>
        </w:trPr>
        <w:tc>
          <w:tcPr>
            <w:tcW w:w="3560" w:type="dxa"/>
            <w:vAlign w:val="bottom"/>
          </w:tcPr>
          <w:p>
            <w:pPr>
              <w:ind w:left="780"/>
              <w:spacing w:after="0"/>
              <w:rPr>
                <w:sz w:val="20"/>
                <w:szCs w:val="20"/>
                <w:color w:val="auto"/>
              </w:rPr>
            </w:pPr>
            <w:r>
              <w:rPr>
                <w:rFonts w:ascii="Courier New" w:cs="Courier New" w:eastAsia="Courier New" w:hAnsi="Courier New"/>
                <w:sz w:val="15"/>
                <w:szCs w:val="15"/>
                <w:color w:val="auto"/>
              </w:rPr>
              <w:t>Amortization of net gain</w:t>
            </w:r>
          </w:p>
        </w:tc>
        <w:tc>
          <w:tcPr>
            <w:tcW w:w="840" w:type="dxa"/>
            <w:vAlign w:val="bottom"/>
          </w:tcPr>
          <w:p>
            <w:pPr>
              <w:spacing w:after="0"/>
              <w:rPr>
                <w:sz w:val="14"/>
                <w:szCs w:val="14"/>
                <w:color w:val="auto"/>
              </w:rPr>
            </w:pP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ind w:left="960"/>
              <w:spacing w:after="0"/>
              <w:rPr>
                <w:sz w:val="20"/>
                <w:szCs w:val="20"/>
                <w:color w:val="auto"/>
              </w:rPr>
            </w:pPr>
            <w:r>
              <w:rPr>
                <w:rFonts w:ascii="Courier New" w:cs="Courier New" w:eastAsia="Courier New" w:hAnsi="Courier New"/>
                <w:sz w:val="15"/>
                <w:szCs w:val="15"/>
                <w:color w:val="auto"/>
              </w:rPr>
              <w:t>Net periodic pension cost</w:t>
            </w:r>
          </w:p>
        </w:tc>
        <w:tc>
          <w:tcPr>
            <w:tcW w:w="84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78</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$ 84</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$ 160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$ 168</w:t>
            </w:r>
          </w:p>
        </w:tc>
      </w:tr>
      <w:tr>
        <w:trPr>
          <w:trHeight w:val="170"/>
        </w:trPr>
        <w:tc>
          <w:tcPr>
            <w:tcW w:w="356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5"/>
          <w:szCs w:val="15"/>
          <w:color w:val="auto"/>
        </w:rPr>
        <w:t>We expect to contribute</w:t>
      </w:r>
      <w:r>
        <w:rPr>
          <w:sz w:val="20"/>
          <w:szCs w:val="20"/>
          <w:color w:val="auto"/>
        </w:rPr>
        <w:tab/>
      </w:r>
      <w:r>
        <w:rPr>
          <w:rFonts w:ascii="Courier New" w:cs="Courier New" w:eastAsia="Courier New" w:hAnsi="Courier New"/>
          <w:sz w:val="14"/>
          <w:szCs w:val="14"/>
          <w:color w:val="auto"/>
        </w:rPr>
        <w:t>approximately $0.3 million to our pension plan in 2005.</w:t>
      </w:r>
    </w:p>
    <w:p>
      <w:pPr>
        <w:spacing w:after="0"/>
        <w:rPr>
          <w:sz w:val="20"/>
          <w:szCs w:val="20"/>
          <w:color w:val="auto"/>
        </w:rPr>
      </w:pPr>
      <w:r>
        <w:rPr>
          <w:rFonts w:ascii="Courier New" w:cs="Courier New" w:eastAsia="Courier New" w:hAnsi="Courier New"/>
          <w:sz w:val="15"/>
          <w:szCs w:val="15"/>
          <w:color w:val="auto"/>
        </w:rPr>
        <w:t>As of June 30, 2005, approximately $0.2 million of contributions have been made.</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New Accounting Pronouncements</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In March 2005 the FASB issued FASB Interpretation No. 47, "Accounting for Conditional Asset Retirement Obligations" ("FIN 47"). FIN 47 clarifies that the term "conditional asset retirement obligation" as used in FASB Statement No. 143, "Accounting for Asset Retirement Obligations", refers to a legal obligation to perform an asset retirement activity in which the timing and (or) method of settlement are conditional on a future event that may or may not be within the control of the entity. FIN 47 is effective no later than the end of fiscal years ending after December 15, 2005. We are currently evaluating the impacts of FIN 47 on the Company's consolidated financial statements.</w:t>
      </w:r>
    </w:p>
    <w:p>
      <w:pPr>
        <w:spacing w:after="0" w:line="16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December 16, 2004, the FASB issued SFAS No. 123R, "Share-Based Payment," which requires companies to expense the value of employee stock options and similar awards and establishes standards for the accounting for transactions in which an entity exchanges its equity instruments for goods. SFAS No. 123R was effective for annual periods beginning after June 15, 2005 and applies to all outstanding and unvested share-based payment awards. This Statement requires a public entity to measure the cost of employee services received in exchange for an award of equity instruments based on the grant-date fair value of the award (with limited exception). That cost will be recognized over the period during which an employee is required to provide service in exchange for the award - the requisite service period (usually the vesting period). We are currently evaluating the impacts of SFAS No. 123R on the Company's consolidated financial statements.</w:t>
      </w:r>
    </w:p>
    <w:p>
      <w:pPr>
        <w:spacing w:after="0" w:line="18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November 2004, the FASB issued SFAS No. 151, "Inventory Costs". SFAS No. 151 clarifies the accounting for abnormal amounts of idle facility expense, freight, handling costs and wasted material (spoilage). SFAS No. 151 requires that these items be recognized as current-period charges. In addition, SFAS No. 151 requires that the allocation of fixed production overheads to the costs of conversion be based on the normal capacity of the production facilities. This statement is effective for fiscal years beginning after June 15, 2005. We are currently evaluating the impact of SFAS No. 151 on the company's financial statements.</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December 2004, the FASB issued SFAS No. 153, "Exchanges of Nonmonetary Assets an amendment of APB Opinion No. 29". SFAS No. 153 eliminates the exception from fair value measurement for nonmonetary exchanges of similar productive assets in paragraph 21(b) of APB Opinion No. 29, Accounting for Nonmonetary Transactions, and replaces it with an exception for exchanges that do not have commercial substance. This Statement specifies that a nonmonetary exchange has commercial substance if the future cash flows of the entity are expected to change significantly as a result of the exchange. The provisions of this Statement are effective for nonmonetary asset exchanges occurring in fiscal periods beginning after June 15, 2005.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Deduction for Qualified Domestic Production Activities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October 22, 2004, the President signed the American Jobs Creation Act of 2004 (the "Act"). The Act provides a deduction for income from qualified domestic production activities, which will be phased in from 2005 through 2010. In return, the Act also provides for a two-year phase out of the existing extra-territorial income exclusion (ETI) for foreign sales that was viewed to be inconsistent with international trade protocols by the European Union. We are not yet in a position to determine the net effect of the phase out of the ETI and the phase in of this new deduction on the effective tax rate in future years. We expect to be in a position to finalize our assessment by December 31, 2005.</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91" w:right="1440" w:bottom="1440" w:gutter="0" w:footer="0" w:header="0"/>
        </w:sectPr>
      </w:pPr>
    </w:p>
    <w:bookmarkStart w:id="10" w:name="page11"/>
    <w:bookmarkEnd w:id="10"/>
    <w:p>
      <w:pPr>
        <w:jc w:val="both"/>
        <w:ind w:right="3179"/>
        <w:spacing w:after="0" w:line="238" w:lineRule="auto"/>
        <w:rPr>
          <w:sz w:val="20"/>
          <w:szCs w:val="20"/>
          <w:color w:val="auto"/>
        </w:rPr>
      </w:pPr>
      <w:r>
        <w:rPr>
          <w:rFonts w:ascii="Courier New" w:cs="Courier New" w:eastAsia="Courier New" w:hAnsi="Courier New"/>
          <w:sz w:val="15"/>
          <w:szCs w:val="15"/>
          <w:color w:val="auto"/>
        </w:rPr>
        <w:t>Under the guidance in FASB Staff Position No. FAS 109-1, Application of FASB Statement No. 109, "Accounting for Income Taxes," to the Tax Deduction on Qualified Production Activities Provided by the American Jobs Creation Act of 2004, issued and effective on December 21, 2004, the deduction will be treated as a "special deduction" as described in FASB Statement No. 109. As such, the special deduction has no effect on deferred tax assets and liabilities existing at the enactment date. Rather, the impact of this deduction will be reported in the period in which qualifying activities occur.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Repatriation of Foreign Earnings</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On October 22, 2004, the President signed the American Jobs Creation Act of 2004 (the "Act"). The Act creates a temporary incentive for U.S. corporations to repatriate accumulated income earned abroad by providing an 85 percent dividends received deduction for certain dividends from controlled foreign corporations. The deduction is subject to a number of limitations and uncertainty remains as to how to interpret numerous provisions in the Act. As such, we are not yet in a position to decide on whether, and to what extent, we might repatriate foreign earnings that have not yet been remitted to the U.S. We expect to be in a position to finalize our assessment by December 31, 2005.</w:t>
      </w:r>
    </w:p>
    <w:p>
      <w:pPr>
        <w:spacing w:after="0" w:line="16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Long-Term Debt and Short-Term Debt</w:t>
      </w:r>
    </w:p>
    <w:p>
      <w:pPr>
        <w:spacing w:after="0" w:line="175"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On May 1, 2003, we entered into a $90.0 million syndicated credit facility with AmSouth Bank ("AmSouth") as the administrative agent and Suntrust Bank as the Euro loan agent for the lenders under which we borrowed $60.4 million and 26.3 million Euros ($29.6 million) (the "$90.0 million credit facility"). This financing arrangement replaced our prior credit facility with AmSouth and Hypo Vereinsbank Luxembourg, S.A. The credit facility as originally entered into consisted of a $30.0 million revolver ("$30.0 million revolver") expiring on March 15, 2005, subsequently extended to June 30, 2007 bearing interest at a floating rate equal to LIBOR (3.34% at June 30, 2005) plus an applicable margin of 1.25 to 2.0, a $30.4 million term loan expiring on May 1, 2008, bearing interest at a floating rate equal to LIBOR (3.34% at June 30, 2005) plus an applicable margin of 1.25 to 2.0 and a 26.3 million Euro ($29.6 million) term loan ("26.3 million Euro term loan") expiring on May 1, 2008 which bears interest at a floating rate equal to Euro LIBOR (2.10% at June 30, 2005) plus an applicable margin of 1.25 to 2.0. All amounts owed under the $30.4 million term loan were paid during the second quarter of 2004 with the proceeds from our $40.0 million notes and we no longer have borrowing capacity under that portion of the $90.0 million credit facility. The terms of the $30.0 million revolver and the 26.3 million Euro term loan remain unchanged.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We were in compliance with all such covenants as of June 30, 2005.</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8" w:right="1440" w:bottom="1440" w:gutter="0" w:footer="0" w:header="0"/>
        </w:sectPr>
      </w:pPr>
    </w:p>
    <w:bookmarkStart w:id="11" w:name="page12"/>
    <w:bookmarkEnd w:id="11"/>
    <w:p>
      <w:pPr>
        <w:jc w:val="both"/>
        <w:ind w:right="3179"/>
        <w:spacing w:after="0" w:line="239" w:lineRule="auto"/>
        <w:rPr>
          <w:sz w:val="20"/>
          <w:szCs w:val="20"/>
          <w:color w:val="auto"/>
        </w:rPr>
      </w:pPr>
      <w:r>
        <w:rPr>
          <w:rFonts w:ascii="Courier New" w:cs="Courier New" w:eastAsia="Courier New" w:hAnsi="Courier New"/>
          <w:sz w:val="15"/>
          <w:szCs w:val="15"/>
          <w:color w:val="auto"/>
        </w:rPr>
        <w:t>On April 26, 2004 we issued $40.0 million aggregate principal amount of senior notes in a private placement (the "$40.0 million notes"). These notes bear interest at a fixed rate of 4.89% and mature on April 26, 2014. Interest is paid semi-annually. As of June 30, 2005, $40.0 million remained outstanding. Annual principal payments of approximately $5.7 million begin on April 26, 2008 and extend through the date of maturity. Proceeds from this credit facility were used to repay our existing US dollar denominated term loan, $24.0 million, and repay a portion, of our borrowings under our US dollar denominated revolving credit facility, $13.0 million, which are both components of our $90.0 million credit facility, and to repay other short term borrowings totaling approximately $4.7 million.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We were in compliance with all such covenants as of June 30, 2005. The notes are not collateralized except for the pledge of stock of certain foreign subsidiaries. We incurred $0.7 million of related costs as a result of issuing these notes which have been recorded as a component of other non-current assets and are being amortized over the term of the notes.</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Debt outstanding under the various agreements as of June 30, 2005 and December 31, 2004 was as follows:</w:t>
      </w:r>
    </w:p>
    <w:p>
      <w:pPr>
        <w:spacing w:after="0" w:line="340"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216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7"/>
              </w:rPr>
              <w:t>June 30,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3260" w:type="dxa"/>
            <w:vAlign w:val="bottom"/>
          </w:tcPr>
          <w:p>
            <w:pPr>
              <w:spacing w:after="0"/>
              <w:rPr>
                <w:sz w:val="14"/>
                <w:szCs w:val="14"/>
                <w:color w:val="auto"/>
              </w:rPr>
            </w:pPr>
          </w:p>
        </w:tc>
        <w:tc>
          <w:tcPr>
            <w:tcW w:w="21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r>
    </w:tbl>
    <w:p>
      <w:pPr>
        <w:ind w:left="780"/>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$90 million</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credit facility</w:t>
            </w:r>
          </w:p>
        </w:tc>
        <w:tc>
          <w:tcPr>
            <w:tcW w:w="2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maturities of long-term debt</w:t>
            </w: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$ 7,255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7,160</w:t>
            </w:r>
          </w:p>
        </w:tc>
      </w:tr>
      <w:tr>
        <w:trPr>
          <w:trHeight w:val="170"/>
        </w:trPr>
        <w:tc>
          <w:tcPr>
            <w:tcW w:w="3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Long-term debt</w:t>
            </w: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24,669</w:t>
            </w:r>
          </w:p>
        </w:tc>
        <w:tc>
          <w:tcPr>
            <w:tcW w:w="6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27,510</w:t>
            </w:r>
          </w:p>
        </w:tc>
      </w:tr>
      <w:tr>
        <w:trPr>
          <w:trHeight w:val="170"/>
        </w:trPr>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2640" w:type="dxa"/>
            <w:vAlign w:val="bottom"/>
          </w:tcPr>
          <w:p>
            <w:pPr>
              <w:spacing w:after="0"/>
              <w:rPr>
                <w:sz w:val="14"/>
                <w:szCs w:val="14"/>
                <w:color w:val="auto"/>
              </w:rPr>
            </w:pP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$31,924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34,670</w:t>
            </w:r>
          </w:p>
        </w:tc>
      </w:tr>
      <w:tr>
        <w:trPr>
          <w:trHeight w:val="170"/>
        </w:trPr>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39"/>
        </w:trPr>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$40 million</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notes</w:t>
            </w:r>
          </w:p>
        </w:tc>
        <w:tc>
          <w:tcPr>
            <w:tcW w:w="2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maturities of long-term debt</w:t>
            </w: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Long-term debt</w:t>
            </w: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40,000</w:t>
            </w:r>
          </w:p>
        </w:tc>
        <w:tc>
          <w:tcPr>
            <w:tcW w:w="6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40,000</w:t>
            </w:r>
          </w:p>
        </w:tc>
      </w:tr>
      <w:tr>
        <w:trPr>
          <w:trHeight w:val="170"/>
        </w:trPr>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2640" w:type="dxa"/>
            <w:vAlign w:val="bottom"/>
          </w:tcPr>
          <w:p>
            <w:pPr>
              <w:spacing w:after="0"/>
              <w:rPr>
                <w:sz w:val="14"/>
                <w:szCs w:val="14"/>
                <w:color w:val="auto"/>
              </w:rPr>
            </w:pP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40,000</w:t>
            </w:r>
          </w:p>
        </w:tc>
      </w:tr>
      <w:tr>
        <w:trPr>
          <w:trHeight w:val="170"/>
        </w:trPr>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44"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fair value of our fixed rate long-term borrowings are estimated using discounted cash flow analysis based on our incremental borrowing rates for similar types of borrowing arrangements. We estimate the fair value of the $40.0 million notes to be $40.1 million at June 30, 2005 and $40.4 million at December 31, 2004.</w:t>
      </w:r>
    </w:p>
    <w:p>
      <w:pPr>
        <w:spacing w:after="0" w:line="178"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As a result of the Company's cash management system, checks issued but not presented to the banks for payment may create negative book cash balances. Such negative balances are included in accounts payable and totaled 2.0 million and 0.0 as of June 30, 2005 and December 30, 2004, respectively.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Goodwill</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changes in the carrying amount of goodwill for the six month periods ended June 30, 2005 and the twelve month period ended December 31, 2004 are as follows::</w:t>
      </w:r>
    </w:p>
    <w:p>
      <w:pPr>
        <w:spacing w:after="0" w:line="200" w:lineRule="exact"/>
        <w:rPr>
          <w:sz w:val="20"/>
          <w:szCs w:val="20"/>
          <w:color w:val="auto"/>
        </w:rPr>
      </w:pPr>
    </w:p>
    <w:p>
      <w:pPr>
        <w:spacing w:after="0" w:line="308" w:lineRule="exact"/>
        <w:rPr>
          <w:sz w:val="20"/>
          <w:szCs w:val="20"/>
          <w:color w:val="auto"/>
        </w:rPr>
      </w:pPr>
    </w:p>
    <w:p>
      <w:pPr>
        <w:ind w:left="5020"/>
        <w:spacing w:after="0"/>
        <w:rPr>
          <w:sz w:val="20"/>
          <w:szCs w:val="20"/>
          <w:color w:val="auto"/>
        </w:rPr>
      </w:pPr>
      <w:r>
        <w:rPr>
          <w:rFonts w:ascii="Courier New" w:cs="Courier New" w:eastAsia="Courier New" w:hAnsi="Courier New"/>
          <w:sz w:val="15"/>
          <w:szCs w:val="15"/>
          <w:color w:val="auto"/>
        </w:rPr>
        <w:t>Plastic and</w:t>
      </w:r>
    </w:p>
    <w:p>
      <w:pPr>
        <w:ind w:left="5200"/>
        <w:spacing w:after="0"/>
        <w:rPr>
          <w:sz w:val="20"/>
          <w:szCs w:val="20"/>
          <w:color w:val="auto"/>
        </w:rPr>
      </w:pPr>
      <w:r>
        <w:rPr>
          <w:rFonts w:ascii="Courier New" w:cs="Courier New" w:eastAsia="Courier New" w:hAnsi="Courier New"/>
          <w:sz w:val="15"/>
          <w:szCs w:val="15"/>
          <w:color w:val="auto"/>
        </w:rPr>
        <w:t>Rubber</w:t>
      </w:r>
    </w:p>
    <w:p>
      <w:pPr>
        <w:ind w:left="5020"/>
        <w:spacing w:after="0"/>
        <w:tabs>
          <w:tab w:leader="none" w:pos="6580" w:val="left"/>
        </w:tabs>
        <w:rPr>
          <w:sz w:val="20"/>
          <w:szCs w:val="20"/>
          <w:color w:val="auto"/>
        </w:rPr>
      </w:pPr>
      <w:r>
        <w:rPr>
          <w:rFonts w:ascii="Courier New" w:cs="Courier New" w:eastAsia="Courier New" w:hAnsi="Courier New"/>
          <w:sz w:val="15"/>
          <w:szCs w:val="15"/>
          <w:color w:val="auto"/>
        </w:rPr>
        <w:t>Components</w:t>
      </w:r>
      <w:r>
        <w:rPr>
          <w:sz w:val="20"/>
          <w:szCs w:val="20"/>
          <w:color w:val="auto"/>
        </w:rPr>
        <w:tab/>
      </w:r>
      <w:r>
        <w:rPr>
          <w:rFonts w:ascii="Courier New" w:cs="Courier New" w:eastAsia="Courier New" w:hAnsi="Courier New"/>
          <w:sz w:val="15"/>
          <w:szCs w:val="15"/>
          <w:color w:val="auto"/>
        </w:rPr>
        <w:t>NN Europe</w:t>
      </w:r>
    </w:p>
    <w:p>
      <w:pPr>
        <w:spacing w:after="0"/>
        <w:tabs>
          <w:tab w:leader="none" w:pos="5180" w:val="left"/>
          <w:tab w:leader="none" w:pos="6660" w:val="left"/>
          <w:tab w:leader="none" w:pos="8080" w:val="left"/>
        </w:tabs>
        <w:rPr>
          <w:sz w:val="20"/>
          <w:szCs w:val="20"/>
          <w:color w:val="auto"/>
        </w:rPr>
      </w:pPr>
      <w:r>
        <w:rPr>
          <w:rFonts w:ascii="Courier New" w:cs="Courier New" w:eastAsia="Courier New" w:hAnsi="Courier New"/>
          <w:sz w:val="15"/>
          <w:szCs w:val="15"/>
          <w:color w:val="auto"/>
        </w:rPr>
        <w:t>(In Thousands of Dollars)</w:t>
      </w:r>
      <w:r>
        <w:rPr>
          <w:sz w:val="20"/>
          <w:szCs w:val="20"/>
          <w:color w:val="auto"/>
        </w:rPr>
        <w:tab/>
      </w:r>
      <w:r>
        <w:rPr>
          <w:rFonts w:ascii="Courier New" w:cs="Courier New" w:eastAsia="Courier New" w:hAnsi="Courier New"/>
          <w:sz w:val="15"/>
          <w:szCs w:val="15"/>
          <w:color w:val="auto"/>
        </w:rPr>
        <w:t>Segment</w:t>
      </w:r>
      <w:r>
        <w:rPr>
          <w:sz w:val="20"/>
          <w:szCs w:val="20"/>
          <w:color w:val="auto"/>
        </w:rPr>
        <w:tab/>
      </w:r>
      <w:r>
        <w:rPr>
          <w:rFonts w:ascii="Courier New" w:cs="Courier New" w:eastAsia="Courier New" w:hAnsi="Courier New"/>
          <w:sz w:val="15"/>
          <w:szCs w:val="15"/>
          <w:color w:val="auto"/>
        </w:rPr>
        <w:t>Segment</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as</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of January 1, 2004</w:t>
            </w:r>
          </w:p>
        </w:tc>
        <w:tc>
          <w:tcPr>
            <w:tcW w:w="3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$25,755</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$17,138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$42,893</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Currency</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impacts/reclassification</w:t>
            </w:r>
          </w:p>
        </w:tc>
        <w:tc>
          <w:tcPr>
            <w:tcW w:w="3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1,564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1,564</w:t>
            </w:r>
          </w:p>
        </w:tc>
      </w:t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as</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of December 31, 2004</w:t>
            </w:r>
          </w:p>
        </w:tc>
        <w:tc>
          <w:tcPr>
            <w:tcW w:w="3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$25,755</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$18,702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$44,457</w:t>
            </w:r>
          </w:p>
        </w:tc>
      </w:t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39"/>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as</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of January 1, 2005</w:t>
            </w:r>
          </w:p>
        </w:tc>
        <w:tc>
          <w:tcPr>
            <w:tcW w:w="3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$25,755</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$18,702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$44,457</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Currency</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impacts</w:t>
            </w:r>
          </w:p>
        </w:tc>
        <w:tc>
          <w:tcPr>
            <w:tcW w:w="3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(2,413)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(2,413)</w:t>
            </w:r>
          </w:p>
        </w:tc>
      </w:t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as</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of June 30, 2005</w:t>
            </w:r>
          </w:p>
        </w:tc>
        <w:tc>
          <w:tcPr>
            <w:tcW w:w="3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$25,755</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$16,289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$42,044</w:t>
            </w:r>
          </w:p>
        </w:tc>
      </w:t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678"/>
        </w:trPr>
        <w:tc>
          <w:tcPr>
            <w:tcW w:w="9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340" w:type="dxa"/>
            <w:vAlign w:val="bottom"/>
          </w:tcPr>
          <w:p>
            <w:pPr>
              <w:jc w:val="right"/>
              <w:ind w:right="2927"/>
              <w:spacing w:after="0"/>
              <w:rPr>
                <w:sz w:val="20"/>
                <w:szCs w:val="20"/>
                <w:color w:val="auto"/>
              </w:rPr>
            </w:pPr>
            <w:r>
              <w:rPr>
                <w:rFonts w:ascii="Courier New" w:cs="Courier New" w:eastAsia="Courier New" w:hAnsi="Courier New"/>
                <w:sz w:val="15"/>
                <w:szCs w:val="15"/>
                <w:color w:val="auto"/>
              </w:rPr>
              <w:t>11</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797" w:right="1440" w:bottom="735"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Note 11. Stock Compensation</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We have adopted the provisions of SFAS 123, which encourages but does not require a fair value based method of accounting for stock compensation plans. We have elected to continue accounting for our stock compensation plan using the intrinsic value based method under Auditing Practices Board ("APB") Opinion No. 25 and, accordingly, have not recorded compensation expense for the three and six month periods ended June 30, 2005 and June 30, 2004, except as related to stock options accounted for under the variable method of accounting. Had compensation cost for our stock compensation plan been determined based on the fair value at the option grant dates, our net income and earnings per share would have been changed to the pro-forma amounts indicated below:</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Three Months Ended</w:t>
            </w:r>
          </w:p>
        </w:tc>
        <w:tc>
          <w:tcPr>
            <w:tcW w:w="266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4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June 30,</w:t>
            </w:r>
          </w:p>
        </w:tc>
        <w:tc>
          <w:tcPr>
            <w:tcW w:w="266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(In Thousands, Except per</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Share Data)</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2005</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2004</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2005</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income - as reported</w:t>
            </w:r>
          </w:p>
        </w:tc>
        <w:tc>
          <w:tcPr>
            <w:tcW w:w="2420" w:type="dxa"/>
            <w:vAlign w:val="bottom"/>
          </w:tcPr>
          <w:p>
            <w:pPr>
              <w:spacing w:after="0"/>
              <w:rPr>
                <w:sz w:val="24"/>
                <w:szCs w:val="2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$1,986</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$7,337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$ 5,204</w:t>
            </w:r>
          </w:p>
        </w:tc>
      </w:tr>
      <w:tr>
        <w:trPr>
          <w:trHeight w:val="170"/>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Stock based compensation</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costs (income), net of</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w w:val="98"/>
              </w:rPr>
              <w:t>income tax, included</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in net income as</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reported</w:t>
            </w:r>
          </w:p>
        </w:tc>
        <w:tc>
          <w:tcPr>
            <w:tcW w:w="24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r>
      <w:tr>
        <w:trPr>
          <w:trHeight w:val="170"/>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Stock based compensation</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costs, net of income</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w w:val="98"/>
              </w:rPr>
              <w:t>tax, that would have</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been included in net</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6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income if the fair value method had been</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applied</w:t>
            </w:r>
          </w:p>
        </w:tc>
        <w:tc>
          <w:tcPr>
            <w:tcW w:w="24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w:t>
            </w:r>
          </w:p>
        </w:tc>
      </w:tr>
      <w:tr>
        <w:trPr>
          <w:trHeight w:val="170"/>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income - pro-forma</w:t>
            </w:r>
          </w:p>
        </w:tc>
        <w:tc>
          <w:tcPr>
            <w:tcW w:w="24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$3,281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$2,057</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$6,809</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$5,152</w:t>
            </w:r>
          </w:p>
        </w:tc>
      </w:tr>
      <w:tr>
        <w:trPr>
          <w:trHeight w:val="170"/>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share - as reported</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$ 0.20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$ 0.12</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$ 0.44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$ 0.31</w:t>
            </w:r>
          </w:p>
        </w:tc>
      </w:tr>
      <w:tr>
        <w:trPr>
          <w:trHeight w:val="170"/>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Stock based compensation</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costs (income), net of</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w w:val="98"/>
              </w:rPr>
              <w:t>income tax, included</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in net income as</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reported</w:t>
            </w:r>
          </w:p>
        </w:tc>
        <w:tc>
          <w:tcPr>
            <w:tcW w:w="24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Stock based compensation</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costs, net of income</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w w:val="98"/>
              </w:rPr>
              <w:t>tax, that would have</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been included in net</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6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income if the fair value method had been</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applied</w:t>
            </w:r>
          </w:p>
        </w:tc>
        <w:tc>
          <w:tcPr>
            <w:tcW w:w="24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share - pro-forma</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$ 0.20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$ 0.12</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$ 0.41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$ 0.31</w:t>
            </w:r>
          </w:p>
        </w:tc>
      </w:tr>
      <w:tr>
        <w:trPr>
          <w:trHeight w:val="170"/>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share-assuming dilution - as</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reported</w:t>
            </w:r>
          </w:p>
        </w:tc>
        <w:tc>
          <w:tcPr>
            <w:tcW w:w="24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$ 0.19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$ 0.12</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$ 0.43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$ 0.30</w:t>
            </w:r>
          </w:p>
        </w:tc>
      </w:tr>
      <w:tr>
        <w:trPr>
          <w:trHeight w:val="339"/>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Stock based compensation</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costs (income), net of</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w w:val="98"/>
              </w:rPr>
              <w:t>income tax, included</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in net income as</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reported</w:t>
            </w:r>
          </w:p>
        </w:tc>
        <w:tc>
          <w:tcPr>
            <w:tcW w:w="24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Stock based compensation</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costs, net of income</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w w:val="98"/>
              </w:rPr>
              <w:t>tax, that would have</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been included in net</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6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income if the fair value method had been</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applied</w:t>
            </w:r>
          </w:p>
        </w:tc>
        <w:tc>
          <w:tcPr>
            <w:tcW w:w="24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share - assuming dilution-pro-forma</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$ 0.19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$ 0.12</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$ 0.40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$ 0.30</w:t>
            </w:r>
          </w:p>
        </w:tc>
      </w:tr>
      <w:tr>
        <w:trPr>
          <w:trHeight w:val="170"/>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fair value of each option grant was estimated based on actual information available through June 30, 2005 and 2004 using the Black Scholes option-pricing model with the following assumptions:</w:t>
      </w:r>
    </w:p>
    <w:p>
      <w:pPr>
        <w:spacing w:after="0" w:line="200" w:lineRule="exact"/>
        <w:rPr>
          <w:sz w:val="20"/>
          <w:szCs w:val="20"/>
          <w:color w:val="auto"/>
        </w:rPr>
      </w:pPr>
    </w:p>
    <w:p>
      <w:pPr>
        <w:spacing w:after="0" w:line="30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Vesting period</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Risk free interest rate -</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at June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respectively</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at June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respectively</w:t>
            </w: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140" w:type="dxa"/>
            <w:vAlign w:val="bottom"/>
            <w:gridSpan w:val="9"/>
          </w:tcPr>
          <w:p>
            <w:pPr>
              <w:ind w:left="120"/>
              <w:spacing w:after="0"/>
              <w:rPr>
                <w:sz w:val="20"/>
                <w:szCs w:val="20"/>
                <w:color w:val="auto"/>
              </w:rPr>
            </w:pPr>
            <w:r>
              <w:rPr>
                <w:rFonts w:ascii="Courier New" w:cs="Courier New" w:eastAsia="Courier New" w:hAnsi="Courier New"/>
                <w:sz w:val="15"/>
                <w:szCs w:val="15"/>
                <w:color w:val="auto"/>
                <w:w w:val="97"/>
              </w:rPr>
              <w:t>46.47% and 48.59% at June 30, 2005 and 2004, respectively</w:t>
            </w:r>
          </w:p>
        </w:tc>
      </w:tr>
      <w:tr>
        <w:trPr>
          <w:trHeight w:val="509"/>
        </w:trPr>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Note 12. Lease Commitment</w:t>
      </w:r>
    </w:p>
    <w:p>
      <w:pPr>
        <w:spacing w:after="0" w:line="175" w:lineRule="exact"/>
        <w:rPr>
          <w:sz w:val="20"/>
          <w:szCs w:val="20"/>
          <w:color w:val="auto"/>
        </w:rPr>
      </w:pPr>
    </w:p>
    <w:p>
      <w:pPr>
        <w:jc w:val="both"/>
        <w:ind w:right="800"/>
        <w:spacing w:after="0" w:line="239" w:lineRule="auto"/>
        <w:rPr>
          <w:sz w:val="20"/>
          <w:szCs w:val="20"/>
          <w:color w:val="auto"/>
        </w:rPr>
      </w:pPr>
      <w:r>
        <w:rPr>
          <w:rFonts w:ascii="Courier New" w:cs="Courier New" w:eastAsia="Courier New" w:hAnsi="Courier New"/>
          <w:sz w:val="15"/>
          <w:szCs w:val="15"/>
          <w:color w:val="auto"/>
        </w:rPr>
        <w:t>On June 1, 2004, our wholly owned subsidiary, NN Precision Bearing Products Company LTD, entered into a twenty year lease agreement with Kunshan Tian Li Steel Structure Co. LTD for the lease of land and building (approximately 110,000 square feet) in the Kunshan Economic and Technology Development Zone, Jiangsu, The People's Republic of China. The building will be newly constructed and we expect to begin usage of the leased property during the second half of 2005. The land and building remain under the control of the lessor until such time as usage of the leased property commences. The agreement satisfied the requirements of a capital lease at June 1, 2004, and we anticipate recording the lease as a capital lease in our Consolidated Financial Statements when usage of the leased property begins. Accordingly, as of June 30, 2005, no amount has been recorded related to the asset and corresponding obligation associated with the lease agreement in our Consolidated Financial Statements. We estimate the fair value of the land and building to be approximately $2.0 million and undiscounted annual lease payments of approximately $0.2 million (approximately $4.1 million aggregate non-discounted lease payments over the twenty year term). The lease terms include fair value buy-out provisions, and we maintain the option to extend the lease term under the same terms and conditions as the original agreement.</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Restructuring Charges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Eltmann, Germany Restructuring</w:t>
      </w:r>
    </w:p>
    <w:p>
      <w:pPr>
        <w:spacing w:after="0" w:line="175" w:lineRule="exact"/>
        <w:rPr>
          <w:sz w:val="20"/>
          <w:szCs w:val="20"/>
          <w:color w:val="auto"/>
        </w:rPr>
      </w:pPr>
    </w:p>
    <w:p>
      <w:pPr>
        <w:jc w:val="both"/>
        <w:ind w:right="800"/>
        <w:spacing w:after="0" w:line="238" w:lineRule="auto"/>
        <w:rPr>
          <w:sz w:val="20"/>
          <w:szCs w:val="20"/>
          <w:color w:val="auto"/>
        </w:rPr>
      </w:pPr>
      <w:r>
        <w:rPr>
          <w:rFonts w:ascii="Courier New" w:cs="Courier New" w:eastAsia="Courier New" w:hAnsi="Courier New"/>
          <w:sz w:val="15"/>
          <w:szCs w:val="15"/>
          <w:color w:val="auto"/>
        </w:rPr>
        <w:t>During the fourth quarter of 2004, the Company's NN Europe subsidiary, a component of the Company's NN Europe Segment, announced a reduction in staffing at its Eltmann, Germany ball production facility. This restructuring will affect approximately 86 employees and is expected be completed during 2005. As a result, during 2004, the Company recorded restructuring charges of approximately 1.7 million Euro ($2.3 million) related to severance costs of approximately $2.1 million and other related charges of approximately $0.2 million. The workforce reduction is a result of the Company's continuing strategy of rationalizing its global manufacturing capacity and transfer of production principally to its facility in Kysucke Nove Mesto, Slovakia. The charges were recorded in restructuring and impairment costs, a component of income from operations in the fourth quarter of 2004.</w:t>
      </w:r>
    </w:p>
    <w:p>
      <w:pPr>
        <w:spacing w:after="0" w:line="182" w:lineRule="exact"/>
        <w:rPr>
          <w:sz w:val="20"/>
          <w:szCs w:val="20"/>
          <w:color w:val="auto"/>
        </w:rPr>
      </w:pPr>
    </w:p>
    <w:p>
      <w:pPr>
        <w:jc w:val="both"/>
        <w:ind w:right="800"/>
        <w:spacing w:after="0" w:line="237" w:lineRule="auto"/>
        <w:rPr>
          <w:sz w:val="20"/>
          <w:szCs w:val="20"/>
          <w:color w:val="auto"/>
        </w:rPr>
      </w:pPr>
      <w:r>
        <w:rPr>
          <w:rFonts w:ascii="Courier New" w:cs="Courier New" w:eastAsia="Courier New" w:hAnsi="Courier New"/>
          <w:sz w:val="15"/>
          <w:szCs w:val="15"/>
          <w:color w:val="auto"/>
        </w:rPr>
        <w:t>The following summarizes the restructuring charges related to the restructuring at the Company's Eltmann, Germany facility for the twelve months ended December 31, 2004 and the six months ended June 30, 2005: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Twelve months ended December 31, 2004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3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Reserve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Balance at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Paid in</w:t>
            </w:r>
          </w:p>
        </w:tc>
        <w:tc>
          <w:tcPr>
            <w:tcW w:w="44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Currency</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(In Thousands of Dollars)</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01/01/04</w:t>
            </w:r>
          </w:p>
        </w:tc>
        <w:tc>
          <w:tcPr>
            <w:tcW w:w="1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Charges</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2004</w:t>
            </w:r>
          </w:p>
        </w:tc>
        <w:tc>
          <w:tcPr>
            <w:tcW w:w="44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Impacts</w:t>
            </w:r>
          </w:p>
        </w:tc>
      </w:tr>
      <w:tr>
        <w:trPr>
          <w:trHeight w:val="170"/>
        </w:trPr>
        <w:tc>
          <w:tcPr>
            <w:tcW w:w="264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509"/>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Severance and other</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$ 2,290</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employee costs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640" w:type="dxa"/>
            <w:vAlign w:val="bottom"/>
          </w:tcPr>
          <w:p>
            <w:pPr>
              <w:spacing w:after="0"/>
              <w:rPr>
                <w:sz w:val="14"/>
                <w:szCs w:val="1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$ 2,290</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678"/>
        </w:trPr>
        <w:tc>
          <w:tcPr>
            <w:tcW w:w="2640" w:type="dxa"/>
            <w:vAlign w:val="bottom"/>
          </w:tcPr>
          <w:p>
            <w:pPr>
              <w:spacing w:after="0"/>
              <w:rPr>
                <w:sz w:val="20"/>
                <w:szCs w:val="20"/>
                <w:color w:val="auto"/>
              </w:rPr>
            </w:pPr>
            <w:r>
              <w:rPr>
                <w:rFonts w:ascii="Courier New" w:cs="Courier New" w:eastAsia="Courier New" w:hAnsi="Courier New"/>
                <w:sz w:val="15"/>
                <w:szCs w:val="15"/>
                <w:color w:val="auto"/>
                <w:w w:val="97"/>
              </w:rPr>
              <w:t>Six months ended June 30, 2005</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(In Thousands of Dollars)</w:t>
            </w:r>
          </w:p>
        </w:tc>
        <w:tc>
          <w:tcPr>
            <w:tcW w:w="13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Reserve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Balance at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Paid in</w:t>
            </w:r>
          </w:p>
        </w:tc>
        <w:tc>
          <w:tcPr>
            <w:tcW w:w="12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Currency</w:t>
            </w:r>
          </w:p>
        </w:tc>
      </w:tr>
      <w:tr>
        <w:trPr>
          <w:trHeight w:val="170"/>
        </w:trPr>
        <w:tc>
          <w:tcPr>
            <w:tcW w:w="264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01/01/05</w:t>
            </w:r>
          </w:p>
        </w:tc>
        <w:tc>
          <w:tcPr>
            <w:tcW w:w="1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Charges</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w w:val="94"/>
              </w:rPr>
              <w:t>2005</w:t>
            </w:r>
          </w:p>
        </w:tc>
        <w:tc>
          <w:tcPr>
            <w:tcW w:w="44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Impacts</w:t>
            </w:r>
          </w:p>
        </w:tc>
      </w:tr>
      <w:tr>
        <w:trPr>
          <w:trHeight w:val="170"/>
        </w:trPr>
        <w:tc>
          <w:tcPr>
            <w:tcW w:w="264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Severance and other</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$ 2,290</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(410)</w:t>
            </w:r>
          </w:p>
        </w:tc>
        <w:tc>
          <w:tcPr>
            <w:tcW w:w="12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 (213)</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employee costs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64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$ 2,290</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(410)</w:t>
            </w:r>
          </w:p>
        </w:tc>
        <w:tc>
          <w:tcPr>
            <w:tcW w:w="12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 (213)</w:t>
            </w:r>
          </w:p>
        </w:tc>
      </w:tr>
      <w:tr>
        <w:trPr>
          <w:trHeight w:val="170"/>
        </w:trPr>
        <w:tc>
          <w:tcPr>
            <w:tcW w:w="264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bl>
    <w:p>
      <w:pPr>
        <w:spacing w:after="0" w:line="344" w:lineRule="exact"/>
        <w:rPr>
          <w:sz w:val="20"/>
          <w:szCs w:val="20"/>
          <w:color w:val="auto"/>
        </w:rPr>
      </w:pPr>
    </w:p>
    <w:p>
      <w:pPr>
        <w:ind w:right="880"/>
        <w:spacing w:after="0" w:line="235" w:lineRule="auto"/>
        <w:rPr>
          <w:sz w:val="20"/>
          <w:szCs w:val="20"/>
          <w:color w:val="auto"/>
        </w:rPr>
      </w:pPr>
      <w:r>
        <w:rPr>
          <w:rFonts w:ascii="Courier New" w:cs="Courier New" w:eastAsia="Courier New" w:hAnsi="Courier New"/>
          <w:sz w:val="15"/>
          <w:szCs w:val="15"/>
          <w:color w:val="auto"/>
        </w:rPr>
        <w:t>We expect to pay all amounts during 2005 and no additional charges are expected to be incurred.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Reserve</w:t>
      </w:r>
    </w:p>
    <w:p>
      <w:pPr>
        <w:ind w:left="80"/>
        <w:spacing w:after="0"/>
        <w:rPr>
          <w:sz w:val="20"/>
          <w:szCs w:val="20"/>
          <w:color w:val="auto"/>
        </w:rPr>
      </w:pPr>
      <w:r>
        <w:rPr>
          <w:rFonts w:ascii="Courier New" w:cs="Courier New" w:eastAsia="Courier New" w:hAnsi="Courier New"/>
          <w:sz w:val="15"/>
          <w:szCs w:val="15"/>
          <w:color w:val="auto"/>
        </w:rPr>
        <w:t>Balance at</w:t>
      </w:r>
    </w:p>
    <w:p>
      <w:pPr>
        <w:ind w:left="180"/>
        <w:spacing w:after="0"/>
        <w:rPr>
          <w:sz w:val="20"/>
          <w:szCs w:val="20"/>
          <w:color w:val="auto"/>
        </w:rPr>
      </w:pPr>
      <w:r>
        <w:rPr>
          <w:rFonts w:ascii="Courier New" w:cs="Courier New" w:eastAsia="Courier New" w:hAnsi="Courier New"/>
          <w:sz w:val="15"/>
          <w:szCs w:val="15"/>
          <w:color w:val="auto"/>
        </w:rPr>
        <w:t>12/31/04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$ 2,290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20" w:hanging="172"/>
        <w:spacing w:after="0"/>
        <w:tabs>
          <w:tab w:leader="none" w:pos="5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2,290</w:t>
      </w:r>
    </w:p>
    <w:p>
      <w:pPr>
        <w:spacing w:after="0" w:line="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Reserve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Balance at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06/30/05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$ 1,667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20" w:hanging="172"/>
        <w:spacing w:after="0"/>
        <w:tabs>
          <w:tab w:leader="none" w:pos="5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1,667</w:t>
      </w:r>
    </w:p>
    <w:p>
      <w:pPr>
        <w:spacing w:after="0" w:line="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ectPr>
          <w:pgSz w:w="11900" w:h="16838" w:orient="portrait"/>
          <w:cols w:equalWidth="0" w:num="2">
            <w:col w:w="7840" w:space="440"/>
            <w:col w:w="1939"/>
          </w:cols>
          <w:pgMar w:left="240" w:top="62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Item 2.</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and Management Focus</w:t>
      </w:r>
    </w:p>
    <w:p>
      <w:pPr>
        <w:spacing w:after="0" w:line="175" w:lineRule="exact"/>
        <w:rPr>
          <w:sz w:val="20"/>
          <w:szCs w:val="20"/>
          <w:color w:val="auto"/>
        </w:rPr>
      </w:pPr>
    </w:p>
    <w:p>
      <w:pPr>
        <w:ind w:left="440" w:right="3179"/>
        <w:spacing w:after="0" w:line="235" w:lineRule="auto"/>
        <w:rPr>
          <w:sz w:val="20"/>
          <w:szCs w:val="20"/>
          <w:color w:val="auto"/>
        </w:rPr>
      </w:pPr>
      <w:r>
        <w:rPr>
          <w:rFonts w:ascii="Courier New" w:cs="Courier New" w:eastAsia="Courier New" w:hAnsi="Courier New"/>
          <w:sz w:val="15"/>
          <w:szCs w:val="15"/>
          <w:color w:val="auto"/>
        </w:rPr>
        <w:t>Our strategy and management focus is based upon the following long-term objectives:</w:t>
      </w:r>
    </w:p>
    <w:p>
      <w:pPr>
        <w:spacing w:after="0" w:line="176" w:lineRule="exact"/>
        <w:rPr>
          <w:sz w:val="20"/>
          <w:szCs w:val="20"/>
          <w:color w:val="auto"/>
        </w:rPr>
      </w:pPr>
    </w:p>
    <w:p>
      <w:pPr>
        <w:ind w:left="880" w:right="3179" w:hanging="449"/>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Captive growth, providing a competitive and attractive alternative to the operations of our global customers</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our bearing product offering, and</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expansion of our manufacturing base to better address the global requirements of our customers</w:t>
      </w:r>
    </w:p>
    <w:p>
      <w:pPr>
        <w:spacing w:after="0" w:line="176" w:lineRule="exact"/>
        <w:rPr>
          <w:sz w:val="20"/>
          <w:szCs w:val="20"/>
          <w:color w:val="auto"/>
        </w:rPr>
      </w:pPr>
    </w:p>
    <w:p>
      <w:pPr>
        <w:ind w:left="440" w:right="3179"/>
        <w:spacing w:after="0" w:line="235" w:lineRule="auto"/>
        <w:rPr>
          <w:sz w:val="20"/>
          <w:szCs w:val="20"/>
          <w:color w:val="auto"/>
        </w:rPr>
      </w:pPr>
      <w:r>
        <w:rPr>
          <w:rFonts w:ascii="Courier New" w:cs="Courier New" w:eastAsia="Courier New" w:hAnsi="Courier New"/>
          <w:sz w:val="15"/>
          <w:szCs w:val="15"/>
          <w:color w:val="auto"/>
        </w:rPr>
        <w:t>Management generally focuses on these trends and relevant market indicators:</w:t>
      </w:r>
    </w:p>
    <w:p>
      <w:pPr>
        <w:spacing w:after="0" w:line="170" w:lineRule="exact"/>
        <w:rPr>
          <w:sz w:val="20"/>
          <w:szCs w:val="20"/>
          <w:color w:val="auto"/>
        </w:rPr>
      </w:pPr>
    </w:p>
    <w:p>
      <w:pPr>
        <w:ind w:left="880" w:hanging="449"/>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industrial growth and economics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automotive production rates</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subject to the global inflationary environment, including, but not limited to:</w:t>
      </w:r>
    </w:p>
    <w:p>
      <w:pPr>
        <w:spacing w:after="0" w:line="170"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Raw material</w:t>
      </w:r>
    </w:p>
    <w:p>
      <w:pPr>
        <w:spacing w:after="0" w:line="169"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Wages and benefits, including health care costs</w:t>
      </w:r>
    </w:p>
    <w:p>
      <w:pPr>
        <w:spacing w:after="0" w:line="169"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Regulatory compliance</w:t>
      </w:r>
    </w:p>
    <w:p>
      <w:pPr>
        <w:spacing w:after="0" w:line="169" w:lineRule="exact"/>
        <w:rPr>
          <w:sz w:val="20"/>
          <w:szCs w:val="20"/>
          <w:color w:val="auto"/>
        </w:rPr>
      </w:pPr>
    </w:p>
    <w:p>
      <w:pPr>
        <w:ind w:left="1320" w:hanging="448"/>
        <w:spacing w:after="0"/>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Energy</w:t>
      </w:r>
    </w:p>
    <w:p>
      <w:pPr>
        <w:spacing w:after="0" w:line="169" w:lineRule="exact"/>
        <w:rPr>
          <w:sz w:val="20"/>
          <w:szCs w:val="20"/>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Raw Material Availability</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related to manufacturing's geographic migration of competitive manufacturing</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environment for United States public companies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and exchange rate movements and trends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levels and expectations</w:t>
      </w:r>
    </w:p>
    <w:p>
      <w:pPr>
        <w:spacing w:after="0" w:line="175" w:lineRule="exact"/>
        <w:rPr>
          <w:sz w:val="20"/>
          <w:szCs w:val="20"/>
          <w:color w:val="auto"/>
        </w:rPr>
      </w:pPr>
    </w:p>
    <w:p>
      <w:pPr>
        <w:ind w:left="440" w:right="3179"/>
        <w:spacing w:after="0" w:line="235" w:lineRule="auto"/>
        <w:rPr>
          <w:sz w:val="20"/>
          <w:szCs w:val="20"/>
          <w:color w:val="auto"/>
        </w:rPr>
      </w:pPr>
      <w:r>
        <w:rPr>
          <w:rFonts w:ascii="Courier New" w:cs="Courier New" w:eastAsia="Courier New" w:hAnsi="Courier New"/>
          <w:sz w:val="15"/>
          <w:szCs w:val="15"/>
          <w:color w:val="auto"/>
        </w:rPr>
        <w:t>Management generally focuses on the following key indicators of operating performance:</w:t>
      </w:r>
    </w:p>
    <w:p>
      <w:pPr>
        <w:spacing w:after="0" w:line="170" w:lineRule="exact"/>
        <w:rPr>
          <w:sz w:val="20"/>
          <w:szCs w:val="20"/>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growth</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products sold levels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general and administrative expense levels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from operations and capital spending</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Our core business is the manufacture and sale of high quality, precision steel balls and rollers. In 2004, sales of balls and rollers accounted for approximately 77% of the Company's total net sales with 59% and 18% of sales from balls and rollers, respectively. Sales of metal bearing retainers accounted for 6% and sales of precision molded plastic and rubber parts accounted for the remaining 17%.</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15" w:name="page16"/>
    <w:bookmarkEnd w:id="15"/>
    <w:p>
      <w:pPr>
        <w:jc w:val="both"/>
        <w:ind w:right="3179"/>
        <w:spacing w:after="0" w:line="238" w:lineRule="auto"/>
        <w:rPr>
          <w:sz w:val="20"/>
          <w:szCs w:val="20"/>
          <w:color w:val="auto"/>
        </w:rPr>
      </w:pPr>
      <w:r>
        <w:rPr>
          <w:rFonts w:ascii="Courier New" w:cs="Courier New" w:eastAsia="Courier New" w:hAnsi="Courier New"/>
          <w:sz w:val="15"/>
          <w:szCs w:val="15"/>
          <w:color w:val="auto"/>
        </w:rPr>
        <w:t>Since our formation in 1980, we have grown primarily through the displacement of captive ball manufacturing operations of domestic and international bearing manufacturers resulting in increased sales of high precision balls for quiet bearing applications. Management believes that our core business sales growth since our formation has been due to our ability to capitalize on opportunities in global markets and provide precision products at competitive prices, as well as our emphasis on product quality and customer service.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Three Months Ended June 30, 2005 Compared to the Three Months Ended June 30, 2004</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Net Sales. Net sales increased by approximately $8.5 million, or 11.3%, from $75.3 million for the second quarter of 2004 to $83.8 million for the second quarter of 2005. By segment, sales increased $4.4 million, $2.2 million and $1.9 million for the NN Europe Segment, Plastic and Rubber Components Segment, and the Domestic Ball and Roller Segment, respectively. Within the NN Europe Segment, approximately $2.0 million of the increase is related to the impact of currency exchange rates, approximately $1.6 million of the increase is related to price adjustments associated with raw material pass through and approximately $0.8 million is related to increases in product demand. Within the Plastics and Rubber Component Segment, approximately $1.8 million of the increase is related to increased product demand and approximately $0.4 million is related to price adjustments associated with raw material pass through. Within the Domestic Ball and Roller Segment, approximately $1.3 million is related to price adjustments associated with raw material pass through and approximately $0.6 million related to increased product demand.</w:t>
      </w:r>
    </w:p>
    <w:p>
      <w:pPr>
        <w:spacing w:after="0" w:line="18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Cost of Products Sold. Cost of products sold increased by approximately $7.1 million, or 12.1%, from $58.9 million for the second quarter of 2004 to $66.0 million for the second quarter of 2005. By segment, cost of products sold increased $2.7 million, $2.5 million and $1.9 million for the Plastics and Rubber Component Segment, the NN Europe Segment and the Domestic Ball and Roller Segment, respectively. Within the Plastics and Rubber Components Segment, approximately $1.8 million is related to increases in volume and approximately $0.9 million is related to increased material costs, principally higher resin costs at our Industrial Molding facility. Within the NN Europe Segment, approximately $1.6 million is related to the impact of currency exchange rates and approximately $1.8 million is related to increases in volume and increased material costs offset by productivity improvements of approximately $0.9 million. Within the Domestic Ball and Roller Segment, approximately $0.9 million is related to increases in material cost, approximately $0.6 million is related to transportation fuel surcharges and inventory reductions and approximately $0.4 million is related to increased volume. As a percentage of net sales, cost of products sold increased from 78.2% during the second quarter of 2004 to 78.8% during the second quarter of 2005.</w:t>
      </w:r>
    </w:p>
    <w:p>
      <w:pPr>
        <w:spacing w:after="0" w:line="333"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The price of steel has risen over the last twelve to eighteen months with the potential for prices for the remainder of 2005 to reflect even greater increases. The increase is principally due to general increases in global demand and, more recently, due to China's increased consumption of steel. This has had the impact of increasing steel prices we pay in procuring our steel in the form of higher unit prices and scrap surcharges and could adversely impact the availability of steel. Our contracts with key customers allow us to pass a majority of the steel price increases on to those customers. However, for our NN Europe Segment, material price changes in any given year are typically passed along with price adjustments in January of the following year. Unless we can continue to pass these increases through to our customers, income from operations, net income and cash flow from operations will be adversely affected.</w:t>
      </w:r>
    </w:p>
    <w:p>
      <w:pPr>
        <w:spacing w:after="0" w:line="16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decreased by approximately $0.7 million, or 8.8%, from $8.0 million during the second quarter of 2004 to $7.3 million during the second quarter of 2005. By segment, selling, general and administrative expenses decreased $0.4 million and $0.3 million for the NN Europe Segment and the Domestic Ball and Roller Segment, respectively. Within the NN Europe Segment the decrease is principally related to lower consulting costs. Within the Domestic Ball and Roller Segment the decrease is principally related to lower Sarbanes-Oxley compliance costs. As a percentage of net sales, selling, general and administrative expenses decreased from 10.6% during the second quarter of 2004 to 8.7% during the second quarter of 2005.</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97" w:right="1440" w:bottom="1440" w:gutter="0" w:footer="0" w:header="0"/>
        </w:sectPr>
      </w:pPr>
    </w:p>
    <w:bookmarkStart w:id="16" w:name="page17"/>
    <w:bookmarkEnd w:id="16"/>
    <w:p>
      <w:pPr>
        <w:jc w:val="both"/>
        <w:ind w:left="10" w:right="3179"/>
        <w:spacing w:after="0" w:line="256" w:lineRule="auto"/>
        <w:rPr>
          <w:sz w:val="20"/>
          <w:szCs w:val="20"/>
          <w:color w:val="auto"/>
        </w:rPr>
      </w:pPr>
      <w:r>
        <w:rPr>
          <w:rFonts w:ascii="Courier New" w:cs="Courier New" w:eastAsia="Courier New" w:hAnsi="Courier New"/>
          <w:sz w:val="14"/>
          <w:szCs w:val="14"/>
          <w:color w:val="auto"/>
        </w:rPr>
        <w:t>Depreciation and Amortization. Depreciation and amortization expenses increased by approximately $0.1 million, or 2.5%, from $4.0 million for the second quarter of 2004 to $4.1 million for the second quarter of 2005. The increase is principally related to the impact of foreign currency exchange rates within the</w:t>
      </w:r>
    </w:p>
    <w:p>
      <w:pPr>
        <w:spacing w:after="0" w:line="1" w:lineRule="exact"/>
        <w:rPr>
          <w:sz w:val="20"/>
          <w:szCs w:val="20"/>
          <w:color w:val="auto"/>
        </w:rPr>
      </w:pPr>
    </w:p>
    <w:p>
      <w:pPr>
        <w:jc w:val="both"/>
        <w:ind w:left="10" w:right="3179" w:hanging="10"/>
        <w:spacing w:after="0" w:line="237" w:lineRule="auto"/>
        <w:tabs>
          <w:tab w:leader="none" w:pos="27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 Segment. As a percentage of net sales, depreciation and amortization expense decreased from 5.3% during the second quarter of 2004 to 4.9% during the second quarter of 2005.</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Interest Expense. Interest expense increased by approximately $0.1 million, or 11.1%, from $0.9 million in the second quarter of 2004 to $1.0 million in the second quarter of 2005. The increase is principally related increased market interest rates. See "Liquidity and Capital Resources".</w:t>
      </w:r>
    </w:p>
    <w:p>
      <w:pPr>
        <w:spacing w:after="0" w:line="176"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Net Income. Net income increased by approximately $1.3 million, or 65%, from $2.0 million in the second quarter of 2004 to $3.3 million in the second quarter of 2005. As a percentage of net sales, net income increased from 2.7% during the second quarter of 2004 to 3.9% during the second quarter of 2005.</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Six Months Ended June 30, 2005 Compared to the Six Months Ended June 30, 2004</w:t>
      </w:r>
    </w:p>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Net Sales. Net sales increased by approximately $17.6 million, or 11.5%, from $152.9 million for the first six months of 2004 to $170.5 million for the first six months of 2005. By segment, sales increased $10.3 million, $3.9 million and $3.4 million for the NN Europe Segment, the Plastic and Rubber Components Segment and the Domestic Ball and Roller Segment, respectively. Within the NN Europe Segment, approximately $5.1 million of the increase is related to the impact of currency exchange rates, approximately $3.2 million of the increase is related to price adjustments associated with raw material pass through and approximately $2.0 million is related to increases in product demand. Within the Plastic and Rubber Components Segment, approximately $3.1 million of the increase is related to increased product demand and approximately $0.8 million is related to price adjustments associated with raw material pass through. Within the Domestic Ball and Roller Segment, approximately $2.4 million of the increase is related to price adjustments associated with raw material pass through and approximately $1.1 million is related to increases in product demand.</w:t>
      </w:r>
    </w:p>
    <w:p>
      <w:pPr>
        <w:spacing w:after="0" w:line="186"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Cost of Products Sold. Cost of products sold increased by approximately $14.4 million, or 12.1%, from $119.3 million for the first six months of 2004 to $133.7 million for the first six months of 2005. By segment, cost of products sold increased $7.4 million, $4.6 million and $2.4 million for the NN Europe Segment, the Plastics and Rubber Component Segment and the Domestic Ball and Roller Segment, respectively. Within the NN Europe Segment, approximately $4.3 million of the increase is related to the impact of currency exchange rates and approximately $4.4 million is related to increases in volume and approximately $0.8 million is related to increased material costs. These increases were offset by approximately $2.1 million of productivity improvements. Within the Plastics and Rubber Component Segment, approximately $2.7 million is related to increased volume and approximately $1.9 million is related to increases in raw material costs. Within the Domestic Ball and Roller Segment, approximately $1.1 million of the increase is related to increased material cost, approximately $0.7 million is related to increased volume and approximately $0.6 million is related to transportation fuel surcharges and inventory reductions. As a percentage of net sales, cost of products sold increased from 78.0% during first six months of 2004 to 78.4% during the first six months of 2005.</w:t>
      </w:r>
    </w:p>
    <w:p>
      <w:pPr>
        <w:spacing w:after="0" w:line="164"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The price of steel has risen over the last twelve to eighteen months with the potential for prices for the remainder of 2005 to reflect even greater increases. The increase is principally due to general increases in global demand and, more recently, due to China's increased consumption of steel. This has had the impact of increasing steel prices we pay in procuring our steel in the form of higher unit prices and scrap surcharges and could adversely impact the availability of steel. Our contracts with key customers allow us to pass a majority of the steel price increases on to those customers. However, for our NN Europe Segment, material price changes in any given year are typically passed along with price adjustments in January of the following year. Unless we can continue to pass these increases through to our customers, income from operations, net income and cash flow from operations will be adversely affected.</w:t>
      </w:r>
    </w:p>
    <w:p>
      <w:pPr>
        <w:spacing w:after="0" w:line="166"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decreased by approximately $0.4 million or 2.6% from $15.2 million during the first six months of 2004 to $14.8 million during the first six months of 2005. By segment, selling, general and administrative expenses decreased $0.2 million, $0.1 million and $0.1 million for the NN Europe Segment, Domestic Ball and Roller Segment</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627" w:right="1440" w:bottom="1440" w:gutter="0" w:footer="0" w:header="0"/>
        </w:sectPr>
      </w:pPr>
    </w:p>
    <w:bookmarkStart w:id="17" w:name="page18"/>
    <w:bookmarkEnd w:id="17"/>
    <w:p>
      <w:pPr>
        <w:jc w:val="both"/>
        <w:ind w:right="3179"/>
        <w:spacing w:after="0" w:line="238" w:lineRule="auto"/>
        <w:rPr>
          <w:sz w:val="20"/>
          <w:szCs w:val="20"/>
          <w:color w:val="auto"/>
        </w:rPr>
      </w:pPr>
      <w:r>
        <w:rPr>
          <w:rFonts w:ascii="Courier New" w:cs="Courier New" w:eastAsia="Courier New" w:hAnsi="Courier New"/>
          <w:sz w:val="15"/>
          <w:szCs w:val="15"/>
          <w:color w:val="auto"/>
        </w:rPr>
        <w:t>and the Plastic and Rubber Components Segment, respectively. Within the NN Europe Segment, the decrease is related principally to decreased lower consulting costs of approximately $0.6 million, offset by the negative impact of foreign currency exchange rates of approximately $0.4 million. Within the Domestic Ball and Roller Segment and the Plastics and Rubber Components Segment the decrease is principally related to decreased Sarbanes-Oxley compliance costs. As a percentage of net sales, selling, general and administrative expenses decreased from 9.9% during the first six months of 2004 to 8.7% during the first six months of 2005.</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Depreciation and Amortization. Depreciation and amortization expenses increased by approximately $0.3 million or 3.8% from $8.0 million for the first six months of 2004 to $8.3 million for the first six months of 2005. By segment, depreciation and amortization expenses increased by $0.3 million and $0.2 million for the NN Europe Segment and the Plastics and Rubber Component Segments, respectively and decreased by $0.2 million for the Domestic Ball and Roller Segment. Within the NN Europe Segment, the $0.3 million increase is principally related to the impact of foreign currency exchange rates. Within the Plastics and Rubber Components Segment the increase is a result of capital investments in machinery and equipment. Within the Domestic Ball and Roller Segment, the $0.2 million decrease is a result of a lower level of capital investments in machinery and equipment for the period. As a percentage of net sales, depreciation and amortization expense decreased from 5.2% for the first six months of 2004 to 4.9% for the first six months of 2005.</w:t>
      </w:r>
    </w:p>
    <w:p>
      <w:pPr>
        <w:spacing w:after="0" w:line="184"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Interest Expense. Interest expense increased by approximately $0.2 million from $1.8 million in the first six months of 2004 to $2.0 million in the first six months of 2005. The increase is principally related to increased market interest rates. See "Liquidity and Capital Resources".</w:t>
      </w:r>
    </w:p>
    <w:p>
      <w:pPr>
        <w:spacing w:after="0" w:line="176" w:lineRule="exact"/>
        <w:rPr>
          <w:sz w:val="20"/>
          <w:szCs w:val="20"/>
          <w:color w:val="auto"/>
        </w:rPr>
      </w:pPr>
    </w:p>
    <w:p>
      <w:pPr>
        <w:jc w:val="both"/>
        <w:ind w:right="3179"/>
        <w:spacing w:after="0" w:line="259" w:lineRule="auto"/>
        <w:rPr>
          <w:sz w:val="20"/>
          <w:szCs w:val="20"/>
          <w:color w:val="auto"/>
        </w:rPr>
      </w:pPr>
      <w:r>
        <w:rPr>
          <w:rFonts w:ascii="Courier New" w:cs="Courier New" w:eastAsia="Courier New" w:hAnsi="Courier New"/>
          <w:sz w:val="14"/>
          <w:szCs w:val="14"/>
          <w:color w:val="auto"/>
        </w:rPr>
        <w:t>Net Income. Net income increased by approximately $2.1 million, or 40.4%, from $5.2 million in the first six months of 2004 to $7.3 million in the first six months of 2005. As a percentage of net sales, net income increased from 3.4% during the first six months of 2004 to 4.3% during the first six months of 2005.</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On May 1, 2003, we entered into a $90.0 million syndicated credit facility with AmSouth Bank ("AmSouth") as the administrative agent and Suntrust Bank as the Euro loan agent for the lenders under which we borrowed $60.4 million and 26.3 million Euros ($29.6 million) (the "$90.0 million credit facility"). This financing arrangement replaced our prior credit facility with AmSouth and Hypo Vereinsbank Luxembourg, S.A. The credit facility as originally entered into consisted of a $30.0 million revolver ("$30.0 million revolver") expiring on March 15, 2005, subsequently extended to June 30, 2007 bearing interest at a floating rate equal to LIBOR (3.34% at June 30, 2005) plus an applicable margin of 1.25 to 2.0, a $30.4 million term loan expiring on May 1, 2008, bearing interest at a floating rate equal to LIBOR (3.34% at June 30, 2005) plus an applicable margin of 1.25 to 2.0 and a 26.3 million Euro ($29.6 million) term loan ("26.3 million Euro term loan") expiring on May 1, 2008 which bears interest at a floating rate equal to Euro LIBOR (2.10% at June 30, 2005) plus an applicable margin of 1.25 to 2.0. All amounts owed under the $30.4 million term loan were paid during the second quarter of 2004 with the proceeds from our $40.0 million notes and we no longer have borrowing capacity under that portion of the $90.0 million credit facility. The terms of the $30.0 million revolver and the 26.3 million Euro term loan remain unchanged.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We were in compliance with all such covenants as of June 30, 2005.</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18" w:name="page19"/>
    <w:bookmarkEnd w:id="18"/>
    <w:p>
      <w:pPr>
        <w:jc w:val="both"/>
        <w:ind w:right="3179"/>
        <w:spacing w:after="0" w:line="239" w:lineRule="auto"/>
        <w:rPr>
          <w:sz w:val="20"/>
          <w:szCs w:val="20"/>
          <w:color w:val="auto"/>
        </w:rPr>
      </w:pPr>
      <w:r>
        <w:rPr>
          <w:rFonts w:ascii="Courier New" w:cs="Courier New" w:eastAsia="Courier New" w:hAnsi="Courier New"/>
          <w:sz w:val="15"/>
          <w:szCs w:val="15"/>
          <w:color w:val="auto"/>
        </w:rPr>
        <w:t>On April 26, 2004 we issued $40.0 million aggregate principal amount of senior notes in a private placement (the "$40.0 million notes"). These notes bear interest at a fixed rate of 4.89% and mature on April 26, 2014. Interest is paid semi-annually. As of June 30, 2005, $40.0 million remained outstanding. Annual principal payments of approximately $5.7 million begin on April 26, 2008 and extend through the date of maturity. Proceeds from this credit facility were used to repay our existing US dollar denominated term loan, $24.0 million, and repay a portion, of our borrowings under our US dollar denominated revolving credit facility, $13.0 million, which are both components of our $90.0 million credit facility, and to repay other short term borrowings totaling approximately $4.7 million.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We were in compliance with all such covenants as of June 30, 2005. The notes are not collateralized except for the pledge of stock of certain foreign subsidiaries. We incurred $0.7 million of related costs as a result of issuing these notes which have been recorded as a component of other non-current assets and are being amortized over the term of the notes.</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Amounts outstanding under the $90.0 million credit facility and the $40.0 million note as of June 30, 2005 were $31.9 million and $40.0 million, respectively. See Note 9 of the Notes to Consolidated Financial Statements.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Our arrangements with our domestic customers typically provide that payments are due within 30 days following the date of shipment of goods by us, while arrangements with certain export customers (other than export customers that have entered into an inventory management program with the Company) generally provide that payments are due within either 90 or 120 days following the date of shipment. Our net sales have historically been of a seasonal nature due to our relative percentage of European business coupled with slower European production during the month of August.</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bill and receive payment from some of our customers in Euros as well as other currencies. To date, we have not been materially adversely affected by currency fluctuations. Nonetheless, as a result of these sales, our foreign exchange transaction and translation risk has increased. Various strategies to manage this risk are available to management including producing and selling in local currencies and hedging programs. As of June 30, 2005, no currency hedges were in place. In addition, a strengthening of the U.S. dollar and/or Euro against foreign currencies could impair our ability to compete with international competitors for foreign as well as domestic sales.</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Working capital, which consists principally of accounts receivable and inventories, was $43.2 million at June 30, 2005 as compared to $33.9 million at December 31, 2004. The ratio of current assets to current liabilities increased from 1.46:1 at December 31, 2004 to 1.65:1 at June 30, 2005. Cash flow from operations totaled $0.3 million during the first six months of 2005, compared with $13.4 million during the first six months of 2004. The primary reason for the reduction in operating cash flow was an increase in working capital related to the increase in our sales in the first half of 2005.</w:t>
      </w:r>
    </w:p>
    <w:p>
      <w:pPr>
        <w:spacing w:after="0" w:line="178"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During 2005, we plan to spend approximately $9.1 million on capital expenditures related primarily to equipment and process upgrades and replacements and approximately $7.9 million principally related to geographic expansion of our manufacturing base. Of these amounts approximately $2.9 million has been spent through June 30, 2005.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and projected capital expenditure requirements through June 2006.</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79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The Euro</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currently have operations in Italy, Germany, Ireland, and The Netherlands, all of which are Euro participating countries, and sell product to customers in many of the participating countries. The Euro has been adopted as the functional currency at these locations in the NN Europe Segment, except Slovakia whose functional currency is the Slovak Korona. Slovakia joined the European Union in May 2004 and the country is expected to adopt the Euro as its currency within several years.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Fluctuation in Quarterly Results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Our net sales historically have been of a seasonal nature due to a significant portion of our sales to European customers that cease or significantly slow production during the month of August.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and Changes in Prices</w:t>
      </w:r>
    </w:p>
    <w:p>
      <w:pPr>
        <w:spacing w:after="0" w:line="175"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Prices for 52100 Steel, engineered resins and other raw materials purchased by the Company are subject to material change, see "Management's Discussion and Analysis of Financial Condition and Results of Operations - Overview and Management Focus". For example, due to an increase in worldwide demand for 52100 Steel and the decrease in the value of the United States dollar relative to foreign currencies, the Company experienced an increase in the price of 52100 Steel and may experience difficulty in obtaining an adequate supply of 52100 Steel from its existing suppliers. In our U.S. operations, our typical pricing arrangements with steel suppliers are subject to adjustment once every six months. The Company's NN Europe Segment has entered into long term agreements with its primary steel supplier which provide for standard terms and conditions and annual pricing adjustments to offset material price fluctuations in steel and quarterly scrap surcharge adjustments. The Company typically reserves the right to increase product prices periodically in the event of increases in its raw material costs. In the past, the Company has been able to minimize the impact on its operations resulting from the 52100 Steel price fluctuations by taking such measures. However, by contract, material price changes in any given year are passed along with price adjustments in January of the following year. Certain sales agreements are in effect with SKF and INA, which provide for minimum purchase quantities and specified, annual sales price adjustments that may be modified up or down for changes in material costs. These agreements expire during 2006 and 2008.</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Our significant accounting policies, including the assumptions and judgments underlying them, are disclosed in the Company's Annual Report on Form 10-K, for the fiscal year ended December 31, 2004 including those policies as discussed in Note 1.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82"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Accounts Receivable. Substantially all of the Company's accounts receivable are due primarily from the served markets: bearing manufacturers, automotive industry, electronics, industrial, agricultural and aerospace.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when considered to be uncollectible. While management believes that adequate allowances for doubtful accounts have been provided in the Consolidated Financial Statements, it is possible that the Company could experience additional unexpected credit losses.</w:t>
      </w:r>
    </w:p>
    <w:p>
      <w:pPr>
        <w:spacing w:after="0" w:line="16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Inventories. Inventories are stated at the lower of cost or market. Cost is 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2" w:right="1440" w:bottom="1440" w:gutter="0" w:footer="0" w:header="0"/>
        </w:sectPr>
      </w:pPr>
    </w:p>
    <w:bookmarkStart w:id="20" w:name="page21"/>
    <w:bookmarkEnd w:id="20"/>
    <w:p>
      <w:pPr>
        <w:jc w:val="both"/>
        <w:ind w:right="3179"/>
        <w:spacing w:after="0" w:line="238" w:lineRule="auto"/>
        <w:rPr>
          <w:sz w:val="20"/>
          <w:szCs w:val="20"/>
          <w:color w:val="auto"/>
        </w:rPr>
      </w:pPr>
      <w:r>
        <w:rPr>
          <w:rFonts w:ascii="Courier New" w:cs="Courier New" w:eastAsia="Courier New" w:hAnsi="Courier New"/>
          <w:sz w:val="15"/>
          <w:szCs w:val="15"/>
          <w:color w:val="auto"/>
        </w:rPr>
        <w:t>Acquisitions and Acquired Intangibles. For new acquisitions, the Company uses 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81"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Impairment of Long-Lived Assets. The Company's long-lived assets include property, plant and equipment. The recoverability of the long-lived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Future adverse changes in market conditions or adverse operating results of the underlying assets could result in the Company having to record additional impairment charges not previously recognized.</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Pension and Post-Retirement Obligations. The Company uses several assumptions in 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 expense and obligations based upon these assumptions and actual employee census data.</w:t>
      </w:r>
    </w:p>
    <w:p>
      <w:pPr>
        <w:spacing w:after="0" w:line="178"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Cautionary Statements for Purposes of the "Safe Harbor" Provisions of the Private Securities Litigation Reform Act of 1995</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Statements regarding capital expenditures, future borrowings, and financial commitments are forward-looking statements. Readers can identify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183"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You should carefully consider the following risks and uncertainties, and all other information contained in or incorporated by reference in this quarterly report on Form 10-Q,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64"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demand for our products is cyclical, which could adversely impact our revenues.</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7" w:right="1440" w:bottom="1440" w:gutter="0" w:footer="0" w:header="0"/>
        </w:sectPr>
      </w:pPr>
    </w:p>
    <w:bookmarkStart w:id="21" w:name="page22"/>
    <w:bookmarkEnd w:id="21"/>
    <w:p>
      <w:pPr>
        <w:jc w:val="both"/>
        <w:ind w:right="3179"/>
        <w:spacing w:after="0" w:line="235" w:lineRule="auto"/>
        <w:rPr>
          <w:sz w:val="20"/>
          <w:szCs w:val="20"/>
          <w:color w:val="auto"/>
        </w:rPr>
      </w:pPr>
      <w:r>
        <w:rPr>
          <w:rFonts w:ascii="Courier New" w:cs="Courier New" w:eastAsia="Courier New" w:hAnsi="Courier New"/>
          <w:sz w:val="15"/>
          <w:szCs w:val="15"/>
          <w:color w:val="auto"/>
        </w:rPr>
        <w:t>We depend on a very limited number of foreign sources for our primary raw material and are subject to risks of shortages and price fluctuation.</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6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We depend heavily on a relatively limited number of customers, and the loss of any major customer would have a material adverse effect on our business.</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Sales to various U.S. and foreign divisions of SKF, which is one of the largest bearing manufacturers in the world, accounted for approximately 48% of consolidated net sales in 2004, and sales to INA accounted for approximately 14% of consolidated net sales in 2004. During 2004, our ten largest customers accounted for approximately 81% of our consolidated net sales. None of our other customers individually accounted for more than 5% of our consolidated net sales for 2004. The loss of all or a substantial portion of sales to these customers would cause us to lose a substantial portion of our revenue and would lower our profit margin and cash flows from operations.</w:t>
      </w:r>
    </w:p>
    <w:p>
      <w:pPr>
        <w:spacing w:after="0" w:line="179"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We operate in and sell products to customers outside the U.S. and are subject to several related risks.</w:t>
      </w:r>
    </w:p>
    <w:p>
      <w:pPr>
        <w:spacing w:after="0" w:line="176" w:lineRule="exact"/>
        <w:rPr>
          <w:sz w:val="20"/>
          <w:szCs w:val="20"/>
          <w:color w:val="auto"/>
        </w:rPr>
      </w:pPr>
    </w:p>
    <w:p>
      <w:pPr>
        <w:jc w:val="both"/>
        <w:ind w:right="3179"/>
        <w:spacing w:after="0" w:line="260" w:lineRule="auto"/>
        <w:rPr>
          <w:sz w:val="20"/>
          <w:szCs w:val="20"/>
          <w:color w:val="auto"/>
        </w:rPr>
      </w:pPr>
      <w:r>
        <w:rPr>
          <w:rFonts w:ascii="Courier New" w:cs="Courier New" w:eastAsia="Courier New" w:hAnsi="Courier New"/>
          <w:sz w:val="14"/>
          <w:szCs w:val="14"/>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57" w:lineRule="exact"/>
        <w:rPr>
          <w:sz w:val="20"/>
          <w:szCs w:val="20"/>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foreign currency fluctuations;</w:t>
      </w:r>
    </w:p>
    <w:p>
      <w:pPr>
        <w:spacing w:after="0" w:line="17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trade, monetary and fiscal policies, laws and regulations, and other activities of governments, agencies and similar organizations;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trade restrictions or prohibitions;</w:t>
      </w:r>
    </w:p>
    <w:p>
      <w:pPr>
        <w:spacing w:after="0" w:line="174"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 tax rates that discourage the repatriation of funds to the U.S.;</w:t>
      </w:r>
    </w:p>
    <w:p>
      <w:pPr>
        <w:spacing w:after="0" w:line="174" w:lineRule="exact"/>
        <w:rPr>
          <w:rFonts w:ascii="Courier New" w:cs="Courier New" w:eastAsia="Courier New" w:hAnsi="Courier New"/>
          <w:sz w:val="14"/>
          <w:szCs w:val="14"/>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import or other duties or taxes; and</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unstable governments or legal systems in countries in which our suppliers, manufacturing operations, and customers are located.</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could negatively impact our consolidated financial results, which are denominated in U.S. Dollars.</w:t>
      </w:r>
    </w:p>
    <w:p>
      <w:pPr>
        <w:spacing w:after="0" w:line="177" w:lineRule="exact"/>
        <w:rPr>
          <w:sz w:val="20"/>
          <w:szCs w:val="20"/>
          <w:color w:val="auto"/>
        </w:rPr>
      </w:pPr>
    </w:p>
    <w:p>
      <w:pPr>
        <w:jc w:val="both"/>
        <w:ind w:right="3179"/>
        <w:spacing w:after="0" w:line="260" w:lineRule="auto"/>
        <w:rPr>
          <w:sz w:val="20"/>
          <w:szCs w:val="20"/>
          <w:color w:val="auto"/>
        </w:rPr>
      </w:pPr>
      <w:r>
        <w:rPr>
          <w:rFonts w:ascii="Courier New" w:cs="Courier New" w:eastAsia="Courier New" w:hAnsi="Courier New"/>
          <w:sz w:val="14"/>
          <w:szCs w:val="14"/>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8" w:right="1440" w:bottom="1440" w:gutter="0" w:footer="0" w:header="0"/>
        </w:sectPr>
      </w:pPr>
    </w:p>
    <w:bookmarkStart w:id="22" w:name="page23"/>
    <w:bookmarkEnd w:id="22"/>
    <w:p>
      <w:pPr>
        <w:jc w:val="both"/>
        <w:ind w:right="3179"/>
        <w:spacing w:after="0" w:line="235" w:lineRule="auto"/>
        <w:rPr>
          <w:sz w:val="20"/>
          <w:szCs w:val="20"/>
          <w:color w:val="auto"/>
        </w:rPr>
      </w:pPr>
      <w:r>
        <w:rPr>
          <w:rFonts w:ascii="Courier New" w:cs="Courier New" w:eastAsia="Courier New" w:hAnsi="Courier New"/>
          <w:sz w:val="15"/>
          <w:szCs w:val="15"/>
          <w:color w:val="auto"/>
        </w:rPr>
        <w:t>The costs and difficulties of integrating acquired business could impede our future growth.</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78"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We may not be able to continue to make the acquisitions necessary for us to realize our growth strategy.</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NN Europe with our two largest bearing customers, SKF and INA/FAG, in 2000 and acquired our bearing seal operations in 2001. During 2002, we purchased INA/FAG's minority interest in NN Europe and on May 2, 2003 we acquired SKF's minority interest in NN Europe, to become the sole owner at NN Europe. On May 2, 2003 we acquired SKF's tapered roller and metal cage manufacturing operations in Veenendaal, The Netherlands. On October 9, 2003 we acquired the precision ball producing assets of KLF-Gulickaren in Kysucke Nove Mesto, Slovakia.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64"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Our growth strategy depends on outsourcing, and if the industry trend toward outsourcing does not continue, our business could be adversely affected.</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77"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Our market is highly competitive and many of our competitors have significant advantages that could adversely affect our business.</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6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production capacity we have added over the last several years has at times resulted in our having more capacity than we need, causing our operating costs to be higher than expected.</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have expanded our ball and roller production facilities and capacity over the last several years. During 1997, we built an additional manufacturing plant in Kilkenny, Ireland, and we continued this expansion in 2000 through the formation of NN Europe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The price of our common stock may be volatile.</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market price of our common stock could be subject to significant fluctuations and may decline. Among the factors that could affect our stock price are:</w:t>
      </w:r>
    </w:p>
    <w:p>
      <w:pPr>
        <w:spacing w:after="0" w:line="169" w:lineRule="exact"/>
        <w:rPr>
          <w:sz w:val="20"/>
          <w:szCs w:val="20"/>
          <w:color w:val="auto"/>
        </w:rPr>
      </w:pPr>
    </w:p>
    <w:p>
      <w:pPr>
        <w:ind w:left="880" w:hanging="449"/>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operating and financial performance and prospects;</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variations in the rate of growth of our financial indicators, such as earnings per share, net income and revenues;</w:t>
      </w:r>
    </w:p>
    <w:p>
      <w:pPr>
        <w:spacing w:after="0" w:line="17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revenue or earnings estimates or publication of research reports by analysts;</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any member of our senior management team;</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speculation in the press or investment community;</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actions by us or our competitors, such as acquisitions or restructurings;</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our common stock by stockholders;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conditions; and</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and international economic, legal and regulatory factors unrelated to our performance.</w:t>
      </w:r>
    </w:p>
    <w:p>
      <w:pPr>
        <w:spacing w:after="0" w:line="176" w:lineRule="exact"/>
        <w:rPr>
          <w:sz w:val="20"/>
          <w:szCs w:val="20"/>
          <w:color w:val="auto"/>
        </w:rPr>
      </w:pPr>
    </w:p>
    <w:p>
      <w:pPr>
        <w:jc w:val="both"/>
        <w:ind w:right="3179"/>
        <w:spacing w:after="0" w:line="260" w:lineRule="auto"/>
        <w:rPr>
          <w:sz w:val="20"/>
          <w:szCs w:val="20"/>
          <w:color w:val="auto"/>
        </w:rPr>
      </w:pPr>
      <w:r>
        <w:rPr>
          <w:rFonts w:ascii="Courier New" w:cs="Courier New" w:eastAsia="Courier New" w:hAnsi="Courier New"/>
          <w:sz w:val="14"/>
          <w:szCs w:val="14"/>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63"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Provisions in our charter documents and Delaware law may inhibit a takeover, which could adversely affect the value of our common stock.</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78"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6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75"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June 30, 2005, we had $20.8 million outstanding under the domestic credit facilities, $40.0 million aggregate principal amount of senior notes outstanding and NN Europe had 9.2 million Euro ($11.1 million) outstanding under the Euro term loan. See Note 8 of the Notes to Consolidated Financial Statements. At June 30, 2005, a one-percent increase in the interest rate charged on our outstanding borrowings under our credit facilities, that are subject to variable interest rates, would result in interest expense increasing annually by approximately $0.3 million. In connection with a variable EURIBOR rate debt financing in July 2000 our majority owned subsidiary, NN Europe entered into an interest rate swap with a notional amount of Euro 12.5 million for the purpose of fixing the interest rate on a portion of their debt financing. The interest rate swap provides for us to receive variable Euribor interest payments and pay 5.51% fixed interest. The interest rate swap agreement expires in July 2006 and the notional amount amortizes in relation to principal payments on the underlying debt over the life of the swap. This original debt was repaid in May 2003, however, the swap remains pursuant to its original terms. On May 1, 2003, we entered into the $90.0 million credit facility. This new financing arrangement replaces our prior credit facility with AmSouth and NN Europe's credit facility with Hypo Vereinsbank Luxembourg, S.A. On April 26, 2004, we issued $40.0 million of aggregate principal amounts of senior notes in a private placement, replacing a portion of our $90.0 million credit facility, see "Management's Discussion and Analysis of Financial Condition and Results of Operations - Liquidity and Capital Resources". The nature and amount of our borrowings may vary as a result of future business requirements, market conditions and other factors.</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Translation of our operating cash flows denominated in foreign currencies is impacted by changes in foreign exchange rates. Our NN Europe Segment bills and receives payments from some of its foreign customers in their own currency. To date, we have not been materially adversely affected by currency fluctuations or foreign exchange restrictions. However, to help reduce exposure to foreign currency fluctuation, management has incurred debt in Euros and has periodically used foreign currency hedges. These currency hedging programs allow management to hedge currency exposures when these exposures meet certain discretionary levels. We did not hold a position in any foreign currency hedging instruments as of June 30, 2005.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Controls and Procedures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As of June 30, 2005,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Chief Financial Officer, concluded that the Company's disclosure controls and procedures are effective.</w:t>
      </w:r>
    </w:p>
    <w:p>
      <w:pPr>
        <w:spacing w:after="0" w:line="178"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There have been no changes in this fiscal quarter in the Company's internal control over financial reporting or in other factors that have materially affected, or are reasonably likely to materially affect, the registrant's internal control over financial reporting.</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Legal Proceedings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Change in Securities and Use of Proceeds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Defaults upon Senior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5"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The Company's Annual Meeting of Stockholders was held on May 18, 2005. As of March 31, 2005, the record date for the meeting, there were 16,910,579 shares of common stock outstanding and entitled to vote at the meeting. There were present at said meeting, in person or by proxy, stockholders holding 15,741,978 shares of common stock, constituting approximately 93% of the shares of common stock outstanding and entitled to vote, which constituted a quorum.</w:t>
      </w:r>
    </w:p>
    <w:p>
      <w:pPr>
        <w:spacing w:after="0" w:line="164"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first matter voted upon at the meeting was the election of G. Ronald Morris and Steven T. Warshaw as Class III Directors to serve for three-year terms each. The vote was 14,935,210 and 15,256,175 For and 806,768 and 485,803 Withheld for Messrs. Morris and Warshaw, respectively.</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nominees were elected to serve until the 2008 Annual Meeting of Stockholders and until their successors are duly elected and qualified. In addition to the foregoing directors, Roderick R. Baty and Robert M. Aiken, Jr. are serving terms that will expire in 2006, and Michael E. Werner is serving a term that will expire in 2007.</w:t>
      </w:r>
    </w:p>
    <w:p>
      <w:pPr>
        <w:spacing w:after="0" w:line="178"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second matter voted upon at the meeting was the proposal to approve the NN, Inc. 2005 Stock Incentive Plan. The vote was 8,993,991 For and 4,006,289 Against, and there were 355,990 Abstentions and 2,385,708 Broker Non-Votes.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third matter voted upon at the meeting was the ratification of PricewaterhouseCoopers LLP as the Company's registered independent public accounting firm for the fiscal year ending December 31, 2005. The vote was 14,821,408 For, 914,522 Against and 6,048 abstentions.</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9" w:lineRule="exact"/>
        <w:rPr>
          <w:sz w:val="20"/>
          <w:szCs w:val="20"/>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by Item 601 of Regulation S-K</w:t>
      </w:r>
    </w:p>
    <w:p>
      <w:pPr>
        <w:spacing w:after="0" w:line="175" w:lineRule="exact"/>
        <w:rPr>
          <w:sz w:val="20"/>
          <w:szCs w:val="20"/>
          <w:color w:val="auto"/>
        </w:rPr>
      </w:pPr>
    </w:p>
    <w:p>
      <w:pPr>
        <w:ind w:left="880" w:right="3179" w:hanging="440"/>
        <w:spacing w:after="0" w:line="235" w:lineRule="auto"/>
        <w:rPr>
          <w:sz w:val="20"/>
          <w:szCs w:val="20"/>
          <w:color w:val="auto"/>
        </w:rPr>
      </w:pPr>
      <w:r>
        <w:rPr>
          <w:rFonts w:ascii="Courier New" w:cs="Courier New" w:eastAsia="Courier New" w:hAnsi="Courier New"/>
          <w:sz w:val="15"/>
          <w:szCs w:val="15"/>
          <w:color w:val="auto"/>
        </w:rPr>
        <w:t>31.1 Certification</w:t>
      </w:r>
      <w:r>
        <w:rPr>
          <w:sz w:val="20"/>
          <w:szCs w:val="20"/>
          <w:color w:val="auto"/>
        </w:rPr>
        <w:t xml:space="preserve"> </w:t>
      </w:r>
      <w:r>
        <w:rPr>
          <w:rFonts w:ascii="Courier New" w:cs="Courier New" w:eastAsia="Courier New" w:hAnsi="Courier New"/>
          <w:sz w:val="15"/>
          <w:szCs w:val="15"/>
          <w:color w:val="auto"/>
        </w:rPr>
        <w:t>of Chief Executive Officer pursuant to Section 302 of Sarbanes-Oxley Act.</w:t>
      </w:r>
    </w:p>
    <w:p>
      <w:pPr>
        <w:spacing w:after="0" w:line="176" w:lineRule="exact"/>
        <w:rPr>
          <w:sz w:val="20"/>
          <w:szCs w:val="20"/>
          <w:color w:val="auto"/>
        </w:rPr>
      </w:pPr>
    </w:p>
    <w:p>
      <w:pPr>
        <w:ind w:left="880" w:right="3179" w:hanging="440"/>
        <w:spacing w:after="0" w:line="235" w:lineRule="auto"/>
        <w:rPr>
          <w:sz w:val="20"/>
          <w:szCs w:val="20"/>
          <w:color w:val="auto"/>
        </w:rPr>
      </w:pPr>
      <w:r>
        <w:rPr>
          <w:rFonts w:ascii="Courier New" w:cs="Courier New" w:eastAsia="Courier New" w:hAnsi="Courier New"/>
          <w:sz w:val="15"/>
          <w:szCs w:val="15"/>
          <w:color w:val="auto"/>
        </w:rPr>
        <w:t>31.2 Certification</w:t>
      </w:r>
      <w:r>
        <w:rPr>
          <w:sz w:val="20"/>
          <w:szCs w:val="20"/>
          <w:color w:val="auto"/>
        </w:rPr>
        <w:t xml:space="preserve"> </w:t>
      </w:r>
      <w:r>
        <w:rPr>
          <w:rFonts w:ascii="Courier New" w:cs="Courier New" w:eastAsia="Courier New" w:hAnsi="Courier New"/>
          <w:sz w:val="15"/>
          <w:szCs w:val="15"/>
          <w:color w:val="auto"/>
        </w:rPr>
        <w:t>of Chief Financial Officer pursuant to Section 302 of Sarbanes-Oxley Act.</w:t>
      </w:r>
    </w:p>
    <w:p>
      <w:pPr>
        <w:spacing w:after="0" w:line="176" w:lineRule="exact"/>
        <w:rPr>
          <w:sz w:val="20"/>
          <w:szCs w:val="20"/>
          <w:color w:val="auto"/>
        </w:rPr>
      </w:pPr>
    </w:p>
    <w:p>
      <w:pPr>
        <w:ind w:left="880" w:right="3179" w:hanging="440"/>
        <w:spacing w:after="0" w:line="235" w:lineRule="auto"/>
        <w:rPr>
          <w:sz w:val="20"/>
          <w:szCs w:val="20"/>
          <w:color w:val="auto"/>
        </w:rPr>
      </w:pPr>
      <w:r>
        <w:rPr>
          <w:rFonts w:ascii="Courier New" w:cs="Courier New" w:eastAsia="Courier New" w:hAnsi="Courier New"/>
          <w:sz w:val="15"/>
          <w:szCs w:val="15"/>
          <w:color w:val="auto"/>
        </w:rPr>
        <w:t>32.1 Certification</w:t>
      </w:r>
      <w:r>
        <w:rPr>
          <w:sz w:val="20"/>
          <w:szCs w:val="20"/>
          <w:color w:val="auto"/>
        </w:rPr>
        <w:t xml:space="preserve"> </w:t>
      </w:r>
      <w:r>
        <w:rPr>
          <w:rFonts w:ascii="Courier New" w:cs="Courier New" w:eastAsia="Courier New" w:hAnsi="Courier New"/>
          <w:sz w:val="15"/>
          <w:szCs w:val="15"/>
          <w:color w:val="auto"/>
        </w:rPr>
        <w:t>of Chief Executive Officer pursuant to Section 906 of Sarbanes-Oxley Act.</w:t>
      </w:r>
    </w:p>
    <w:p>
      <w:pPr>
        <w:spacing w:after="0" w:line="176" w:lineRule="exact"/>
        <w:rPr>
          <w:sz w:val="20"/>
          <w:szCs w:val="20"/>
          <w:color w:val="auto"/>
        </w:rPr>
      </w:pPr>
    </w:p>
    <w:p>
      <w:pPr>
        <w:ind w:left="880" w:right="3179" w:hanging="440"/>
        <w:spacing w:after="0" w:line="235" w:lineRule="auto"/>
        <w:rPr>
          <w:sz w:val="20"/>
          <w:szCs w:val="20"/>
          <w:color w:val="auto"/>
        </w:rPr>
      </w:pPr>
      <w:r>
        <w:rPr>
          <w:rFonts w:ascii="Courier New" w:cs="Courier New" w:eastAsia="Courier New" w:hAnsi="Courier New"/>
          <w:sz w:val="15"/>
          <w:szCs w:val="15"/>
          <w:color w:val="auto"/>
        </w:rPr>
        <w:t>32.2 Certification</w:t>
      </w:r>
      <w:r>
        <w:rPr>
          <w:sz w:val="20"/>
          <w:szCs w:val="20"/>
          <w:color w:val="auto"/>
        </w:rPr>
        <w:t xml:space="preserve"> </w:t>
      </w:r>
      <w:r>
        <w:rPr>
          <w:rFonts w:ascii="Courier New" w:cs="Courier New" w:eastAsia="Courier New" w:hAnsi="Courier New"/>
          <w:sz w:val="15"/>
          <w:szCs w:val="15"/>
          <w:color w:val="auto"/>
        </w:rPr>
        <w:t>of Chief Financial Officer pursuant to Section 906 of Sarbanes-Oxley Act.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Reports on Form 8-K</w:t>
      </w:r>
    </w:p>
    <w:p>
      <w:pPr>
        <w:spacing w:after="0" w:line="175" w:lineRule="exact"/>
        <w:rPr>
          <w:sz w:val="20"/>
          <w:szCs w:val="20"/>
          <w:color w:val="auto"/>
        </w:rPr>
      </w:pPr>
    </w:p>
    <w:p>
      <w:pPr>
        <w:ind w:left="440" w:right="3179"/>
        <w:spacing w:after="0" w:line="235" w:lineRule="auto"/>
        <w:rPr>
          <w:sz w:val="20"/>
          <w:szCs w:val="20"/>
          <w:color w:val="auto"/>
        </w:rPr>
      </w:pPr>
      <w:r>
        <w:rPr>
          <w:rFonts w:ascii="Courier New" w:cs="Courier New" w:eastAsia="Courier New" w:hAnsi="Courier New"/>
          <w:sz w:val="15"/>
          <w:szCs w:val="15"/>
          <w:color w:val="auto"/>
        </w:rPr>
        <w:t>The Company furnished a Form 8-K, in response to Items 12 and 7, on April 28, 2005 announcing its first quarter 2005 earnings.</w:t>
      </w:r>
    </w:p>
    <w:p>
      <w:pPr>
        <w:spacing w:after="0" w:line="176" w:lineRule="exact"/>
        <w:rPr>
          <w:sz w:val="20"/>
          <w:szCs w:val="20"/>
          <w:color w:val="auto"/>
        </w:rPr>
      </w:pPr>
    </w:p>
    <w:p>
      <w:pPr>
        <w:ind w:left="440" w:right="3179"/>
        <w:spacing w:after="0" w:line="235" w:lineRule="auto"/>
        <w:rPr>
          <w:sz w:val="20"/>
          <w:szCs w:val="20"/>
          <w:color w:val="auto"/>
        </w:rPr>
      </w:pPr>
      <w:r>
        <w:rPr>
          <w:rFonts w:ascii="Courier New" w:cs="Courier New" w:eastAsia="Courier New" w:hAnsi="Courier New"/>
          <w:sz w:val="15"/>
          <w:szCs w:val="15"/>
          <w:color w:val="auto"/>
        </w:rPr>
        <w:t>The Company furnished a Form 8-K, in response to Item 5, on June 10, 2005 announcing the appointment of a Corporate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2" w:right="1440" w:bottom="1440" w:gutter="0" w:footer="0" w:header="0"/>
        </w:sectPr>
      </w:pPr>
    </w:p>
    <w:bookmarkStart w:id="27" w:name="page28"/>
    <w:bookmarkEnd w:id="27"/>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NN, Inc.</w:t>
      </w:r>
    </w:p>
    <w:p>
      <w:pPr>
        <w:ind w:left="3520"/>
        <w:spacing w:after="0"/>
        <w:rPr>
          <w:sz w:val="20"/>
          <w:szCs w:val="20"/>
          <w:color w:val="auto"/>
        </w:rPr>
      </w:pPr>
      <w:r>
        <w:rPr>
          <w:rFonts w:ascii="Courier New" w:cs="Courier New" w:eastAsia="Courier New" w:hAnsi="Courier New"/>
          <w:sz w:val="15"/>
          <w:szCs w:val="15"/>
          <w:color w:val="auto"/>
        </w:rPr>
        <w:t>------------------------------------</w:t>
      </w:r>
    </w:p>
    <w:p>
      <w:pPr>
        <w:ind w:left="440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791" w:right="1440" w:bottom="1440" w:gutter="0" w:footer="0" w:header="0"/>
        </w:sect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August 9, 2005 ------------------------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Roderick R. Baty</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Roderick R. Baty,</w:t>
      </w:r>
    </w:p>
    <w:p>
      <w:pPr>
        <w:ind w:left="360"/>
        <w:spacing w:after="0"/>
        <w:rPr>
          <w:sz w:val="20"/>
          <w:szCs w:val="20"/>
          <w:color w:val="auto"/>
        </w:rPr>
      </w:pPr>
      <w:r>
        <w:rPr>
          <w:rFonts w:ascii="Courier New" w:cs="Courier New" w:eastAsia="Courier New" w:hAnsi="Courier New"/>
          <w:sz w:val="15"/>
          <w:szCs w:val="15"/>
          <w:color w:val="auto"/>
        </w:rPr>
        <w:t>Chairman, President and</w:t>
      </w:r>
    </w:p>
    <w:p>
      <w:pPr>
        <w:ind w:left="360"/>
        <w:spacing w:after="0"/>
        <w:rPr>
          <w:sz w:val="20"/>
          <w:szCs w:val="20"/>
          <w:color w:val="auto"/>
        </w:rPr>
      </w:pPr>
      <w:r>
        <w:rPr>
          <w:rFonts w:ascii="Courier New" w:cs="Courier New" w:eastAsia="Courier New" w:hAnsi="Courier New"/>
          <w:sz w:val="15"/>
          <w:szCs w:val="15"/>
          <w:color w:val="auto"/>
        </w:rPr>
        <w:t>Chief Executive Officer</w:t>
      </w:r>
    </w:p>
    <w:p>
      <w:pPr>
        <w:ind w:left="360"/>
        <w:spacing w:after="0" w:line="238" w:lineRule="auto"/>
        <w:rPr>
          <w:sz w:val="20"/>
          <w:szCs w:val="20"/>
          <w:color w:val="auto"/>
        </w:rPr>
      </w:pPr>
      <w:r>
        <w:rPr>
          <w:rFonts w:ascii="Courier New" w:cs="Courier New" w:eastAsia="Courier New" w:hAnsi="Courier New"/>
          <w:sz w:val="15"/>
          <w:szCs w:val="15"/>
          <w:color w:val="auto"/>
        </w:rPr>
        <w:t>(Duly Authorized Officer)</w:t>
      </w:r>
    </w:p>
    <w:p>
      <w:pPr>
        <w:spacing w:after="0" w:line="200" w:lineRule="exact"/>
        <w:rPr>
          <w:sz w:val="20"/>
          <w:szCs w:val="20"/>
          <w:color w:val="auto"/>
        </w:rPr>
      </w:pPr>
    </w:p>
    <w:p>
      <w:pPr>
        <w:sectPr>
          <w:pgSz w:w="11900" w:h="16838" w:orient="portrait"/>
          <w:cols w:equalWidth="0" w:num="3">
            <w:col w:w="440" w:space="340"/>
            <w:col w:w="2120" w:space="260"/>
            <w:col w:w="7059"/>
          </w:cols>
          <w:pgMar w:left="240" w:top="791"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August 9, 2005 ------------------------</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James H. Dorton</w:t>
      </w: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5"/>
          <w:szCs w:val="15"/>
          <w:color w:val="auto"/>
        </w:rPr>
        <w:t>James H. Dorton</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Vice President - Corporate Development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and Chief Financial Officer</w:t>
      </w:r>
    </w:p>
    <w:p>
      <w:pPr>
        <w:ind w:left="360"/>
        <w:spacing w:after="0"/>
        <w:rPr>
          <w:sz w:val="20"/>
          <w:szCs w:val="20"/>
          <w:color w:val="auto"/>
        </w:rPr>
      </w:pPr>
      <w:r>
        <w:rPr>
          <w:rFonts w:ascii="Courier New" w:cs="Courier New" w:eastAsia="Courier New" w:hAnsi="Courier New"/>
          <w:sz w:val="15"/>
          <w:szCs w:val="15"/>
          <w:color w:val="auto"/>
        </w:rPr>
        <w:t>(Principal Financial Officer)</w:t>
      </w:r>
    </w:p>
    <w:p>
      <w:pPr>
        <w:ind w:left="360"/>
        <w:spacing w:after="0"/>
        <w:rPr>
          <w:sz w:val="20"/>
          <w:szCs w:val="20"/>
          <w:color w:val="auto"/>
        </w:rPr>
      </w:pPr>
      <w:r>
        <w:rPr>
          <w:rFonts w:ascii="Courier New" w:cs="Courier New" w:eastAsia="Courier New" w:hAnsi="Courier New"/>
          <w:sz w:val="15"/>
          <w:szCs w:val="15"/>
          <w:color w:val="auto"/>
        </w:rPr>
        <w:t>(Duly Authorized Officer)</w:t>
      </w:r>
    </w:p>
    <w:p>
      <w:pPr>
        <w:spacing w:after="0" w:line="168" w:lineRule="exact"/>
        <w:rPr>
          <w:sz w:val="20"/>
          <w:szCs w:val="20"/>
          <w:color w:val="auto"/>
        </w:rPr>
      </w:pPr>
    </w:p>
    <w:p>
      <w:pPr>
        <w:sectPr>
          <w:pgSz w:w="11900" w:h="16838" w:orient="portrait"/>
          <w:cols w:equalWidth="0" w:num="3">
            <w:col w:w="440" w:space="340"/>
            <w:col w:w="2120" w:space="260"/>
            <w:col w:w="7059"/>
          </w:cols>
          <w:pgMar w:left="240" w:top="791"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Courier New" w:cs="Courier New" w:eastAsia="Courier New" w:hAnsi="Courier New"/>
          <w:sz w:val="15"/>
          <w:szCs w:val="15"/>
          <w:color w:val="auto"/>
        </w:rPr>
        <w:t>August 9, 2005 ------------------------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William C. Kelly, Jr.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William C. Kelly, Jr.,</w:t>
      </w:r>
    </w:p>
    <w:p>
      <w:pPr>
        <w:ind w:left="360"/>
        <w:spacing w:after="0"/>
        <w:rPr>
          <w:sz w:val="20"/>
          <w:szCs w:val="20"/>
          <w:color w:val="auto"/>
        </w:rPr>
      </w:pPr>
      <w:r>
        <w:rPr>
          <w:rFonts w:ascii="Courier New" w:cs="Courier New" w:eastAsia="Courier New" w:hAnsi="Courier New"/>
          <w:sz w:val="15"/>
          <w:szCs w:val="15"/>
          <w:color w:val="auto"/>
        </w:rPr>
        <w:t>Vice President and</w:t>
      </w:r>
    </w:p>
    <w:p>
      <w:pPr>
        <w:ind w:left="360"/>
        <w:spacing w:after="0"/>
        <w:rPr>
          <w:sz w:val="20"/>
          <w:szCs w:val="20"/>
          <w:color w:val="auto"/>
        </w:rPr>
      </w:pPr>
      <w:r>
        <w:rPr>
          <w:rFonts w:ascii="Courier New" w:cs="Courier New" w:eastAsia="Courier New" w:hAnsi="Courier New"/>
          <w:sz w:val="15"/>
          <w:szCs w:val="15"/>
          <w:color w:val="auto"/>
        </w:rPr>
        <w:t>Chief Administrative Officer</w:t>
      </w:r>
    </w:p>
    <w:p>
      <w:pPr>
        <w:ind w:left="360"/>
        <w:spacing w:after="0" w:line="238" w:lineRule="auto"/>
        <w:rPr>
          <w:sz w:val="20"/>
          <w:szCs w:val="20"/>
          <w:color w:val="auto"/>
        </w:rPr>
      </w:pPr>
      <w:r>
        <w:rPr>
          <w:rFonts w:ascii="Courier New" w:cs="Courier New" w:eastAsia="Courier New" w:hAnsi="Courier New"/>
          <w:sz w:val="15"/>
          <w:szCs w:val="15"/>
          <w:color w:val="auto"/>
        </w:rPr>
        <w:t>(Duly Authorized Officer)</w:t>
      </w:r>
    </w:p>
    <w:p>
      <w:pPr>
        <w:spacing w:after="0" w:line="169" w:lineRule="exact"/>
        <w:rPr>
          <w:sz w:val="20"/>
          <w:szCs w:val="20"/>
          <w:color w:val="auto"/>
        </w:rPr>
      </w:pPr>
    </w:p>
    <w:p>
      <w:pPr>
        <w:sectPr>
          <w:pgSz w:w="11900" w:h="16838" w:orient="portrait"/>
          <w:cols w:equalWidth="0" w:num="3">
            <w:col w:w="440" w:space="340"/>
            <w:col w:w="2120" w:space="260"/>
            <w:col w:w="7059"/>
          </w:cols>
          <w:pgMar w:left="240" w:top="791"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791" w:right="1440" w:bottom="1440" w:gutter="0" w:footer="0" w:header="0"/>
          <w:type w:val="continuous"/>
        </w:sectPr>
      </w:pPr>
    </w:p>
    <w:bookmarkStart w:id="28" w:name="page29"/>
    <w:bookmarkEnd w:id="28"/>
    <w:p>
      <w:pPr>
        <w:jc w:val="right"/>
        <w:ind w:right="3179"/>
        <w:spacing w:after="0"/>
        <w:rPr>
          <w:sz w:val="20"/>
          <w:szCs w:val="20"/>
          <w:color w:val="auto"/>
        </w:rPr>
      </w:pPr>
      <w:r>
        <w:rPr>
          <w:rFonts w:ascii="Courier New" w:cs="Courier New" w:eastAsia="Courier New" w:hAnsi="Courier New"/>
          <w:sz w:val="15"/>
          <w:szCs w:val="15"/>
          <w:color w:val="auto"/>
        </w:rPr>
        <w:t>Exhibit 31.1</w:t>
      </w: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 Roderick R. Baty, certify that:</w:t>
      </w:r>
    </w:p>
    <w:p>
      <w:pPr>
        <w:spacing w:after="0" w:line="169" w:lineRule="exact"/>
        <w:rPr>
          <w:sz w:val="20"/>
          <w:szCs w:val="20"/>
          <w:color w:val="auto"/>
        </w:rPr>
      </w:pPr>
    </w:p>
    <w:p>
      <w:pPr>
        <w:ind w:left="700" w:hanging="269"/>
        <w:spacing w:after="0"/>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NN, Inc.;</w:t>
      </w:r>
    </w:p>
    <w:p>
      <w:pPr>
        <w:spacing w:after="0" w:line="174" w:lineRule="exact"/>
        <w:rPr>
          <w:rFonts w:ascii="Courier New" w:cs="Courier New" w:eastAsia="Courier New" w:hAnsi="Courier New"/>
          <w:sz w:val="15"/>
          <w:szCs w:val="15"/>
          <w:color w:val="auto"/>
        </w:rPr>
      </w:pPr>
    </w:p>
    <w:p>
      <w:pPr>
        <w:jc w:val="both"/>
        <w:ind w:right="3179" w:firstLine="431"/>
        <w:spacing w:after="0" w:line="259" w:lineRule="auto"/>
        <w:tabs>
          <w:tab w:leader="none" w:pos="70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Courier New" w:cs="Courier New" w:eastAsia="Courier New" w:hAnsi="Courier New"/>
          <w:sz w:val="14"/>
          <w:szCs w:val="14"/>
          <w:color w:val="auto"/>
        </w:rPr>
      </w:pPr>
    </w:p>
    <w:p>
      <w:pPr>
        <w:jc w:val="both"/>
        <w:ind w:right="3179" w:firstLine="431"/>
        <w:spacing w:after="0" w:line="237" w:lineRule="auto"/>
        <w:tabs>
          <w:tab w:leader="none" w:pos="7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right="3179" w:firstLine="431"/>
        <w:spacing w:after="0" w:line="237" w:lineRule="auto"/>
        <w:tabs>
          <w:tab w:leader="none" w:pos="7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sz w:val="20"/>
          <w:szCs w:val="20"/>
          <w:color w:val="auto"/>
        </w:rPr>
      </w:pPr>
    </w:p>
    <w:p>
      <w:pPr>
        <w:jc w:val="both"/>
        <w:ind w:left="880" w:right="3179" w:hanging="449"/>
        <w:spacing w:after="0" w:line="238"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76" w:lineRule="exact"/>
        <w:rPr>
          <w:rFonts w:ascii="Courier New" w:cs="Courier New" w:eastAsia="Courier New" w:hAnsi="Courier New"/>
          <w:sz w:val="15"/>
          <w:szCs w:val="15"/>
          <w:color w:val="auto"/>
        </w:rPr>
      </w:pPr>
    </w:p>
    <w:p>
      <w:pPr>
        <w:jc w:val="both"/>
        <w:ind w:left="880" w:right="3179" w:hanging="449"/>
        <w:spacing w:after="0" w:line="238"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right="3179" w:firstLine="431"/>
        <w:spacing w:after="0" w:line="237" w:lineRule="auto"/>
        <w:tabs>
          <w:tab w:leader="none" w:pos="70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left="880" w:right="3179" w:hanging="449"/>
        <w:spacing w:after="0" w:line="237"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13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9, 2005</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Roderick R. Baty</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Roderick R. Baty</w:t>
      </w:r>
    </w:p>
    <w:p>
      <w:pPr>
        <w:ind w:left="360"/>
        <w:spacing w:after="0"/>
        <w:rPr>
          <w:sz w:val="20"/>
          <w:szCs w:val="20"/>
          <w:color w:val="auto"/>
        </w:rPr>
      </w:pPr>
      <w:r>
        <w:rPr>
          <w:rFonts w:ascii="Courier New" w:cs="Courier New" w:eastAsia="Courier New" w:hAnsi="Courier New"/>
          <w:sz w:val="15"/>
          <w:szCs w:val="15"/>
          <w:color w:val="auto"/>
        </w:rPr>
        <w:t>Chairman, President and</w:t>
      </w:r>
    </w:p>
    <w:p>
      <w:pPr>
        <w:ind w:left="36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3">
            <w:col w:w="440" w:space="340"/>
            <w:col w:w="1240" w:space="700"/>
            <w:col w:w="7499"/>
          </w:cols>
          <w:pgMar w:left="240" w:top="136" w:right="1440" w:bottom="1440" w:gutter="0" w:footer="0" w:header="0"/>
          <w:type w:val="continuous"/>
        </w:sectPr>
      </w:pPr>
    </w:p>
    <w:bookmarkStart w:id="29" w:name="page30"/>
    <w:bookmarkEnd w:id="29"/>
    <w:p>
      <w:pPr>
        <w:jc w:val="right"/>
        <w:ind w:right="3179"/>
        <w:spacing w:after="0"/>
        <w:rPr>
          <w:sz w:val="20"/>
          <w:szCs w:val="20"/>
          <w:color w:val="auto"/>
        </w:rPr>
      </w:pPr>
      <w:r>
        <w:rPr>
          <w:rFonts w:ascii="Courier New" w:cs="Courier New" w:eastAsia="Courier New" w:hAnsi="Courier New"/>
          <w:sz w:val="15"/>
          <w:szCs w:val="15"/>
          <w:color w:val="auto"/>
        </w:rPr>
        <w:t>Exhibit 31.2</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 James H. Dorton, certify that:</w:t>
      </w:r>
    </w:p>
    <w:p>
      <w:pPr>
        <w:spacing w:after="0" w:line="169" w:lineRule="exact"/>
        <w:rPr>
          <w:sz w:val="20"/>
          <w:szCs w:val="20"/>
          <w:color w:val="auto"/>
        </w:rPr>
      </w:pPr>
    </w:p>
    <w:p>
      <w:pPr>
        <w:ind w:left="880" w:hanging="449"/>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NN, Inc.;</w:t>
      </w:r>
    </w:p>
    <w:p>
      <w:pPr>
        <w:spacing w:after="0" w:line="174" w:lineRule="exact"/>
        <w:rPr>
          <w:rFonts w:ascii="Courier New" w:cs="Courier New" w:eastAsia="Courier New" w:hAnsi="Courier New"/>
          <w:sz w:val="15"/>
          <w:szCs w:val="15"/>
          <w:color w:val="auto"/>
        </w:rPr>
      </w:pPr>
    </w:p>
    <w:p>
      <w:pPr>
        <w:jc w:val="both"/>
        <w:ind w:right="3179" w:firstLine="431"/>
        <w:spacing w:after="0" w:line="259" w:lineRule="auto"/>
        <w:tabs>
          <w:tab w:leader="none" w:pos="70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Courier New" w:cs="Courier New" w:eastAsia="Courier New" w:hAnsi="Courier New"/>
          <w:sz w:val="14"/>
          <w:szCs w:val="14"/>
          <w:color w:val="auto"/>
        </w:rPr>
      </w:pPr>
    </w:p>
    <w:p>
      <w:pPr>
        <w:jc w:val="both"/>
        <w:ind w:right="3179" w:firstLine="431"/>
        <w:spacing w:after="0" w:line="237" w:lineRule="auto"/>
        <w:tabs>
          <w:tab w:leader="none" w:pos="70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right="3179" w:firstLine="431"/>
        <w:spacing w:after="0" w:line="237" w:lineRule="auto"/>
        <w:tabs>
          <w:tab w:leader="none" w:pos="70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sz w:val="20"/>
          <w:szCs w:val="20"/>
          <w:color w:val="auto"/>
        </w:rPr>
      </w:pPr>
    </w:p>
    <w:p>
      <w:pPr>
        <w:jc w:val="both"/>
        <w:ind w:left="880" w:right="3179" w:hanging="449"/>
        <w:spacing w:after="0" w:line="238"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76" w:lineRule="exact"/>
        <w:rPr>
          <w:rFonts w:ascii="Courier New" w:cs="Courier New" w:eastAsia="Courier New" w:hAnsi="Courier New"/>
          <w:sz w:val="15"/>
          <w:szCs w:val="15"/>
          <w:color w:val="auto"/>
        </w:rPr>
      </w:pPr>
    </w:p>
    <w:p>
      <w:pPr>
        <w:jc w:val="both"/>
        <w:ind w:left="880" w:right="3179" w:hanging="449"/>
        <w:spacing w:after="0" w:line="238"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right="3179" w:firstLine="431"/>
        <w:spacing w:after="0" w:line="237" w:lineRule="auto"/>
        <w:tabs>
          <w:tab w:leader="none" w:pos="70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left="880" w:right="3179" w:hanging="449"/>
        <w:spacing w:after="0" w:line="237"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13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9, 2005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James H. Dorton</w:t>
      </w:r>
    </w:p>
    <w:p>
      <w:pPr>
        <w:ind w:left="340"/>
        <w:spacing w:after="0"/>
        <w:rPr>
          <w:sz w:val="20"/>
          <w:szCs w:val="20"/>
          <w:color w:val="auto"/>
        </w:rPr>
      </w:pPr>
      <w:r>
        <w:rPr>
          <w:rFonts w:ascii="Courier New" w:cs="Courier New" w:eastAsia="Courier New" w:hAnsi="Courier New"/>
          <w:sz w:val="15"/>
          <w:szCs w:val="15"/>
          <w:color w:val="auto"/>
        </w:rPr>
        <w:t>-------------------</w:t>
      </w:r>
    </w:p>
    <w:p>
      <w:pPr>
        <w:ind w:left="340"/>
        <w:spacing w:after="0"/>
        <w:rPr>
          <w:sz w:val="20"/>
          <w:szCs w:val="20"/>
          <w:color w:val="auto"/>
        </w:rPr>
      </w:pPr>
      <w:r>
        <w:rPr>
          <w:rFonts w:ascii="Courier New" w:cs="Courier New" w:eastAsia="Courier New" w:hAnsi="Courier New"/>
          <w:sz w:val="15"/>
          <w:szCs w:val="15"/>
          <w:color w:val="auto"/>
        </w:rPr>
        <w:t>James H. Dorton</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3">
            <w:col w:w="440" w:space="160"/>
            <w:col w:w="2200" w:space="720"/>
            <w:col w:w="6699"/>
          </w:cols>
          <w:pgMar w:left="240" w:top="136" w:right="1440" w:bottom="1440" w:gutter="0" w:footer="0" w:header="0"/>
          <w:type w:val="continuous"/>
        </w:sectPr>
      </w:pPr>
    </w:p>
    <w:bookmarkStart w:id="30" w:name="page31"/>
    <w:bookmarkEnd w:id="30"/>
    <w:p>
      <w:pPr>
        <w:jc w:val="right"/>
        <w:ind w:right="3179"/>
        <w:spacing w:after="0"/>
        <w:rPr>
          <w:sz w:val="20"/>
          <w:szCs w:val="20"/>
          <w:color w:val="auto"/>
        </w:rPr>
      </w:pPr>
      <w:r>
        <w:rPr>
          <w:rFonts w:ascii="Courier New" w:cs="Courier New" w:eastAsia="Courier New" w:hAnsi="Courier New"/>
          <w:sz w:val="15"/>
          <w:szCs w:val="15"/>
          <w:color w:val="auto"/>
        </w:rPr>
        <w:t>Exhibit 32.1</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CERTIFICATION OF CHIEF EXECUTIVE OFFICER PURSUANT</w:t>
      </w:r>
    </w:p>
    <w:p>
      <w:pPr>
        <w:ind w:left="1400"/>
        <w:spacing w:after="0"/>
        <w:rPr>
          <w:sz w:val="20"/>
          <w:szCs w:val="20"/>
          <w:color w:val="auto"/>
        </w:rPr>
      </w:pPr>
      <w:r>
        <w:rPr>
          <w:rFonts w:ascii="Courier New" w:cs="Courier New" w:eastAsia="Courier New" w:hAnsi="Courier New"/>
          <w:sz w:val="15"/>
          <w:szCs w:val="15"/>
          <w:color w:val="auto"/>
        </w:rPr>
        <w:t>TO SECTION 906 OF THE SARBANES-OXLEY ACT OF 2002</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connection with the Quarterly Report of NN, Inc. (the "Company") on Form 10-Q for the interim period ended June 30, 2005,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19"/>
          </w:cols>
          <w:pgMar w:left="240" w:top="136" w:right="1440" w:bottom="144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9, 2005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Roderick R. Baty</w:t>
      </w: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5"/>
          <w:szCs w:val="15"/>
          <w:color w:val="auto"/>
        </w:rPr>
        <w:t>Roderick R. Baty</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Chairman, President and Chief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Executive Officer</w:t>
      </w:r>
    </w:p>
    <w:p>
      <w:pPr>
        <w:spacing w:after="0" w:line="200" w:lineRule="exact"/>
        <w:rPr>
          <w:sz w:val="20"/>
          <w:szCs w:val="20"/>
          <w:color w:val="auto"/>
        </w:rPr>
      </w:pPr>
    </w:p>
    <w:p>
      <w:pPr>
        <w:sectPr>
          <w:pgSz w:w="11900" w:h="16838" w:orient="portrait"/>
          <w:cols w:equalWidth="0" w:num="3">
            <w:col w:w="440" w:space="160"/>
            <w:col w:w="1840" w:space="720"/>
            <w:col w:w="7059"/>
          </w:cols>
          <w:pgMar w:left="240" w:top="136" w:right="1440" w:bottom="1440" w:gutter="0" w:footer="0" w:header="0"/>
          <w:type w:val="continuous"/>
        </w:sectPr>
      </w:pPr>
    </w:p>
    <w:p>
      <w:pPr>
        <w:spacing w:after="0" w:line="144"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0219"/>
          </w:cols>
          <w:pgMar w:left="240" w:top="136" w:right="1440" w:bottom="1440" w:gutter="0" w:footer="0" w:header="0"/>
          <w:type w:val="continuous"/>
        </w:sectPr>
      </w:pPr>
    </w:p>
    <w:bookmarkStart w:id="31" w:name="page32"/>
    <w:bookmarkEnd w:id="31"/>
    <w:p>
      <w:pPr>
        <w:jc w:val="right"/>
        <w:ind w:right="3179"/>
        <w:spacing w:after="0"/>
        <w:rPr>
          <w:sz w:val="20"/>
          <w:szCs w:val="20"/>
          <w:color w:val="auto"/>
        </w:rPr>
      </w:pPr>
      <w:r>
        <w:rPr>
          <w:rFonts w:ascii="Courier New" w:cs="Courier New" w:eastAsia="Courier New" w:hAnsi="Courier New"/>
          <w:sz w:val="15"/>
          <w:szCs w:val="15"/>
          <w:color w:val="auto"/>
        </w:rPr>
        <w:t>Exhibit 32.2</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CERTIFICATION OF CHIEF FINANCIAL OFFICER PURSUANT</w:t>
      </w:r>
    </w:p>
    <w:p>
      <w:pPr>
        <w:ind w:left="1400"/>
        <w:spacing w:after="0"/>
        <w:rPr>
          <w:sz w:val="20"/>
          <w:szCs w:val="20"/>
          <w:color w:val="auto"/>
        </w:rPr>
      </w:pPr>
      <w:r>
        <w:rPr>
          <w:rFonts w:ascii="Courier New" w:cs="Courier New" w:eastAsia="Courier New" w:hAnsi="Courier New"/>
          <w:sz w:val="15"/>
          <w:szCs w:val="15"/>
          <w:color w:val="auto"/>
        </w:rPr>
        <w:t>TO SECTION 906 OF THE SARBANES-OXLEY ACT OF 2002</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connection with the Quarterly Report of NN, Inc. (the "Company") on Form 10-Q for the interim period ended June 30, 2005,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19"/>
          </w:cols>
          <w:pgMar w:left="240" w:top="136" w:right="1440" w:bottom="144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9, 2005</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James H. Dorton</w:t>
      </w: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5"/>
          <w:szCs w:val="15"/>
          <w:color w:val="auto"/>
        </w:rPr>
        <w:t>James H. Dorton</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Chief Financial Officer</w:t>
      </w:r>
    </w:p>
    <w:p>
      <w:pPr>
        <w:spacing w:after="0" w:line="180" w:lineRule="exact"/>
        <w:rPr>
          <w:sz w:val="20"/>
          <w:szCs w:val="20"/>
          <w:color w:val="auto"/>
        </w:rPr>
      </w:pPr>
    </w:p>
    <w:p>
      <w:pPr>
        <w:sectPr>
          <w:pgSz w:w="11900" w:h="16838" w:orient="portrait"/>
          <w:cols w:equalWidth="0" w:num="3">
            <w:col w:w="440" w:space="160"/>
            <w:col w:w="2100" w:space="720"/>
            <w:col w:w="6799"/>
          </w:cols>
          <w:pgMar w:left="240" w:top="136" w:right="1440" w:bottom="1440" w:gutter="0" w:footer="0" w:header="0"/>
          <w:type w:val="continuous"/>
        </w:sectPr>
      </w:pPr>
    </w:p>
    <w:p>
      <w:pPr>
        <w:jc w:val="both"/>
        <w:ind w:right="3179"/>
        <w:spacing w:after="0" w:line="237"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o"/>
      <w:numFmt w:val="bullet"/>
      <w:start w:val="1"/>
    </w:lvl>
  </w:abstractNum>
  <w:abstractNum w:abstractNumId="5">
    <w:nsid w:val="109CF92E"/>
    <w:multiLevelType w:val="hybridMultilevel"/>
    <w:lvl w:ilvl="0">
      <w:lvlJc w:val="left"/>
      <w:lvlText w:val="o"/>
      <w:numFmt w:val="bullet"/>
      <w:start w:val="1"/>
    </w:lvl>
  </w:abstractNum>
  <w:abstractNum w:abstractNumId="6">
    <w:nsid w:val="DED7263"/>
    <w:multiLevelType w:val="hybridMultilevel"/>
    <w:lvl w:ilvl="0">
      <w:lvlJc w:val="left"/>
      <w:lvlText w:val="o"/>
      <w:numFmt w:val="bullet"/>
      <w:start w:val="1"/>
    </w:lvl>
  </w:abstractNum>
  <w:abstractNum w:abstractNumId="7">
    <w:nsid w:val="7FDCC233"/>
    <w:multiLevelType w:val="hybridMultilevel"/>
    <w:lvl w:ilvl="0">
      <w:lvlJc w:val="left"/>
      <w:lvlText w:val="o"/>
      <w:numFmt w:val="bullet"/>
      <w:start w:val="1"/>
    </w:lvl>
  </w:abstractNum>
  <w:abstractNum w:abstractNumId="8">
    <w:nsid w:val="1BEFD79F"/>
    <w:multiLevelType w:val="hybridMultilevel"/>
    <w:lvl w:ilvl="0">
      <w:lvlJc w:val="left"/>
      <w:lvlText w:val="o"/>
      <w:numFmt w:val="bullet"/>
      <w:start w:val="1"/>
    </w:lvl>
  </w:abstractNum>
  <w:abstractNum w:abstractNumId="9">
    <w:nsid w:val="41A7C4C9"/>
    <w:multiLevelType w:val="hybridMultilevel"/>
    <w:lvl w:ilvl="0">
      <w:lvlJc w:val="left"/>
      <w:lvlText w:val="%1"/>
      <w:numFmt w:val="upperLetter"/>
      <w:start w:val="40"/>
    </w:lvl>
  </w:abstractNum>
  <w:abstractNum w:abstractNumId="10">
    <w:nsid w:val="6B68079A"/>
    <w:multiLevelType w:val="hybridMultilevel"/>
    <w:lvl w:ilvl="0">
      <w:lvlJc w:val="left"/>
      <w:lvlText w:val="o"/>
      <w:numFmt w:val="bullet"/>
      <w:start w:val="1"/>
    </w:lvl>
  </w:abstractNum>
  <w:abstractNum w:abstractNumId="11">
    <w:nsid w:val="4E6AFB66"/>
    <w:multiLevelType w:val="hybridMultilevel"/>
    <w:lvl w:ilvl="0">
      <w:lvlJc w:val="left"/>
      <w:lvlText w:val="o"/>
      <w:numFmt w:val="bullet"/>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5"/>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5"/>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2019-12-11T23:52:07Z</dcterms:created>
  <dcterms:modified xsi:type="dcterms:W3CDTF">2019-12-11T23:52:07Z</dcterms:modified>
</cp:coreProperties>
</file>