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128270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7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155575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32" w:lineRule="exact"/>
        <w:rPr>
          <w:sz w:val="24"/>
          <w:szCs w:val="24"/>
          <w:color w:val="auto"/>
        </w:rPr>
      </w:pPr>
    </w:p>
    <w:p>
      <w:pPr>
        <w:ind w:left="1320" w:hanging="336"/>
        <w:spacing w:after="0"/>
        <w:tabs>
          <w:tab w:leader="none" w:pos="13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1320" w:hanging="336"/>
        <w:spacing w:after="0"/>
        <w:tabs>
          <w:tab w:leader="none" w:pos="13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64770</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201930</wp:posOffset>
            </wp:positionV>
            <wp:extent cx="39433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121285</wp:posOffset>
            </wp:positionV>
            <wp:extent cx="2597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1140"/>
          </w:cols>
          <w:pgMar w:left="320" w:top="1397" w:right="439" w:bottom="1440" w:gutter="0" w:footer="0" w:header="0"/>
        </w:sectPr>
      </w:pPr>
    </w:p>
    <w:p>
      <w:pPr>
        <w:spacing w:after="0" w:line="323"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62-1096725</w:t>
      </w:r>
    </w:p>
    <w:p>
      <w:pPr>
        <w:spacing w:after="0" w:line="111" w:lineRule="exact"/>
        <w:rPr>
          <w:sz w:val="24"/>
          <w:szCs w:val="24"/>
          <w:color w:val="auto"/>
        </w:rPr>
      </w:pPr>
    </w:p>
    <w:p>
      <w:pPr>
        <w:sectPr>
          <w:pgSz w:w="11900" w:h="16838" w:orient="portrait"/>
          <w:cols w:equalWidth="0" w:num="2">
            <w:col w:w="6920" w:space="720"/>
            <w:col w:w="3500"/>
          </w:cols>
          <w:pgMar w:left="320" w:top="1397" w:right="439" w:bottom="1440" w:gutter="0" w:footer="0" w:header="0"/>
          <w:type w:val="continuous"/>
        </w:sectPr>
      </w:pPr>
    </w:p>
    <w:p>
      <w:pPr>
        <w:ind w:left="234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p>
      <w:pPr>
        <w:ind w:left="228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500"/>
        <w:spacing w:after="0"/>
        <w:rPr>
          <w:sz w:val="20"/>
          <w:szCs w:val="20"/>
          <w:color w:val="auto"/>
        </w:rPr>
      </w:pPr>
      <w:r>
        <w:rPr>
          <w:rFonts w:ascii="Times New Roman" w:cs="Times New Roman" w:eastAsia="Times New Roman" w:hAnsi="Times New Roman"/>
          <w:sz w:val="16"/>
          <w:szCs w:val="16"/>
          <w:i w:val="1"/>
          <w:iCs w:val="1"/>
          <w:color w:val="auto"/>
        </w:rPr>
        <w:t>(I.R.S. Employer</w:t>
      </w:r>
    </w:p>
    <w:p>
      <w:pPr>
        <w:jc w:val="center"/>
        <w:ind w:right="2500"/>
        <w:spacing w:after="0"/>
        <w:rPr>
          <w:sz w:val="20"/>
          <w:szCs w:val="20"/>
          <w:color w:val="auto"/>
        </w:rPr>
      </w:pPr>
      <w:r>
        <w:rPr>
          <w:rFonts w:ascii="Times New Roman" w:cs="Times New Roman" w:eastAsia="Times New Roman" w:hAnsi="Times New Roman"/>
          <w:sz w:val="16"/>
          <w:szCs w:val="16"/>
          <w:i w:val="1"/>
          <w:iCs w:val="1"/>
          <w:color w:val="auto"/>
        </w:rPr>
        <w:t>Identification No.)</w:t>
      </w:r>
    </w:p>
    <w:p>
      <w:pPr>
        <w:spacing w:after="0" w:line="80" w:lineRule="exact"/>
        <w:rPr>
          <w:sz w:val="24"/>
          <w:szCs w:val="24"/>
          <w:color w:val="auto"/>
        </w:rPr>
      </w:pPr>
    </w:p>
    <w:p>
      <w:pPr>
        <w:sectPr>
          <w:pgSz w:w="11900" w:h="16838" w:orient="portrait"/>
          <w:cols w:equalWidth="0" w:num="2">
            <w:col w:w="6720" w:space="720"/>
            <w:col w:w="3700"/>
          </w:cols>
          <w:pgMar w:left="320" w:top="1397" w:right="439" w:bottom="1440" w:gutter="0" w:footer="0" w:header="0"/>
          <w:type w:val="continuous"/>
        </w:sectPr>
      </w:pPr>
    </w:p>
    <w:p>
      <w:pPr>
        <w:ind w:left="4460"/>
        <w:spacing w:after="0"/>
        <w:rPr>
          <w:sz w:val="20"/>
          <w:szCs w:val="20"/>
          <w:color w:val="auto"/>
        </w:rPr>
      </w:pPr>
      <w:r>
        <w:rPr>
          <w:rFonts w:ascii="Times New Roman" w:cs="Times New Roman" w:eastAsia="Times New Roman" w:hAnsi="Times New Roman"/>
          <w:sz w:val="16"/>
          <w:szCs w:val="16"/>
          <w:b w:val="1"/>
          <w:bCs w:val="1"/>
          <w:color w:val="auto"/>
        </w:rPr>
        <w:t>6210 Ardrey Kell Road, Suite 600</w:t>
      </w:r>
    </w:p>
    <w:p>
      <w:pPr>
        <w:spacing w:after="0" w:line="12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Charlotte, North Carolina 28277</w:t>
      </w:r>
    </w:p>
    <w:p>
      <w:pPr>
        <w:spacing w:after="0" w:line="1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(980) 264-4300</w:t>
      </w:r>
    </w:p>
    <w:p>
      <w:pPr>
        <w:spacing w:after="0" w:line="12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1140"/>
          </w:cols>
          <w:pgMar w:left="320" w:top="1397" w:right="439" w:bottom="1440" w:gutter="0" w:footer="0" w:header="0"/>
          <w:type w:val="continuous"/>
        </w:sectPr>
      </w:pPr>
    </w:p>
    <w:p>
      <w:pPr>
        <w:spacing w:after="0" w:line="55"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55" w:lineRule="exact"/>
        <w:rPr>
          <w:sz w:val="24"/>
          <w:szCs w:val="24"/>
          <w:color w:val="auto"/>
        </w:rPr>
      </w:pPr>
    </w:p>
    <w:p>
      <w:pPr>
        <w:sectPr>
          <w:pgSz w:w="11900" w:h="16838" w:orient="portrait"/>
          <w:cols w:equalWidth="0" w:num="3">
            <w:col w:w="4480" w:space="720"/>
            <w:col w:w="1520" w:space="720"/>
            <w:col w:w="3700"/>
          </w:cols>
          <w:pgMar w:left="320" w:top="1397"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200" w:lineRule="exact"/>
        <w:rPr>
          <w:sz w:val="24"/>
          <w:szCs w:val="24"/>
          <w:color w:val="auto"/>
        </w:rPr>
      </w:pPr>
    </w:p>
    <w:p>
      <w:pPr>
        <w:sectPr>
          <w:pgSz w:w="11900" w:h="16838" w:orient="portrait"/>
          <w:cols w:equalWidth="0" w:num="3">
            <w:col w:w="4720" w:space="720"/>
            <w:col w:w="1580" w:space="720"/>
            <w:col w:w="3400"/>
          </w:cols>
          <w:pgMar w:left="320" w:top="1397" w:right="439" w:bottom="1440" w:gutter="0" w:footer="0" w:header="0"/>
          <w:type w:val="continuous"/>
        </w:sectPr>
      </w:pPr>
    </w:p>
    <w:p>
      <w:pPr>
        <w:spacing w:after="0" w:line="33" w:lineRule="exact"/>
        <w:rPr>
          <w:sz w:val="24"/>
          <w:szCs w:val="24"/>
          <w:color w:val="auto"/>
        </w:rPr>
      </w:pPr>
    </w:p>
    <w:p>
      <w:pPr>
        <w:ind w:right="1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5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980" w:type="dxa"/>
        <w:tblCellMar>
          <w:top w:w="0" w:type="dxa"/>
          <w:left w:w="0" w:type="dxa"/>
          <w:bottom w:w="0" w:type="dxa"/>
          <w:right w:w="0" w:type="dxa"/>
        </w:tblCellMar>
      </w:tblPr>
      <w:tr>
        <w:trPr>
          <w:trHeight w:val="239"/>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12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3"/>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12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12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8" w:lineRule="exact"/>
        <w:rPr>
          <w:sz w:val="24"/>
          <w:szCs w:val="24"/>
          <w:color w:val="auto"/>
        </w:rPr>
      </w:pPr>
    </w:p>
    <w:p>
      <w:pPr>
        <w:ind w:right="460"/>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35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July 29, 2022, there were 43,884,408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397"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117" w:lineRule="exact"/>
        <w:rPr>
          <w:sz w:val="20"/>
          <w:szCs w:val="20"/>
          <w:color w:val="auto"/>
        </w:rPr>
      </w:pPr>
    </w:p>
    <w:p>
      <w:pPr>
        <w:ind w:left="1380"/>
        <w:spacing w:after="0"/>
        <w:tabs>
          <w:tab w:leader="none" w:pos="23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u w:val="single" w:color="auto"/>
          <w:color w:val="0000FF"/>
        </w:rPr>
        <w:t>Financial Statements</w:t>
      </w:r>
    </w:p>
    <w:p>
      <w:pPr>
        <w:spacing w:after="0" w:line="10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 and Comprehensive Income (Loss)</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(Unaudited)</w:t>
      </w:r>
    </w:p>
    <w:p>
      <w:pPr>
        <w:spacing w:after="0" w:line="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Changes in Stockholders’ Equity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Notes to Condensed Consolidated Financial Statements (Unaudited)</w:t>
      </w:r>
    </w:p>
    <w:p>
      <w:pPr>
        <w:spacing w:after="0" w:line="5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 Interim Financial Statements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2. Segment Information</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3. Inventories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4. Intangible Assets, Net</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5. Investment in Joint Venture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6. Income Taxes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7. Debt</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8. Leases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9. Commitments and Contingencies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10. Preferred Stock and Stockholders' Equity</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11. Revenue from Contracts with Customers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12. Share-Based Compensation</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13. Accumulated Other Comprehensive Income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14. Net Income (Loss) Per Common Share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15. Fair Value Measurements</w:t>
      </w:r>
    </w:p>
    <w:p>
      <w:pPr>
        <w:spacing w:after="0" w:line="131" w:lineRule="exact"/>
        <w:rPr>
          <w:sz w:val="20"/>
          <w:szCs w:val="20"/>
          <w:color w:val="auto"/>
        </w:rPr>
      </w:pPr>
    </w:p>
    <w:p>
      <w:pPr>
        <w:jc w:val="right"/>
        <w:ind w:right="140"/>
        <w:spacing w:after="0"/>
        <w:tabs>
          <w:tab w:leader="none" w:pos="65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117" w:lineRule="exact"/>
        <w:rPr>
          <w:sz w:val="20"/>
          <w:szCs w:val="20"/>
          <w:color w:val="auto"/>
        </w:rPr>
      </w:pPr>
    </w:p>
    <w:p>
      <w:pPr>
        <w:ind w:left="1220"/>
        <w:spacing w:after="0"/>
        <w:tabs>
          <w:tab w:leader="none" w:pos="23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117" w:lineRule="exact"/>
        <w:rPr>
          <w:sz w:val="20"/>
          <w:szCs w:val="20"/>
          <w:color w:val="auto"/>
        </w:rPr>
      </w:pPr>
    </w:p>
    <w:p>
      <w:pPr>
        <w:ind w:left="1220"/>
        <w:spacing w:after="0"/>
        <w:tabs>
          <w:tab w:leader="none" w:pos="23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0000FF"/>
        </w:rPr>
        <w:t>Controls and Procedures</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FF"/>
        </w:rPr>
        <w:t>PART II. OTHER INFORMATION</w:t>
      </w:r>
    </w:p>
    <w:p>
      <w:pPr>
        <w:spacing w:after="0" w:line="104"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21"/>
                <w:szCs w:val="21"/>
                <w:color w:val="auto"/>
              </w:rPr>
            </w:pPr>
          </w:p>
        </w:tc>
        <w:tc>
          <w:tcPr>
            <w:tcW w:w="3020" w:type="dxa"/>
            <w:vAlign w:val="bottom"/>
            <w:gridSpan w:val="3"/>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2580" w:type="dxa"/>
            <w:vAlign w:val="bottom"/>
            <w:gridSpan w:val="2"/>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5.</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3040" w:type="dxa"/>
            <w:vAlign w:val="bottom"/>
            <w:gridSpan w:val="4"/>
          </w:tcPr>
          <w:p>
            <w:pPr>
              <w:spacing w:after="0"/>
              <w:rPr>
                <w:sz w:val="21"/>
                <w:szCs w:val="2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20</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23</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29</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30</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32</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32</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32</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32</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33</w:t>
      </w:r>
    </w:p>
    <w:p>
      <w:pPr>
        <w:sectPr>
          <w:pgSz w:w="11900" w:h="16838" w:orient="portrait"/>
          <w:cols w:equalWidth="0" w:num="2">
            <w:col w:w="8980" w:space="720"/>
            <w:col w:w="520"/>
          </w:cols>
          <w:pgMar w:left="320" w:top="369" w:right="1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123,157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253,429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249,961</w:t>
            </w:r>
          </w:p>
        </w:tc>
        <w:tc>
          <w:tcPr>
            <w:tcW w:w="0" w:type="dxa"/>
            <w:vAlign w:val="bottom"/>
          </w:tcPr>
          <w:p>
            <w:pPr>
              <w:spacing w:after="0"/>
              <w:rPr>
                <w:sz w:val="1"/>
                <w:szCs w:val="1"/>
                <w:color w:val="auto"/>
              </w:rPr>
            </w:pPr>
          </w:p>
        </w:tc>
      </w:tr>
      <w:tr>
        <w:trPr>
          <w:trHeight w:val="195"/>
        </w:trPr>
        <w:tc>
          <w:tcPr>
            <w:tcW w:w="5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sales (exclusive of depreciation and amortization shown separately below)</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208,467</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199,485</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28,160</w:t>
            </w:r>
          </w:p>
        </w:tc>
        <w:tc>
          <w:tcPr>
            <w:tcW w:w="0" w:type="dxa"/>
            <w:vAlign w:val="bottom"/>
          </w:tcPr>
          <w:p>
            <w:pPr>
              <w:spacing w:after="0"/>
              <w:rPr>
                <w:sz w:val="1"/>
                <w:szCs w:val="1"/>
                <w:color w:val="auto"/>
              </w:rPr>
            </w:pPr>
          </w:p>
        </w:tc>
      </w:tr>
      <w:tr>
        <w:trPr>
          <w:trHeight w:val="195"/>
        </w:trPr>
        <w:tc>
          <w:tcPr>
            <w:tcW w:w="5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23,255</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operating expense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89"/>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0" w:type="dxa"/>
            <w:vAlign w:val="bottom"/>
          </w:tcPr>
          <w:p>
            <w:pPr>
              <w:spacing w:after="0"/>
              <w:rPr>
                <w:sz w:val="1"/>
                <w:szCs w:val="1"/>
                <w:color w:val="auto"/>
              </w:rPr>
            </w:pPr>
          </w:p>
        </w:tc>
      </w:tr>
      <w:tr>
        <w:trPr>
          <w:trHeight w:val="195"/>
        </w:trPr>
        <w:tc>
          <w:tcPr>
            <w:tcW w:w="5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extinguishment of debt and write-off of debt issuance costs</w:t>
            </w: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Derivative payments on interest rate swap</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0" w:type="dxa"/>
            <w:vAlign w:val="bottom"/>
          </w:tcPr>
          <w:p>
            <w:pPr>
              <w:spacing w:after="0"/>
              <w:rPr>
                <w:sz w:val="1"/>
                <w:szCs w:val="1"/>
                <w:color w:val="auto"/>
              </w:rPr>
            </w:pPr>
          </w:p>
        </w:tc>
      </w:tr>
      <w:tr>
        <w:trPr>
          <w:trHeight w:val="195"/>
        </w:trPr>
        <w:tc>
          <w:tcPr>
            <w:tcW w:w="5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interest rate swap</w:t>
            </w: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expense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0" w:type="dxa"/>
            <w:vAlign w:val="bottom"/>
          </w:tcPr>
          <w:p>
            <w:pPr>
              <w:spacing w:after="0"/>
              <w:rPr>
                <w:sz w:val="1"/>
                <w:szCs w:val="1"/>
                <w:color w:val="auto"/>
              </w:rPr>
            </w:pPr>
          </w:p>
        </w:tc>
      </w:tr>
      <w:tr>
        <w:trPr>
          <w:trHeight w:val="189"/>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benefit (provision) for income taxes and share of net income from joint venture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(11,798)</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(13,905)</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Share of net income from joint venture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2,614</w:t>
            </w: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(11,869)</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(10,304)</w:t>
            </w:r>
          </w:p>
        </w:tc>
        <w:tc>
          <w:tcPr>
            <w:tcW w:w="0" w:type="dxa"/>
            <w:vAlign w:val="bottom"/>
          </w:tcPr>
          <w:p>
            <w:pPr>
              <w:spacing w:after="0"/>
              <w:rPr>
                <w:sz w:val="1"/>
                <w:szCs w:val="1"/>
                <w:color w:val="auto"/>
              </w:rPr>
            </w:pPr>
          </w:p>
        </w:tc>
      </w:tr>
      <w:tr>
        <w:trPr>
          <w:trHeight w:val="17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gain (loss)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195"/>
        </w:trPr>
        <w:tc>
          <w:tcPr>
            <w:tcW w:w="5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rate swap:</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Change in fair value, net of tax</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Reclassification adjustment for losses included in net loss, net of tax</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0" w:type="dxa"/>
            <w:vAlign w:val="bottom"/>
          </w:tcPr>
          <w:p>
            <w:pPr>
              <w:spacing w:after="0"/>
              <w:rPr>
                <w:sz w:val="1"/>
                <w:szCs w:val="1"/>
                <w:color w:val="auto"/>
              </w:rPr>
            </w:pPr>
          </w:p>
        </w:tc>
      </w:t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(16,653)</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(16,134)</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(6,391)</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net loss per common share:</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loss per common share</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43,561</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Diluted net loss per common share: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loss per common share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44,649</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43,561</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Pr>
          <w:p>
            <w:pPr>
              <w:spacing w:after="0"/>
              <w:rPr>
                <w:sz w:val="13"/>
                <w:szCs w:val="13"/>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87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28,656</w:t>
            </w: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 net of allowances of $1,762 and $1,352 at June 30, 2022 and December 31, 2021, respectively</w:t>
            </w: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82,621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71,419</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84,726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75,027</w:t>
            </w: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 receivable</w:t>
            </w: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11,808</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9,372</w:t>
            </w:r>
          </w:p>
        </w:tc>
        <w:tc>
          <w:tcPr>
            <w:tcW w:w="0" w:type="dxa"/>
            <w:vAlign w:val="bottom"/>
          </w:tcPr>
          <w:p>
            <w:pPr>
              <w:spacing w:after="0"/>
              <w:rPr>
                <w:sz w:val="1"/>
                <w:szCs w:val="1"/>
                <w:color w:val="auto"/>
              </w:rPr>
            </w:pPr>
          </w:p>
        </w:tc>
      </w:tr>
      <w:tr>
        <w:trPr>
          <w:trHeight w:val="189"/>
        </w:trPr>
        <w:tc>
          <w:tcPr>
            <w:tcW w:w="87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206,731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196,282</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 net of accumulated depreciation of $210,618 and $197,936 at June 30, 2022 and December 31, 2021, respectively</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202,239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209,105</w:t>
            </w:r>
          </w:p>
        </w:tc>
        <w:tc>
          <w:tcPr>
            <w:tcW w:w="0" w:type="dxa"/>
            <w:vAlign w:val="bottom"/>
          </w:tcPr>
          <w:p>
            <w:pPr>
              <w:spacing w:after="0"/>
              <w:rPr>
                <w:sz w:val="1"/>
                <w:szCs w:val="1"/>
                <w:color w:val="auto"/>
              </w:rPr>
            </w:pPr>
          </w:p>
        </w:tc>
      </w:tr>
      <w:tr>
        <w:trPr>
          <w:trHeight w:val="195"/>
        </w:trPr>
        <w:tc>
          <w:tcPr>
            <w:tcW w:w="8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46,042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46,443</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81,545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88,718</w:t>
            </w:r>
          </w:p>
        </w:tc>
        <w:tc>
          <w:tcPr>
            <w:tcW w:w="0" w:type="dxa"/>
            <w:vAlign w:val="bottom"/>
          </w:tcPr>
          <w:p>
            <w:pPr>
              <w:spacing w:after="0"/>
              <w:rPr>
                <w:sz w:val="1"/>
                <w:szCs w:val="1"/>
                <w:color w:val="auto"/>
              </w:rPr>
            </w:pPr>
          </w:p>
        </w:tc>
      </w:tr>
      <w:tr>
        <w:trPr>
          <w:trHeight w:val="195"/>
        </w:trPr>
        <w:tc>
          <w:tcPr>
            <w:tcW w:w="8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in joint venture</w:t>
            </w: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30,875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34,045</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 assets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5,350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0" w:type="dxa"/>
            <w:vAlign w:val="bottom"/>
          </w:tcPr>
          <w:p>
            <w:pPr>
              <w:spacing w:after="0"/>
              <w:rPr>
                <w:sz w:val="1"/>
                <w:szCs w:val="1"/>
                <w:color w:val="auto"/>
              </w:rPr>
            </w:pPr>
          </w:p>
        </w:tc>
      </w:tr>
      <w:tr>
        <w:trPr>
          <w:trHeight w:val="221"/>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573,157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579,101</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Preferred Stock,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7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47,859</w:t>
            </w:r>
          </w:p>
        </w:tc>
        <w:tc>
          <w:tcPr>
            <w:tcW w:w="10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36,710</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salaries, wages and benefits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17,739</w:t>
            </w: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 payable</w:t>
            </w: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w:t>
            </w: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5,704</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0" w:type="dxa"/>
            <w:vAlign w:val="bottom"/>
          </w:tcPr>
          <w:p>
            <w:pPr>
              <w:spacing w:after="0"/>
              <w:rPr>
                <w:sz w:val="1"/>
                <w:szCs w:val="1"/>
                <w:color w:val="auto"/>
              </w:rPr>
            </w:pPr>
          </w:p>
        </w:tc>
      </w:tr>
      <w:tr>
        <w:trPr>
          <w:trHeight w:val="189"/>
        </w:trPr>
        <w:tc>
          <w:tcPr>
            <w:tcW w:w="87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84,444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74,017</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7,456</w:t>
            </w:r>
          </w:p>
        </w:tc>
        <w:tc>
          <w:tcPr>
            <w:tcW w:w="0" w:type="dxa"/>
            <w:vAlign w:val="bottom"/>
          </w:tcPr>
          <w:p>
            <w:pPr>
              <w:spacing w:after="0"/>
              <w:rPr>
                <w:sz w:val="1"/>
                <w:szCs w:val="1"/>
                <w:color w:val="auto"/>
              </w:rPr>
            </w:pPr>
          </w:p>
        </w:tc>
      </w:tr>
      <w:tr>
        <w:trPr>
          <w:trHeight w:val="195"/>
        </w:trPr>
        <w:tc>
          <w:tcPr>
            <w:tcW w:w="8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151,317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151,052</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50,899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51,295</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13,031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17,289</w:t>
            </w: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307,832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301,109</w:t>
            </w:r>
          </w:p>
        </w:tc>
        <w:tc>
          <w:tcPr>
            <w:tcW w:w="0" w:type="dxa"/>
            <w:vAlign w:val="bottom"/>
          </w:tcPr>
          <w:p>
            <w:pPr>
              <w:spacing w:after="0"/>
              <w:rPr>
                <w:sz w:val="1"/>
                <w:szCs w:val="1"/>
                <w:color w:val="auto"/>
              </w:rPr>
            </w:pPr>
          </w:p>
        </w:tc>
      </w:tr>
      <w:tr>
        <w:trPr>
          <w:trHeight w:val="175"/>
        </w:trPr>
        <w:tc>
          <w:tcPr>
            <w:tcW w:w="8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872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Series D perpetual preferred stock - $0.01 par value per share, 65 shares authorized, issued and outstanding at June 30, 2022 and December 31,</w:t>
            </w: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59,003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53,807</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2021, respectively</w:t>
            </w: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72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Common stock - $0.01 par value per share, 90,000 shares authorized, 43,884 and 43,027 shares issued and outstanding at June 30, 2022 and</w:t>
            </w: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December 31, 2021, respectively</w:t>
            </w: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473,019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474,757</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(219,100)</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(36,167)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(31,902)</w:t>
            </w: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206,322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224,185</w:t>
            </w:r>
          </w:p>
        </w:tc>
        <w:tc>
          <w:tcPr>
            <w:tcW w:w="0" w:type="dxa"/>
            <w:vAlign w:val="bottom"/>
          </w:tcPr>
          <w:p>
            <w:pPr>
              <w:spacing w:after="0"/>
              <w:rPr>
                <w:sz w:val="1"/>
                <w:szCs w:val="1"/>
                <w:color w:val="auto"/>
              </w:rPr>
            </w:pPr>
          </w:p>
        </w:tc>
      </w:tr>
      <w:tr>
        <w:trPr>
          <w:trHeight w:val="190"/>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preferred stock, and stockholders’ equity</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573,157</w:t>
            </w:r>
          </w:p>
        </w:tc>
        <w:tc>
          <w:tcPr>
            <w:tcW w:w="100" w:type="dxa"/>
            <w:vAlign w:val="bottom"/>
          </w:tcPr>
          <w:p>
            <w:pPr>
              <w:spacing w:after="0"/>
              <w:rPr>
                <w:sz w:val="16"/>
                <w:szCs w:val="16"/>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579,101</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2022 and 2021</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33655</wp:posOffset>
            </wp:positionV>
            <wp:extent cx="9944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43,890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(222,402)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223,028</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(8,567)</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shares forgiven for taxes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interest rate swap, net of tax of $98</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165"/>
        </w:trPr>
        <w:tc>
          <w:tcPr>
            <w:tcW w:w="480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Reclassification of interest rate swap settlement to net loss, net of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of $8</w:t>
            </w: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(8,490)</w:t>
            </w:r>
          </w:p>
        </w:tc>
        <w:tc>
          <w:tcPr>
            <w:tcW w:w="0" w:type="dxa"/>
            <w:vAlign w:val="bottom"/>
          </w:tcPr>
          <w:p>
            <w:pPr>
              <w:spacing w:after="0"/>
              <w:rPr>
                <w:sz w:val="1"/>
                <w:szCs w:val="1"/>
                <w:color w:val="auto"/>
              </w:rPr>
            </w:pPr>
          </w:p>
        </w:tc>
      </w:tr>
      <w:tr>
        <w:trPr>
          <w:trHeight w:val="237"/>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206,322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4800" w:type="dxa"/>
            <w:vAlign w:val="bottom"/>
          </w:tcPr>
          <w:p>
            <w:pPr>
              <w:spacing w:after="0"/>
              <w:rPr>
                <w:sz w:val="24"/>
                <w:szCs w:val="24"/>
                <w:color w:val="auto"/>
              </w:rPr>
            </w:pPr>
          </w:p>
        </w:tc>
        <w:tc>
          <w:tcPr>
            <w:tcW w:w="16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9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1"/>
                <w:szCs w:val="11"/>
                <w:color w:val="auto"/>
              </w:rPr>
            </w:pPr>
          </w:p>
        </w:tc>
        <w:tc>
          <w:tcPr>
            <w:tcW w:w="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800" w:type="dxa"/>
            <w:vAlign w:val="bottom"/>
            <w:vMerge w:val="continue"/>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2021</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43,049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479,341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(210,788)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234,755</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for option exercises</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shares forgiven for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estimate of share-based award vesting</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0" w:type="dxa"/>
            <w:vAlign w:val="bottom"/>
          </w:tcPr>
          <w:p>
            <w:pPr>
              <w:spacing w:after="0"/>
              <w:rPr>
                <w:sz w:val="1"/>
                <w:szCs w:val="1"/>
                <w:color w:val="auto"/>
              </w:rPr>
            </w:pPr>
          </w:p>
        </w:tc>
      </w:tr>
      <w:tr>
        <w:trPr>
          <w:trHeight w:val="237"/>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2021</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43,034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232,355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2022 and 2021</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6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8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6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900" w:type="dxa"/>
            <w:vAlign w:val="bottom"/>
            <w:vMerge w:val="continue"/>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6"/>
                <w:szCs w:val="16"/>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474,757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224,185</w:t>
            </w:r>
          </w:p>
        </w:tc>
        <w:tc>
          <w:tcPr>
            <w:tcW w:w="0" w:type="dxa"/>
            <w:vAlign w:val="bottom"/>
          </w:tcPr>
          <w:p>
            <w:pPr>
              <w:spacing w:after="0"/>
              <w:rPr>
                <w:sz w:val="1"/>
                <w:szCs w:val="1"/>
                <w:color w:val="auto"/>
              </w:rPr>
            </w:pPr>
          </w:p>
        </w:tc>
      </w:tr>
      <w:tr>
        <w:trPr>
          <w:trHeight w:val="213"/>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(11,869)</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accrued for preferred stock</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0" w:type="dxa"/>
            <w:vAlign w:val="bottom"/>
          </w:tcPr>
          <w:p>
            <w:pPr>
              <w:spacing w:after="0"/>
              <w:rPr>
                <w:sz w:val="1"/>
                <w:szCs w:val="1"/>
                <w:color w:val="auto"/>
              </w:rPr>
            </w:pPr>
          </w:p>
        </w:tc>
      </w:tr>
      <w:tr>
        <w:trPr>
          <w:trHeight w:val="213"/>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shares forgiven for taxes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3"/>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interest rate swap, net of tax of $414</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Reclassification of interest rate swap settlement to net loss, net of</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tax of $17</w:t>
            </w: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w:t>
            </w:r>
          </w:p>
        </w:tc>
        <w:tc>
          <w:tcPr>
            <w:tcW w:w="0" w:type="dxa"/>
            <w:vAlign w:val="bottom"/>
          </w:tcPr>
          <w:p>
            <w:pPr>
              <w:spacing w:after="0"/>
              <w:rPr>
                <w:sz w:val="1"/>
                <w:szCs w:val="1"/>
                <w:color w:val="auto"/>
              </w:rPr>
            </w:pPr>
          </w:p>
        </w:tc>
      </w:tr>
      <w:tr>
        <w:trPr>
          <w:trHeight w:val="237"/>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473,019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206,322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5"/>
        </w:trPr>
        <w:tc>
          <w:tcPr>
            <w:tcW w:w="4900" w:type="dxa"/>
            <w:vAlign w:val="bottom"/>
          </w:tcPr>
          <w:p>
            <w:pPr>
              <w:spacing w:after="0"/>
              <w:rPr>
                <w:sz w:val="24"/>
                <w:szCs w:val="24"/>
                <w:color w:val="auto"/>
              </w:rPr>
            </w:pPr>
          </w:p>
        </w:tc>
        <w:tc>
          <w:tcPr>
            <w:tcW w:w="16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8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6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900" w:type="dxa"/>
            <w:vAlign w:val="bottom"/>
            <w:vMerge w:val="continue"/>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7"/>
                <w:szCs w:val="17"/>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493,332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254,152</w:t>
            </w:r>
          </w:p>
        </w:tc>
        <w:tc>
          <w:tcPr>
            <w:tcW w:w="0" w:type="dxa"/>
            <w:vAlign w:val="bottom"/>
          </w:tcPr>
          <w:p>
            <w:pPr>
              <w:spacing w:after="0"/>
              <w:rPr>
                <w:sz w:val="1"/>
                <w:szCs w:val="1"/>
                <w:color w:val="auto"/>
              </w:rPr>
            </w:pPr>
          </w:p>
        </w:tc>
      </w:tr>
      <w:tr>
        <w:trPr>
          <w:trHeight w:val="213"/>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(10,304)</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accrued for preferred stock</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(16,740)</w:t>
            </w:r>
          </w:p>
        </w:tc>
        <w:tc>
          <w:tcPr>
            <w:tcW w:w="0" w:type="dxa"/>
            <w:vAlign w:val="bottom"/>
          </w:tcPr>
          <w:p>
            <w:pPr>
              <w:spacing w:after="0"/>
              <w:rPr>
                <w:sz w:val="1"/>
                <w:szCs w:val="1"/>
                <w:color w:val="auto"/>
              </w:rPr>
            </w:pPr>
          </w:p>
        </w:tc>
      </w:tr>
      <w:tr>
        <w:trPr>
          <w:trHeight w:val="213"/>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for option exercises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0" w:type="dxa"/>
            <w:vAlign w:val="bottom"/>
          </w:tcPr>
          <w:p>
            <w:pPr>
              <w:spacing w:after="0"/>
              <w:rPr>
                <w:sz w:val="1"/>
                <w:szCs w:val="1"/>
                <w:color w:val="auto"/>
              </w:rPr>
            </w:pPr>
          </w:p>
        </w:tc>
      </w:tr>
      <w:tr>
        <w:trPr>
          <w:trHeight w:val="213"/>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shares forgiven for taxes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estimate of share-based award vesting</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162"/>
        </w:trPr>
        <w:tc>
          <w:tcPr>
            <w:tcW w:w="49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Reclassification of interest rate swap settlement to net loss, net of</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2,851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0" w:type="dxa"/>
            <w:vAlign w:val="bottom"/>
          </w:tcPr>
          <w:p>
            <w:pPr>
              <w:spacing w:after="0"/>
              <w:rPr>
                <w:sz w:val="1"/>
                <w:szCs w:val="1"/>
                <w:color w:val="auto"/>
              </w:rPr>
            </w:pPr>
          </w:p>
        </w:tc>
      </w:tr>
      <w:tr>
        <w:trPr>
          <w:trHeight w:val="213"/>
        </w:trPr>
        <w:tc>
          <w:tcPr>
            <w:tcW w:w="49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tax of $861</w:t>
            </w: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43,034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477,923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(216,179)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(29,819)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232,355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4"/>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8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(11,869)</w:t>
            </w:r>
          </w:p>
        </w:tc>
        <w:tc>
          <w:tcPr>
            <w:tcW w:w="80" w:type="dxa"/>
            <w:vAlign w:val="bottom"/>
          </w:tcPr>
          <w:p>
            <w:pPr>
              <w:spacing w:after="0"/>
              <w:rPr>
                <w:sz w:val="16"/>
                <w:szCs w:val="16"/>
                <w:color w:val="auto"/>
              </w:rPr>
            </w:pP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(10,304)</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5"/>
        </w:trPr>
        <w:tc>
          <w:tcPr>
            <w:tcW w:w="8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22,769</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23,255</w:t>
            </w:r>
          </w:p>
        </w:tc>
      </w:tr>
      <w:tr>
        <w:trPr>
          <w:trHeight w:val="21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Amortization of debt issuance costs and discount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r>
      <w:tr>
        <w:trPr>
          <w:trHeight w:val="195"/>
        </w:trPr>
        <w:tc>
          <w:tcPr>
            <w:tcW w:w="8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Loss on extinguishment of debt and write-off of debt issuance costs</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r>
      <w:tr>
        <w:trPr>
          <w:trHeight w:val="21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derivative loss (gain), net of cash settlements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w:t>
            </w:r>
          </w:p>
        </w:tc>
      </w:tr>
      <w:tr>
        <w:trPr>
          <w:trHeight w:val="195"/>
        </w:trPr>
        <w:tc>
          <w:tcPr>
            <w:tcW w:w="8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Share of net income from joint venture, net of cash dividends received</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w:t>
            </w:r>
          </w:p>
        </w:tc>
      </w:tr>
      <w:tr>
        <w:trPr>
          <w:trHeight w:val="21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Compensation expense from issuance of share-based awards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w:t>
            </w:r>
          </w:p>
        </w:tc>
      </w:tr>
      <w:tr>
        <w:trPr>
          <w:trHeight w:val="195"/>
        </w:trPr>
        <w:tc>
          <w:tcPr>
            <w:tcW w:w="8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(3,050)</w:t>
            </w:r>
          </w:p>
        </w:tc>
      </w:tr>
      <w:tr>
        <w:trPr>
          <w:trHeight w:val="21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r>
      <w:tr>
        <w:trPr>
          <w:trHeight w:val="195"/>
        </w:trPr>
        <w:tc>
          <w:tcPr>
            <w:tcW w:w="8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8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r>
      <w:tr>
        <w:trPr>
          <w:trHeight w:val="195"/>
        </w:trPr>
        <w:tc>
          <w:tcPr>
            <w:tcW w:w="8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(10,586)</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(12,052)</w:t>
            </w:r>
          </w:p>
        </w:tc>
      </w:tr>
      <w:tr>
        <w:trPr>
          <w:trHeight w:val="210"/>
        </w:trPr>
        <w:tc>
          <w:tcPr>
            <w:tcW w:w="8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9,441</w:t>
            </w:r>
          </w:p>
        </w:tc>
      </w:tr>
      <w:tr>
        <w:trPr>
          <w:trHeight w:val="195"/>
        </w:trPr>
        <w:tc>
          <w:tcPr>
            <w:tcW w:w="8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Income taxes receivable and payable, net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(6,326)</w:t>
            </w:r>
          </w:p>
        </w:tc>
      </w:tr>
      <w:tr>
        <w:trPr>
          <w:trHeight w:val="210"/>
        </w:trPr>
        <w:tc>
          <w:tcPr>
            <w:tcW w:w="8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w:t>
            </w:r>
          </w:p>
        </w:tc>
      </w:tr>
      <w:tr>
        <w:trPr>
          <w:trHeight w:val="190"/>
        </w:trPr>
        <w:tc>
          <w:tcPr>
            <w:tcW w:w="8280" w:type="dxa"/>
            <w:vAlign w:val="bottom"/>
            <w:tcBorders>
              <w:bottom w:val="single" w:sz="8" w:color="CCEEFF"/>
            </w:tcBorders>
          </w:tcPr>
          <w:p>
            <w:pPr>
              <w:ind w:left="120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5,898</w:t>
            </w:r>
          </w:p>
        </w:tc>
      </w:tr>
      <w:tr>
        <w:trPr>
          <w:trHeight w:val="18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of property, plant and equipment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(9,703)</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(11,015)</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post-closing adjustments on sale of business</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settlements of interest rate swap</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(15,420)</w:t>
            </w:r>
          </w:p>
        </w:tc>
      </w:tr>
      <w:tr>
        <w:trPr>
          <w:trHeight w:val="189"/>
        </w:trPr>
        <w:tc>
          <w:tcPr>
            <w:tcW w:w="8280" w:type="dxa"/>
            <w:vAlign w:val="bottom"/>
            <w:tcBorders>
              <w:bottom w:val="single" w:sz="8" w:color="CCEEFF"/>
            </w:tcBorders>
          </w:tcPr>
          <w:p>
            <w:pPr>
              <w:ind w:left="12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(9,281)</w:t>
            </w:r>
          </w:p>
        </w:tc>
        <w:tc>
          <w:tcPr>
            <w:tcW w:w="8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(30,241)</w:t>
            </w:r>
          </w:p>
        </w:tc>
      </w:tr>
      <w:tr>
        <w:trPr>
          <w:trHeight w:val="18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debt issuance costs</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(6,981)</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preferred stock</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61,793</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of preferred stock</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(122,434)</w:t>
            </w: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long-term debt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156,000</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(77,442)</w:t>
            </w: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short-term debt, net</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r>
      <w:tr>
        <w:trPr>
          <w:trHeight w:val="189"/>
        </w:trPr>
        <w:tc>
          <w:tcPr>
            <w:tcW w:w="8280" w:type="dxa"/>
            <w:vAlign w:val="bottom"/>
            <w:tcBorders>
              <w:bottom w:val="single" w:sz="8" w:color="CCEEFF"/>
            </w:tcBorders>
          </w:tcPr>
          <w:p>
            <w:pPr>
              <w:ind w:left="12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6,930</w:t>
            </w:r>
          </w:p>
        </w:tc>
      </w:tr>
      <w:tr>
        <w:trPr>
          <w:trHeight w:val="20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flows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(16,595)</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28,656</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48,138</w:t>
            </w:r>
          </w:p>
        </w:tc>
      </w:tr>
      <w:tr>
        <w:trPr>
          <w:trHeight w:val="190"/>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15,186</w:t>
            </w:r>
          </w:p>
        </w:tc>
        <w:tc>
          <w:tcPr>
            <w:tcW w:w="80" w:type="dxa"/>
            <w:vAlign w:val="bottom"/>
          </w:tcPr>
          <w:p>
            <w:pPr>
              <w:spacing w:after="0"/>
              <w:rPr>
                <w:sz w:val="16"/>
                <w:szCs w:val="16"/>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31,543</w:t>
            </w:r>
          </w:p>
        </w:tc>
      </w:tr>
      <w:tr>
        <w:trPr>
          <w:trHeight w:val="27"/>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NN, Inc. is a global diversified industrial company that combines advanced engineering and production capabilities with in-depth materials science expertise to design and manufacture high-precision components and assemblies primarily for the automotive, general industrial, electrical, aerospace, defense, and medical markets. As used in this Quarterly Report on Form 10-Q (this “Quarterly Report”), the terms “NN,” the “Company,” “we,” “our,” or “us” refer to NN, Inc., and its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not been audited. The Condensed Consolidated Balance Sheet as of December 31, 2021, was derived from the audited consolidated financial statements included in our Annual Report on Form 10-K for the year ended December 31, 2021 (the “2021 Annual Report”), which we filed with the U.S. Securities and Exchange Commission (the “SEC”) on March 11, 2022. In management’s opinion, the accompanying unaudited condensed consolidated financial statements reflect all adjustments necessary to fairly state our results of operations for the three and six months ended June 30, 2022 and 2021; financial position as of June 30, 2022 and December 31, 2021; and cash flows for the six months ended June 30, 2022 and 2021, on a basis consistent with our audited consolidated financial statements. These adjustments are of a normal recurring nature and are, in the opinion of management, necessary to state fairly the Company’s financial position and operating results for the interim periods. Certain prior period amounts have been reclassified to conform to the current year’s presentation.</w:t>
      </w:r>
    </w:p>
    <w:p>
      <w:pPr>
        <w:spacing w:after="0" w:line="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accounting principles generally accepted in the United States (“U.S. GAAP”) have been condensed or omitted from the unaudited condensed consolidated financial statements presented in this Quarterly Report. These unaudited condensed consolidated financial statements should be read in conjunction with our audited consolidated financial statements and accompanying notes included in the 2021 Annual Report. The results for the three and six months ended June 30, 2022, are not necessarily indicative of results for the year ending December 31, 2022, or any other future periods.</w:t>
      </w:r>
    </w:p>
    <w:p>
      <w:pPr>
        <w:spacing w:after="0" w:line="7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Except for per share data or as otherwise indicated, all U.S. dollar amounts and share counts presented in the tables in these Notes to Condensed Consolidated Financial Statements are in thousands.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17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Accounting for Convertible Instruments and Contracts in an Entity’s Own Equity</w:t>
      </w:r>
      <w:r>
        <w:rPr>
          <w:rFonts w:ascii="Times New Roman" w:cs="Times New Roman" w:eastAsia="Times New Roman" w:hAnsi="Times New Roman"/>
          <w:sz w:val="17"/>
          <w:szCs w:val="17"/>
          <w:color w:val="auto"/>
        </w:rPr>
        <w:t xml:space="preserve"> (“ASU 2020-06”), which simplifies the accounting for certain financial instruments with characteristics of liabilities and equity. Specifically, ASU 2020-06 simplifies accounting for convertible instruments by removing major separation models required under current U.S. GAAP. In addition, ASU 2020-06 removes certain settlement conditions that are required for equity contracts to qualify for the derivative scope exception, which will permit more equity contracts to qualify for the exception. Further, for the diluted earnings-per-share calculation, the new guidance requires entities to use the if-converted method for all convertible instruments and generally requires entities to include the effect of share settlement for instruments that may be settled in cash or shares, among other things. The adoption of ASU 2020-06 effective January 1, 2022 did not have a material impact on our consolidated financial statements and related disclosures.</w:t>
      </w:r>
    </w:p>
    <w:p>
      <w:pPr>
        <w:spacing w:after="0" w:line="6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Issuer’s Accounting for Certain Modifications or Exchanges of Freestanding Equity-Classified Written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(“ASU 2021-04”), which clarifies the accounting for modifications or exchanges of freestanding equity-classified written call options that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classified after modification or exchange. Specifically, ASU 2021-04 requires the issuer to treat a modification of an equity-classified warrant as an exchange of the original warrant. The difference between the fair value of the modified warrant and the fair value of the warrant immediately before modification is then recognized as an issuance cost or discount of the related transaction. Since we do not have any equity-classified written call options that would be subject to this guidance, the adoption of ASU 2021-04 did not have any impact on our consolidated financial statements and related disclosures during the six months ended June 30,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Disclosures by Business Entities about Government Assistance</w:t>
      </w:r>
      <w:r>
        <w:rPr>
          <w:rFonts w:ascii="Times New Roman" w:cs="Times New Roman" w:eastAsia="Times New Roman" w:hAnsi="Times New Roman"/>
          <w:sz w:val="18"/>
          <w:szCs w:val="18"/>
          <w:color w:val="auto"/>
        </w:rPr>
        <w:t xml:space="preserve"> (“ASU 2021-10”), which requires business entities to provide certain annual disclosures when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they have received government assistance and use a grant or contribution accounting model by analogy to other accounting guidance. Such disclosures include the nature of the transactions, significant terms and conditions, accounting policies, and affected financial statement line items. ASU 2021-10 may be applied either prospectively or retrospectively. We are in the process of assessing the impact ASU 2021-10 may have on our annual disclosures for the year ending December 31, 2022.</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Segment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aggregated into the following two reportable segments:</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Solutions, which is focused on growth in the automotive and general industrial end markets;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Solutions, which is focused on growth in the electrical, general industrial, automotive, aerospace, defense, and medical end markets.</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These divisions are considered our two operating segments as each engages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results of operations by reportable segment.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40" w:type="dxa"/>
            <w:vAlign w:val="bottom"/>
          </w:tcPr>
          <w:p>
            <w:pPr>
              <w:spacing w:after="0"/>
              <w:rPr>
                <w:sz w:val="13"/>
                <w:szCs w:val="13"/>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160" w:type="dxa"/>
            <w:vAlign w:val="bottom"/>
          </w:tcPr>
          <w:p>
            <w:pPr>
              <w:spacing w:after="0"/>
              <w:rPr>
                <w:sz w:val="13"/>
                <w:szCs w:val="13"/>
                <w:color w:val="auto"/>
              </w:rPr>
            </w:pPr>
          </w:p>
        </w:tc>
        <w:tc>
          <w:tcPr>
            <w:tcW w:w="11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7"/>
                <w:szCs w:val="17"/>
                <w:color w:val="auto"/>
              </w:rPr>
            </w:pPr>
          </w:p>
        </w:tc>
        <w:tc>
          <w:tcPr>
            <w:tcW w:w="11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shd w:val="clear" w:color="auto" w:fill="CCEEFF"/>
          </w:tcPr>
          <w:p>
            <w:pPr>
              <w:spacing w:after="0"/>
              <w:rPr>
                <w:sz w:val="14"/>
                <w:szCs w:val="14"/>
                <w:color w:val="auto"/>
              </w:rPr>
            </w:pPr>
          </w:p>
        </w:tc>
        <w:tc>
          <w:tcPr>
            <w:tcW w:w="5400" w:type="dxa"/>
            <w:vAlign w:val="bottom"/>
            <w:tcBorders>
              <w:top w:val="single" w:sz="8" w:color="CCEEFF"/>
            </w:tcBorders>
            <w:gridSpan w:val="3"/>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32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73,350</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52,049</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125,362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Loss from operations before income taxes and share of net income from joint venture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54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32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73,886</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49,271</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123,157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Loss from operations before income taxes and share of net income from joint venture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57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40" w:type="dxa"/>
            <w:vAlign w:val="bottom"/>
          </w:tcPr>
          <w:p>
            <w:pPr>
              <w:spacing w:after="0"/>
              <w:rPr>
                <w:sz w:val="24"/>
                <w:szCs w:val="24"/>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160" w:type="dxa"/>
            <w:vAlign w:val="bottom"/>
          </w:tcPr>
          <w:p>
            <w:pPr>
              <w:spacing w:after="0"/>
              <w:rPr>
                <w:sz w:val="24"/>
                <w:szCs w:val="24"/>
                <w:color w:val="auto"/>
              </w:rPr>
            </w:pPr>
          </w:p>
        </w:tc>
        <w:tc>
          <w:tcPr>
            <w:tcW w:w="11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6"/>
                <w:szCs w:val="16"/>
                <w:color w:val="auto"/>
              </w:rPr>
            </w:pPr>
          </w:p>
        </w:tc>
        <w:tc>
          <w:tcPr>
            <w:tcW w:w="11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20" w:type="dxa"/>
            <w:vAlign w:val="bottom"/>
            <w:tcBorders>
              <w:top w:val="single" w:sz="8" w:color="CCEEFF"/>
              <w:bottom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33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Loss from operations before income taxes and share of net income from joint venture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Borders>
              <w:bottom w:val="single" w:sz="8" w:color="CCEEFF"/>
            </w:tcBorders>
            <w:shd w:val="clear" w:color="auto" w:fill="CCEEFF"/>
          </w:tcPr>
          <w:p>
            <w:pPr>
              <w:spacing w:after="0"/>
              <w:rPr>
                <w:sz w:val="13"/>
                <w:szCs w:val="13"/>
                <w:color w:val="auto"/>
              </w:rPr>
            </w:pPr>
          </w:p>
        </w:tc>
        <w:tc>
          <w:tcPr>
            <w:tcW w:w="202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Six Months Ended June 30, 2021</w:t>
            </w:r>
          </w:p>
        </w:tc>
        <w:tc>
          <w:tcPr>
            <w:tcW w:w="3380" w:type="dxa"/>
            <w:vAlign w:val="bottom"/>
            <w:tcBorders>
              <w:bottom w:val="single" w:sz="8" w:color="CCEEFF"/>
            </w:tcBorders>
            <w:gridSpan w:val="2"/>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Loss from operations before income taxes and share of net income from joint venture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elimination of intersegment transactions occurring during the ordinary course of business.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63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22,768</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84,726</w:t>
            </w:r>
          </w:p>
        </w:tc>
        <w:tc>
          <w:tcPr>
            <w:tcW w:w="12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Intangible Assets, Net</w:t>
            </w: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6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intangible assets, net, by reportable segment.</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160" w:type="dxa"/>
            <w:vAlign w:val="bottom"/>
          </w:tcPr>
          <w:p>
            <w:pPr>
              <w:spacing w:after="0"/>
              <w:rPr>
                <w:sz w:val="21"/>
                <w:szCs w:val="21"/>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6"/>
                <w:szCs w:val="16"/>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25,709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63,009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88,718</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w w:val="98"/>
              </w:rPr>
              <w:t>(5,496)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(7,173)</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24,032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57,513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81,545</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Intangible assets are reviewed for impairment when changes in circumstances indicate the carrying value of those assets may not be recoverable. At June 30, 2022, our market capitalization declined to a level that was less than the net book value of our stockholders’ equity. The decline in market capitalization was a triggering event that caused us to perform an impairment analysis on our long-lived assets as of June 30, 2022. Based on our analysis, the carrying values of the long-lived assets were recoverable and no impairment charge was recorded during the six months ended June 30, 2022.</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 in Joint Venture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own a 49% investment in Wuxi Weifu Autocam Precision Machinery Company, Ltd. (the “JV”), a joint venture located in Wuxi, China. The JV is jointly controlled and managed, and we account for it under the equity method.</w:t>
      </w:r>
    </w:p>
    <w:p>
      <w:pPr>
        <w:sectPr>
          <w:pgSz w:w="11900" w:h="16838" w:orient="portrait"/>
          <w:cols w:equalWidth="0" w:num="1">
            <w:col w:w="11240"/>
          </w:cols>
          <w:pgMar w:left="320" w:top="369" w:right="339"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changes in our investment in the JV.</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paid by joint venture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1060" w:hanging="105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34,045</w:t>
      </w:r>
    </w:p>
    <w:p>
      <w:pPr>
        <w:spacing w:after="0" w:line="2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2,511</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(4,026)</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(1,655)</w:t>
      </w:r>
    </w:p>
    <w:p>
      <w:pPr>
        <w:spacing w:after="0" w:line="31" w:lineRule="exact"/>
        <w:rPr>
          <w:sz w:val="20"/>
          <w:szCs w:val="20"/>
          <w:color w:val="auto"/>
        </w:rPr>
      </w:pPr>
    </w:p>
    <w:p>
      <w:pPr>
        <w:ind w:left="1060" w:hanging="1056"/>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43180</wp:posOffset>
            </wp:positionV>
            <wp:extent cx="10458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048" w:lineRule="exact"/>
        <w:rPr>
          <w:sz w:val="20"/>
          <w:szCs w:val="20"/>
          <w:color w:val="auto"/>
        </w:rPr>
      </w:pPr>
    </w:p>
    <w:p>
      <w:pPr>
        <w:sectPr>
          <w:pgSz w:w="11900" w:h="16838" w:orient="portrait"/>
          <w:cols w:equalWidth="0" w:num="2">
            <w:col w:w="8860" w:space="720"/>
            <w:col w:w="1660"/>
          </w:cols>
          <w:pgMar w:left="320" w:top="369" w:right="339" w:bottom="1440" w:gutter="0" w:footer="0" w:header="0"/>
          <w:type w:val="continuous"/>
        </w:sectPr>
      </w:pPr>
    </w:p>
    <w:p>
      <w:pPr>
        <w:spacing w:after="0" w:line="256" w:lineRule="auto"/>
        <w:rPr>
          <w:sz w:val="20"/>
          <w:szCs w:val="20"/>
          <w:color w:val="auto"/>
        </w:rPr>
      </w:pPr>
      <w:r>
        <w:rPr>
          <w:rFonts w:ascii="Times New Roman" w:cs="Times New Roman" w:eastAsia="Times New Roman" w:hAnsi="Times New Roman"/>
          <w:sz w:val="18"/>
          <w:szCs w:val="18"/>
          <w:color w:val="auto"/>
        </w:rPr>
        <w:t>Our effective tax rate was (13.2)% and (21.9)% for the three and six months ended June 30, 2022, respectively, and 3.4% and 7.1% for the three and six months ended June 30, 2021, respectively. The effective tax rate for the three and six months ended June 30, 2022 differs from the U.S. federal statutory tax rate of 21% primarily due to the accrual of tax on non-permanently reinvested unremitted earnings of foreign subsidiaries and by limitation on the amount of tax benefit recorded for loss carryforwards in certain jurisdictions where we believe it is more likely than not that a portion of the future tax benefit may not be realized. In addition, the effective tax rate was unfavorably impacted by U.S. tax on the earnings of foreign subsidiaries under the global intangible low-taxed income regime.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22, 2021, we entered into a new $150.0 million term loan facility (the “Term Loan Facility”) and a new $50.0 million asset backed credit facility (the “ABL Facility”). The following table presents debt balances as of June 30, 2022 and December 31, 2021.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148,875</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ABL Facility</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lines of credit and other loans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w:t>
            </w:r>
          </w:p>
        </w:tc>
      </w:tr>
      <w:tr>
        <w:trPr>
          <w:trHeight w:val="22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principal</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159,805</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Less-current maturities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2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net of current portion</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156,731</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Less-unamortized debt issuance costs and discount (1)</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r>
      <w:tr>
        <w:trPr>
          <w:trHeight w:val="22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151,317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151,052</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900" w:right="240" w:hanging="244"/>
        <w:spacing w:after="0" w:line="282" w:lineRule="auto"/>
        <w:tabs>
          <w:tab w:leader="none" w:pos="9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this amount, costs of $0.6 million and $0.7 million related to the ABL Facility were recorded in other non-current assets as of June 30, 2022 and December 31, 2021,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Term Loan Facility bear interest at either 1) one-month LIBOR (subject to a 1.000% floor) plus an applicable margin of 6.875% or 2) the greater of various benchmark rates plus an applicable margin of 5.875%. At June 30, 2022, the Term Loan Facility bore interest, based on one-month LIBOR, at 8.541%. We have an interest rate swap that changes the one-month LIBOR to a fixed rate of 1.291% on $60.0 million of the outstanding balance of the Term Loan Facility.</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on the final maturity date of September 22, 2026. The Term Loan Facility is collateralized by all of our assets. The Term Loan Facility has a first lien on all assets other than accounts receivable and inventory and has a second lien on accounts receivable and inventory. On March 3, 2022, we amended our Term Loan Facility, which increases the quarterly maximum consolidated net leverage ratio. We were in compliance with all requirements under the Term Loan Facility as of June 30, 2022.</w:t>
      </w:r>
    </w:p>
    <w:p>
      <w:pPr>
        <w:spacing w:after="0" w:line="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Term Loan Facility was issued at a $3.8 million discount and we capitalized an additional $2.8 million in new debt issuance costs. These costs are recorded as a direct reduction to the carrying amount of the associated long-term debt and amortized over the term of the debt.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Facility</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ABL Facility provides for a senior secured revolving credit facility in the amount of $50.0 million, of which $30.0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on a variable rate structure plus an interest rate spread that is based on the average amount of aggregate revolving commitment available. The variable borrowing rate is either 1) LIBOR plus an applicable margin of 1.75% or 2.00%, depending on availability, or 2) the greater of the federal funds rate or prime, plus an applicable margin of 0.75% or 1.00%, depending on availability. We may elect whether to use one-month, three-month, or six-month LIBOR, subject to a 0.50% floor. Interest payments are due monthly on borrowings that utilize one-month LIBOR and quarterly on borrowings that utilize three-month or six-month LIBOR. At June 30, 2022, using one-month LIBOR plus a 1.75% spread, the weighted average interest rate on outstanding borrowings under the ABL Facility was 3.00%. We pay a commitment fee of 0.375% for unused capacity under the ABL Facility and a 1.875% fee on the amount of letters of credit outstanding. The final maturity date of the ABL Facility is March 22, 2026.</w:t>
      </w:r>
    </w:p>
    <w:p>
      <w:pPr>
        <w:spacing w:after="0" w:line="8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As of June 30, 2022, we had $2.0 million of outstanding borrowings under the ABL Facility, $11.1 million of outstanding letters of credit, and $36.9 million available for future borrowings under the ABL Facility. The ABL Facility has a first lien on accounts receivable and inventory. We were in compliance with all requirements under the ABL Facility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supplemental cash flow information related to leases.</w:t>
      </w:r>
    </w:p>
    <w:p>
      <w:pPr>
        <w:spacing w:after="0" w:line="43"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4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 (1)</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Includes new leases, renewals, and modifications.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ICMS Tax Matter</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8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 not expect to incur a loss related to this matter even in the event of an unfavorable decision and, therefore, have not accrued an amount for the remaining matters as of June 30,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Offering Matter</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previously disclosed, Erie County Employees’ Retirement System, on behalf of a purported class of plaintiffs, filed a complaint in the Supreme Court of the State of New York, County of New York against us, certain of our current and former officers and directors, and each of the underwriters involved in our public offering and sale of 14.4 million shares of our common stock pursuant to a preliminary prospectus supplement, dated September 10, 2018, a final prospectus supplement, dated September 13, 2018, and a base prospectus, dated April 19, 2017, relating to our effective shelf registration statement on Form S-3 (File No. 333-216737) (the “Offering”). The amended complaint alleges violations of Sections 11, 12(a)(2), and 15 of the Securities Act of 1933 in connection with the Offering.</w:t>
      </w:r>
    </w:p>
    <w:p>
      <w:pPr>
        <w:spacing w:after="0" w:line="6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On July 25, 2022, the parties filed a Stipulation of Settlement, which is subject to court approval, to settle the securities offering action. Under the terms of the Stipulation of Settlement, the Company and/or its insurance carrier will make a cash payment to the plaintiff in the amount $9.5 million (the “Settlement Amount”), in exchange for which the Company and the other named defendants will be released from all claims related to the securities offering action. As of June 30, 2022, we have previously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paid covered expenses totaling $1.0 million meeting our directors' and officers' retention requirement and therefore the Settlement Amount will be covered and paid by our directors' and officers' insurance carrier.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Matters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April 25, 2022, we reached an agreement to settle breach of contract claims brought by a former customer regarding the sale of products by us in 2016. Under the agreement, we will pay $1.8 million to the customer in specified installments through July 2023. The $1.8 million settlement is included in the Other operating expense (income), net line in the Condensed Consolidated Statements of Operations and Comprehensive Income (Loss).</w:t>
      </w:r>
    </w:p>
    <w:p>
      <w:pPr>
        <w:spacing w:after="0" w:line="6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Preferred Stock and Stockholders' Equity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Perpetual Preferred Stock</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22, 2021, we completed a private placement of 65 thousand shares of newly designated Series D Perpetual Preferred Stock, with a par value of $0.01 per share (the “Series D Preferred Stock”), at a price of $1,000 per share, together with detachable warrants (the “2021 Warrants”) to purchase up to 1.9 million shares of our common stock at an exercise price of $0.01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increase by 2.5% per year. Cash dividends are required beginning on September 30, 2027.</w:t>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retained earnings (or in the absence of retained earnings, additional paid-in capital).</w:t>
      </w:r>
    </w:p>
    <w:p>
      <w:pPr>
        <w:spacing w:after="0" w:line="7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xml:space="preserve"> certain features of the Series D Preferred Stock were bifurcated and accounted for as derivatives separately. Note 15 discusses the accounting for these features.</w:t>
      </w:r>
    </w:p>
    <w:p>
      <w:pPr>
        <w:spacing w:after="0" w:line="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June 30, 2022, the carrying value of the Series D Preferred Stock shares was $59.0 million, which included $12.3 million of accumulated unpaid and deemed dividends. The following table presents the change in the Series D Preferred Stock carrying value during the six months ended June 30, 2022.</w:t>
      </w:r>
    </w:p>
    <w:p>
      <w:pPr>
        <w:sectPr>
          <w:pgSz w:w="11900" w:h="16838" w:orient="portrait"/>
          <w:cols w:equalWidth="0" w:num="1">
            <w:col w:w="11200"/>
          </w:cols>
          <w:pgMar w:left="320" w:top="369" w:right="37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Accrual of in-kind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Ending balance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30" w:lineRule="exact"/>
        <w:rPr>
          <w:sz w:val="20"/>
          <w:szCs w:val="20"/>
          <w:color w:val="auto"/>
        </w:rPr>
      </w:pPr>
    </w:p>
    <w:p>
      <w:pPr>
        <w:ind w:left="1285" w:hanging="1285"/>
        <w:spacing w:after="0"/>
        <w:tabs>
          <w:tab w:leader="none" w:pos="128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53,807</w:t>
      </w:r>
    </w:p>
    <w:p>
      <w:pPr>
        <w:spacing w:after="0" w:line="38" w:lineRule="exact"/>
        <w:rPr>
          <w:rFonts w:ascii="Times New Roman" w:cs="Times New Roman" w:eastAsia="Times New Roman" w:hAnsi="Times New Roman"/>
          <w:sz w:val="17"/>
          <w:szCs w:val="17"/>
          <w:color w:val="auto"/>
        </w:rPr>
      </w:pPr>
    </w:p>
    <w:p>
      <w:pPr>
        <w:ind w:left="136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4,348</w:t>
      </w:r>
    </w:p>
    <w:p>
      <w:pPr>
        <w:spacing w:after="0" w:line="34" w:lineRule="exact"/>
        <w:rPr>
          <w:rFonts w:ascii="Times New Roman" w:cs="Times New Roman" w:eastAsia="Times New Roman" w:hAnsi="Times New Roman"/>
          <w:sz w:val="17"/>
          <w:szCs w:val="17"/>
          <w:color w:val="auto"/>
        </w:rPr>
      </w:pPr>
    </w:p>
    <w:p>
      <w:pPr>
        <w:ind w:left="150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1830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3" w:lineRule="exact"/>
        <w:rPr>
          <w:sz w:val="20"/>
          <w:szCs w:val="20"/>
          <w:color w:val="auto"/>
        </w:rPr>
      </w:pPr>
    </w:p>
    <w:p>
      <w:pPr>
        <w:ind w:left="1285" w:hanging="1285"/>
        <w:spacing w:after="0"/>
        <w:tabs>
          <w:tab w:leader="none" w:pos="128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59,003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830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1830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675" w:space="720"/>
            <w:col w:w="1805"/>
          </w:cols>
          <w:pgMar w:left="320" w:top="369" w:right="37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Revenue from Contracts with Customers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During the six months ended June 30, 2022, we received equipment from a customer as part of the selling price of goods transferred. This noncash consideration was recognized as revenue equal to the fair value of the equipment received.</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revenue by customer geographical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United States and Puerto Rico</w:t>
      </w:r>
      <w:r>
        <w:rPr>
          <w:sz w:val="20"/>
          <w:szCs w:val="20"/>
          <w:color w:val="auto"/>
        </w:rPr>
        <w:tab/>
      </w:r>
      <w:r>
        <w:rPr>
          <w:rFonts w:ascii="Times New Roman" w:cs="Times New Roman" w:eastAsia="Times New Roman" w:hAnsi="Times New Roman"/>
          <w:sz w:val="18"/>
          <w:szCs w:val="18"/>
          <w:color w:val="auto"/>
        </w:rPr>
        <w:t>$</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Brazil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Poland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3"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Total net sales</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United States and Puerto Rico</w:t>
      </w:r>
      <w:r>
        <w:rPr>
          <w:sz w:val="20"/>
          <w:szCs w:val="20"/>
          <w:color w:val="auto"/>
        </w:rPr>
        <w:tab/>
      </w:r>
      <w:r>
        <w:rPr>
          <w:rFonts w:ascii="Times New Roman" w:cs="Times New Roman" w:eastAsia="Times New Roman" w:hAnsi="Times New Roman"/>
          <w:sz w:val="18"/>
          <w:szCs w:val="18"/>
          <w:color w:val="auto"/>
        </w:rPr>
        <w:t>$</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Brazil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Poland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3"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Total net sales</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United States and Puerto Rico</w:t>
      </w:r>
      <w:r>
        <w:rPr>
          <w:sz w:val="20"/>
          <w:szCs w:val="20"/>
          <w:color w:val="auto"/>
        </w:rPr>
        <w:tab/>
      </w:r>
      <w:r>
        <w:rPr>
          <w:rFonts w:ascii="Times New Roman" w:cs="Times New Roman" w:eastAsia="Times New Roman" w:hAnsi="Times New Roman"/>
          <w:sz w:val="16"/>
          <w:szCs w:val="16"/>
          <w:color w:val="auto"/>
        </w:rPr>
        <w:t>$</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Brazil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Poland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3"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Total net sales</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United States and Puerto Rico</w:t>
      </w:r>
      <w:r>
        <w:rPr>
          <w:sz w:val="20"/>
          <w:szCs w:val="20"/>
          <w:color w:val="auto"/>
        </w:rPr>
        <w:tab/>
      </w:r>
      <w:r>
        <w:rPr>
          <w:rFonts w:ascii="Times New Roman" w:cs="Times New Roman" w:eastAsia="Times New Roman" w:hAnsi="Times New Roman"/>
          <w:sz w:val="16"/>
          <w:szCs w:val="16"/>
          <w:color w:val="auto"/>
        </w:rPr>
        <w:t>$</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Brazil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Poland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3"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Total net sales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33655</wp:posOffset>
            </wp:positionV>
            <wp:extent cx="37547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2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35,954</w:t>
            </w: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76,294</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8,764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11,293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8,087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1,158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34"/>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6,973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0" w:type="dxa"/>
            <w:vAlign w:val="bottom"/>
          </w:tcPr>
          <w:p>
            <w:pPr>
              <w:spacing w:after="0"/>
              <w:rPr>
                <w:sz w:val="1"/>
                <w:szCs w:val="1"/>
                <w:color w:val="auto"/>
              </w:rPr>
            </w:pPr>
          </w:p>
        </w:tc>
      </w:tr>
      <w:tr>
        <w:trPr>
          <w:trHeight w:val="223"/>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73,350</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125,362</w:t>
            </w: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1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20" w:type="dxa"/>
            <w:vAlign w:val="bottom"/>
          </w:tcPr>
          <w:p>
            <w:pPr>
              <w:spacing w:after="0"/>
              <w:rPr>
                <w:sz w:val="14"/>
                <w:szCs w:val="14"/>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35,284</w:t>
            </w: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center"/>
              <w:ind w:left="81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74,708</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13,219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9,985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4,829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1,369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904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34"/>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8,296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0" w:type="dxa"/>
            <w:vAlign w:val="bottom"/>
          </w:tcPr>
          <w:p>
            <w:pPr>
              <w:spacing w:after="0"/>
              <w:rPr>
                <w:sz w:val="1"/>
                <w:szCs w:val="1"/>
                <w:color w:val="auto"/>
              </w:rPr>
            </w:pPr>
          </w:p>
        </w:tc>
      </w:tr>
      <w:tr>
        <w:trPr>
          <w:trHeight w:val="223"/>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73,886</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center"/>
              <w:ind w:left="81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123,157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0"/>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1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20" w:type="dxa"/>
            <w:vAlign w:val="bottom"/>
          </w:tcPr>
          <w:p>
            <w:pPr>
              <w:spacing w:after="0"/>
              <w:rPr>
                <w:sz w:val="15"/>
                <w:szCs w:val="15"/>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73,764</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154,576</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21,316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23,793</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22,013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22,670</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13,151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2,404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2,498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34"/>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14,274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25,098</w:t>
            </w:r>
          </w:p>
        </w:tc>
        <w:tc>
          <w:tcPr>
            <w:tcW w:w="0" w:type="dxa"/>
            <w:vAlign w:val="bottom"/>
          </w:tcPr>
          <w:p>
            <w:pPr>
              <w:spacing w:after="0"/>
              <w:rPr>
                <w:sz w:val="1"/>
                <w:szCs w:val="1"/>
                <w:color w:val="auto"/>
              </w:rPr>
            </w:pPr>
          </w:p>
        </w:tc>
      </w:tr>
      <w:tr>
        <w:trPr>
          <w:trHeight w:val="223"/>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149,420</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104,060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253,429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1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20" w:type="dxa"/>
            <w:vAlign w:val="bottom"/>
          </w:tcPr>
          <w:p>
            <w:pPr>
              <w:spacing w:after="0"/>
              <w:rPr>
                <w:sz w:val="15"/>
                <w:szCs w:val="15"/>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72,722</w:t>
            </w: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151,905</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27,633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30,421</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19,653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9,844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3,136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2,084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34"/>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16,590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24,370</w:t>
            </w:r>
          </w:p>
        </w:tc>
        <w:tc>
          <w:tcPr>
            <w:tcW w:w="0" w:type="dxa"/>
            <w:vAlign w:val="bottom"/>
          </w:tcPr>
          <w:p>
            <w:pPr>
              <w:spacing w:after="0"/>
              <w:rPr>
                <w:sz w:val="1"/>
                <w:szCs w:val="1"/>
                <w:color w:val="auto"/>
              </w:rPr>
            </w:pPr>
          </w:p>
        </w:tc>
      </w:tr>
      <w:tr>
        <w:trPr>
          <w:trHeight w:val="223"/>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151,662</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-6436995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-6145530</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-5854065</wp:posOffset>
            </wp:positionV>
            <wp:extent cx="7132320" cy="334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-6737350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-4542790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-4251325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-3959860</wp:posOffset>
            </wp:positionV>
            <wp:extent cx="7132320" cy="3340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3401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-4843145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-5160010</wp:posOffset>
            </wp:positionV>
            <wp:extent cx="37547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-2811145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-2519680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-2228215</wp:posOffset>
            </wp:positionV>
            <wp:extent cx="7132320" cy="3346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-3110865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-3428365</wp:posOffset>
            </wp:positionV>
            <wp:extent cx="37630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63010" cy="889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-916305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-625475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-333375</wp:posOffset>
            </wp:positionV>
            <wp:extent cx="7132320" cy="3340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3401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-1216660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-1533525</wp:posOffset>
            </wp:positionV>
            <wp:extent cx="37630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280"/>
            <w:col w:w="5520"/>
          </w:cols>
          <w:pgMar w:left="320" w:top="369"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tables summarize revenue by customer industry. Our products in the automotive industry include high-precision components and assemblies for electric power steering systems, electric braking, electric motors, fuel systems, emissions control, transmissions, moldings, stampings, sensors, and electrical contacts. Our products in the general industrial industry include high-precision metal and plastic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and specification plating and surface finishing.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4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58,578</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37,172</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4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55,904</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39,506</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123,157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9"/>
        </w:trPr>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4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119,252</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75,312</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35,956</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22,909</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253,429</w:t>
            </w:r>
          </w:p>
        </w:tc>
        <w:tc>
          <w:tcPr>
            <w:tcW w:w="0" w:type="dxa"/>
            <w:vAlign w:val="bottom"/>
          </w:tcPr>
          <w:p>
            <w:pPr>
              <w:spacing w:after="0"/>
              <w:rPr>
                <w:sz w:val="1"/>
                <w:szCs w:val="1"/>
                <w:color w:val="auto"/>
              </w:rPr>
            </w:pPr>
          </w:p>
        </w:tc>
      </w:tr>
      <w:tr>
        <w:trPr>
          <w:trHeight w:val="530"/>
        </w:trPr>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4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116,473</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79,190</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31,573</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22,725</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249,961</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Deferred revenue relates to payments received in advance of performance under the contract and recognized as revenue as (or when) we perform under the contract. The balance of deferred revenue was $0.6 million and $0.5 million as of June 30, 2022 and December 31, 2021, respectively. Revenue recognized for performance obligations satisfied or partially satisfied during the six months ended June 30, 2022 included $0.5 million that was included in deferred revenue as of December 31, 2021.</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required to disclose the aggregate amount of transaction price that is allocated to performance obligations that have not yet been satisfied as of June 30, 2022, unless our contracts meet one of the practical expedients. Our contracts met the practical expedient for a performance obligation that is part of a contract that has an original expected duration of one year or less.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Share-Based Compensation</w:t>
      </w:r>
    </w:p>
    <w:p>
      <w:pPr>
        <w:spacing w:after="0" w:line="121" w:lineRule="exact"/>
        <w:rPr>
          <w:sz w:val="20"/>
          <w:szCs w:val="20"/>
          <w:color w:val="auto"/>
        </w:rPr>
      </w:pPr>
    </w:p>
    <w:p>
      <w:pPr>
        <w:ind w:right="700"/>
        <w:spacing w:after="0" w:line="329" w:lineRule="auto"/>
        <w:rPr>
          <w:sz w:val="20"/>
          <w:szCs w:val="20"/>
          <w:color w:val="auto"/>
        </w:rPr>
      </w:pPr>
      <w:r>
        <w:rPr>
          <w:rFonts w:ascii="Times New Roman" w:cs="Times New Roman" w:eastAsia="Times New Roman" w:hAnsi="Times New Roman"/>
          <w:sz w:val="18"/>
          <w:szCs w:val="18"/>
          <w:color w:val="auto"/>
        </w:rPr>
        <w:t>The following table lists the components of share-based compensation expense by type of award, which is recognized in the “Selling, general, and administrative expense” line in the Condensed Consolidated Statements of Operations and Comprehensive Income (Loss).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0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r>
      <w:tr>
        <w:trPr>
          <w:trHeight w:val="195"/>
        </w:trPr>
        <w:tc>
          <w:tcPr>
            <w:tcW w:w="4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 of share-based award vesting (1)</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7" w:lineRule="exact"/>
        <w:rPr>
          <w:sz w:val="20"/>
          <w:szCs w:val="20"/>
          <w:color w:val="auto"/>
        </w:rPr>
      </w:pPr>
    </w:p>
    <w:p>
      <w:pPr>
        <w:ind w:left="660" w:right="280" w:hanging="328"/>
        <w:spacing w:after="0" w:line="272"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decrease in share-based compensation expense based on the change in estimate of the probability of vesting of share-based awards.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 option activity for the six months ended June 30, 2022.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62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40" w:type="dxa"/>
            <w:vAlign w:val="bottom"/>
          </w:tcPr>
          <w:p>
            <w:pPr>
              <w:spacing w:after="0"/>
              <w:rPr>
                <w:sz w:val="12"/>
                <w:szCs w:val="12"/>
                <w:color w:val="auto"/>
              </w:rPr>
            </w:pPr>
          </w:p>
        </w:tc>
        <w:tc>
          <w:tcPr>
            <w:tcW w:w="1220" w:type="dxa"/>
            <w:vAlign w:val="bottom"/>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62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1"/>
                <w:szCs w:val="11"/>
                <w:color w:val="auto"/>
              </w:rPr>
            </w:pPr>
          </w:p>
        </w:tc>
        <w:tc>
          <w:tcPr>
            <w:tcW w:w="1620" w:type="dxa"/>
            <w:vAlign w:val="bottom"/>
            <w:gridSpan w:val="2"/>
          </w:tcPr>
          <w:p>
            <w:pPr>
              <w:jc w:val="center"/>
              <w:ind w:right="700"/>
              <w:spacing w:after="0" w:line="13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2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60" w:type="dxa"/>
            <w:vAlign w:val="bottom"/>
          </w:tcPr>
          <w:p>
            <w:pPr>
              <w:spacing w:after="0"/>
              <w:rPr>
                <w:sz w:val="16"/>
                <w:szCs w:val="16"/>
                <w:color w:val="auto"/>
              </w:rPr>
            </w:pPr>
          </w:p>
        </w:tc>
        <w:tc>
          <w:tcPr>
            <w:tcW w:w="1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4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99"/>
              </w:rPr>
              <w:t>(79)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48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4.1 years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1480" w:type="dxa"/>
            <w:vAlign w:val="bottom"/>
            <w:tcBorders>
              <w:bottom w:val="single" w:sz="8" w:color="auto"/>
            </w:tcBorders>
          </w:tcPr>
          <w:p>
            <w:pPr>
              <w:ind w:left="1140"/>
              <w:spacing w:after="0" w:line="203" w:lineRule="exact"/>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7"/>
                <w:szCs w:val="17"/>
                <w:color w:val="auto"/>
              </w:rPr>
            </w:pPr>
          </w:p>
        </w:tc>
        <w:tc>
          <w:tcPr>
            <w:tcW w:w="1580" w:type="dxa"/>
            <w:vAlign w:val="bottom"/>
            <w:gridSpan w:val="2"/>
          </w:tcPr>
          <w:p>
            <w:pPr>
              <w:ind w:left="800"/>
              <w:spacing w:after="0" w:line="203" w:lineRule="exact"/>
              <w:rPr>
                <w:sz w:val="20"/>
                <w:szCs w:val="20"/>
                <w:color w:val="auto"/>
              </w:rPr>
            </w:pPr>
            <w:r>
              <w:rPr>
                <w:rFonts w:ascii="Times New Roman" w:cs="Times New Roman" w:eastAsia="Times New Roman" w:hAnsi="Times New Roman"/>
                <w:sz w:val="18"/>
                <w:szCs w:val="18"/>
                <w:color w:val="auto"/>
              </w:rPr>
              <w:t>3.9 years</w:t>
            </w: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920"/>
              <w:spacing w:after="0" w:line="203" w:lineRule="exact"/>
              <w:rPr>
                <w:sz w:val="20"/>
                <w:szCs w:val="20"/>
                <w:color w:val="auto"/>
              </w:rPr>
            </w:pPr>
            <w:r>
              <w:rPr>
                <w:rFonts w:ascii="Times New Roman" w:cs="Times New Roman" w:eastAsia="Times New Roman" w:hAnsi="Times New Roman"/>
                <w:sz w:val="18"/>
                <w:szCs w:val="18"/>
                <w:color w:val="auto"/>
              </w:rPr>
              <w:t>— (1)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7" w:lineRule="exact"/>
        <w:rPr>
          <w:sz w:val="20"/>
          <w:szCs w:val="20"/>
          <w:color w:val="auto"/>
        </w:rPr>
      </w:pPr>
    </w:p>
    <w:p>
      <w:pPr>
        <w:ind w:left="660" w:right="40" w:hanging="328"/>
        <w:spacing w:after="0" w:line="272"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the sum of intrinsic values for each exercisable individual option grant. The intrinsic value is the amount by which the closing market price of our stock at June 30, 2022, was greater than the exercise price of any individual option grant.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we granted 897,000 shares of restricted stock to non-executive directors, officers and certain other key employees under the NN, Inc. 2019 Omnibus Incentive Plan (“2019 Omnibus Plan”). The shares of restricted stock granted during the six months ended June 30, 2022, vest pro-rata generally over three years for employees and over one year for non-executive directors. We determined the fair value of the shares awarded by using the closing price of our common stock as of the date of grant. The weighted average grant date fair value of restricted stock granted in the six months ended June 30, 2022, was $3.31 per share. Total grant date fair value of restricted stock that vested in the six months ended June 30, 2022, was $2.1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restricted stock awards as of June 30, 2022 and changes during the six months then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78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21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784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199"/>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8"/>
        </w:trPr>
        <w:tc>
          <w:tcPr>
            <w:tcW w:w="78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8"/>
        </w:trPr>
        <w:tc>
          <w:tcPr>
            <w:tcW w:w="784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Some PSUs are based on total shareholder return (“TSR Awards”), and other PSUs are based on return on invested capital (“ROIC Awards”). TSR Awards granted in 2022 were made pursuant to the 2019 Omnibus Plan and a Performance Share Unit Agreement (the “2019 Omnibus Agreement”). ROIC Awards granted in 2022 were made pursuant to the NN, Inc. 2022 Omnibus Incentive Plan and a Performance Share Unit Agreement.</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TSR Awards vest, if at all, upon our achieving a specified relative total shareholder return, which will be measured against the total shareholder return of a specified index during specified performance periods as defined in the 2019 Omnibus Agreement. The ROIC Awards vest, if at all, upon our achieving a specified average return on invested capital during the performance periods. Each performance period generally begins on January 1 of the year of grant and ends 3 years later on December 31.</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award recipient’s continued employment. The actual number of shares of common stock to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dividends declared and the number of shares of common stock that are ultimately earned at the end of the performance periods.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goals with respect to PSUs granted in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2200" w:type="dxa"/>
            <w:vAlign w:val="bottom"/>
            <w:gridSpan w:val="2"/>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(25% of Shares)</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(100% of Shares)</w:t>
            </w: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(150% of Shares)</w:t>
            </w:r>
          </w:p>
        </w:tc>
        <w:tc>
          <w:tcPr>
            <w:tcW w:w="0" w:type="dxa"/>
            <w:vAlign w:val="bottom"/>
          </w:tcPr>
          <w:p>
            <w:pPr>
              <w:spacing w:after="0"/>
              <w:rPr>
                <w:sz w:val="1"/>
                <w:szCs w:val="1"/>
                <w:color w:val="auto"/>
              </w:rPr>
            </w:pP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TSR Awards</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25th Percentile</w:t>
            </w:r>
          </w:p>
        </w:tc>
        <w:tc>
          <w:tcPr>
            <w:tcW w:w="12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55th Percentile</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75th Percentile</w:t>
            </w:r>
          </w:p>
        </w:tc>
        <w:tc>
          <w:tcPr>
            <w:tcW w:w="0" w:type="dxa"/>
            <w:vAlign w:val="bottom"/>
          </w:tcPr>
          <w:p>
            <w:pPr>
              <w:spacing w:after="0"/>
              <w:rPr>
                <w:sz w:val="1"/>
                <w:szCs w:val="1"/>
                <w:color w:val="auto"/>
              </w:rPr>
            </w:pPr>
          </w:p>
        </w:tc>
      </w:tr>
      <w:tr>
        <w:trPr>
          <w:trHeight w:val="351"/>
        </w:trPr>
        <w:tc>
          <w:tcPr>
            <w:tcW w:w="4080" w:type="dxa"/>
            <w:vAlign w:val="bottom"/>
          </w:tcPr>
          <w:p>
            <w:pPr>
              <w:spacing w:after="0"/>
              <w:rPr>
                <w:sz w:val="24"/>
                <w:szCs w:val="24"/>
                <w:color w:val="auto"/>
              </w:rPr>
            </w:pP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2200" w:type="dxa"/>
            <w:vAlign w:val="bottom"/>
            <w:gridSpan w:val="2"/>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(50% of Shares)</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(100% of Shares)</w:t>
            </w: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(150% of Shares)</w:t>
            </w:r>
          </w:p>
        </w:tc>
        <w:tc>
          <w:tcPr>
            <w:tcW w:w="0" w:type="dxa"/>
            <w:vAlign w:val="bottom"/>
          </w:tcPr>
          <w:p>
            <w:pPr>
              <w:spacing w:after="0"/>
              <w:rPr>
                <w:sz w:val="1"/>
                <w:szCs w:val="1"/>
                <w:color w:val="auto"/>
              </w:rPr>
            </w:pP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 Awards</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6.4%</w:t>
            </w:r>
          </w:p>
        </w:tc>
        <w:tc>
          <w:tcPr>
            <w:tcW w:w="12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We estimate the grant date fair value of TSR Awards using the Monte Carlo simulation model, as the total shareholder return metric is considered a market condition under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grant date fair value of ROIC Awards is based on the closing price of a share of our common stock on the date of grant.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PSUs as of June 30, 2022 and changes during the six months then ended.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720" w:type="dxa"/>
            <w:vAlign w:val="bottom"/>
            <w:gridSpan w:val="9"/>
          </w:tcPr>
          <w:p>
            <w:pPr>
              <w:ind w:left="960"/>
              <w:spacing w:after="0"/>
              <w:rPr>
                <w:sz w:val="20"/>
                <w:szCs w:val="20"/>
                <w:color w:val="auto"/>
              </w:rPr>
            </w:pPr>
            <w:r>
              <w:rPr>
                <w:rFonts w:ascii="Times New Roman" w:cs="Times New Roman" w:eastAsia="Times New Roman" w:hAnsi="Times New Roman"/>
                <w:sz w:val="14"/>
                <w:szCs w:val="14"/>
                <w:b w:val="1"/>
                <w:bCs w:val="1"/>
                <w:color w:val="auto"/>
              </w:rPr>
              <w:t>Nonvested TSR Awards</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7"/>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Nonvested ROIC Awards</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6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335"/>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4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6"/>
          </w:tcPr>
          <w:p>
            <w:pPr>
              <w:jc w:val="center"/>
              <w:ind w:right="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335"/>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8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3"/>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55"/>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55"/>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2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0" w:type="dxa"/>
            <w:vAlign w:val="bottom"/>
          </w:tcPr>
          <w:p>
            <w:pPr>
              <w:spacing w:after="0"/>
              <w:rPr>
                <w:sz w:val="17"/>
                <w:szCs w:val="17"/>
                <w:color w:val="auto"/>
              </w:rPr>
            </w:pPr>
          </w:p>
        </w:tc>
        <w:tc>
          <w:tcPr>
            <w:tcW w:w="158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9"/>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2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194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6"/>
              </w:rPr>
              <w:t>382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2022</w:t>
            </w:r>
          </w:p>
        </w:tc>
        <w:tc>
          <w:tcPr>
            <w:tcW w:w="12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576</w:t>
            </w:r>
          </w:p>
        </w:tc>
        <w:tc>
          <w:tcPr>
            <w:tcW w:w="10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Accumulated Other Comprehensive Income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(“AOCI”).</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20" w:type="dxa"/>
            <w:vAlign w:val="bottom"/>
            <w:gridSpan w:val="4"/>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Income taxes (1)</w:t>
            </w:r>
          </w:p>
        </w:tc>
        <w:tc>
          <w:tcPr>
            <w:tcW w:w="120" w:type="dxa"/>
            <w:vAlign w:val="bottom"/>
          </w:tcPr>
          <w:p>
            <w:pPr>
              <w:spacing w:after="0"/>
              <w:rPr>
                <w:sz w:val="18"/>
                <w:szCs w:val="18"/>
                <w:color w:val="auto"/>
              </w:rPr>
            </w:pPr>
          </w:p>
        </w:tc>
        <w:tc>
          <w:tcPr>
            <w:tcW w:w="12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3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(28,081)</w:t>
            </w: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(34,228)</w:t>
            </w: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0" w:type="dxa"/>
            <w:vAlign w:val="bottom"/>
          </w:tcPr>
          <w:p>
            <w:pPr>
              <w:spacing w:after="0"/>
              <w:rPr>
                <w:sz w:val="1"/>
                <w:szCs w:val="1"/>
                <w:color w:val="auto"/>
              </w:rPr>
            </w:pPr>
          </w:p>
        </w:tc>
      </w:tr>
      <w:tr>
        <w:trPr>
          <w:trHeight w:val="248"/>
        </w:trPr>
        <w:tc>
          <w:tcPr>
            <w:tcW w:w="5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4"/>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4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20" w:type="dxa"/>
            <w:vAlign w:val="bottom"/>
            <w:gridSpan w:val="4"/>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Income taxes (1)</w:t>
            </w:r>
          </w:p>
        </w:tc>
        <w:tc>
          <w:tcPr>
            <w:tcW w:w="120" w:type="dxa"/>
            <w:vAlign w:val="bottom"/>
          </w:tcPr>
          <w:p>
            <w:pPr>
              <w:spacing w:after="0"/>
              <w:rPr>
                <w:sz w:val="24"/>
                <w:szCs w:val="24"/>
                <w:color w:val="auto"/>
              </w:rPr>
            </w:pPr>
          </w:p>
        </w:tc>
        <w:tc>
          <w:tcPr>
            <w:tcW w:w="12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3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(31,902)</w:t>
            </w: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3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loss on interest rate swap (3)</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3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63" w:lineRule="exact"/>
        <w:rPr>
          <w:sz w:val="20"/>
          <w:szCs w:val="20"/>
          <w:color w:val="auto"/>
        </w:rPr>
      </w:pPr>
    </w:p>
    <w:p>
      <w:pPr>
        <w:ind w:left="660" w:hanging="24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effect of changes in interest rate swap.</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interest rate swap settlements of effective hedge.</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derivative loss and settlements after discontinuation of hedge accounting.</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Income (Loss) Per Common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 company that has participating securities is required to utilize the two-class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method for calculating earnings per share (“EPS”) unless the treasury stock method results in lower EPS. The two-class method is an allocation of earnings between the holders of common stock and a company’s participating securities. Basic EPS is calculated by dividing income or loss attributable to common stockholders by the weighted average number of shares of common stock outstanding. To calculate diluted EPS, basic EPS is further adjusted to include the effect of potentially dilutive stock options, warrants, and convertible preferred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common share.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Preferred stock cumulative dividends and deemed dividends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0" w:type="dxa"/>
            <w:vAlign w:val="bottom"/>
          </w:tcPr>
          <w:p>
            <w:pPr>
              <w:spacing w:after="0"/>
              <w:rPr>
                <w:sz w:val="1"/>
                <w:szCs w:val="1"/>
                <w:color w:val="auto"/>
              </w:rPr>
            </w:pPr>
          </w:p>
        </w:tc>
      </w:tr>
      <w:tr>
        <w:trPr>
          <w:trHeight w:val="156"/>
        </w:trPr>
        <w:tc>
          <w:tcPr>
            <w:tcW w:w="564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Numerator for basic and diluted undistributed net loss per common share</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100" w:type="dxa"/>
            <w:vAlign w:val="bottom"/>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(17,065)</w:t>
            </w:r>
          </w:p>
        </w:tc>
        <w:tc>
          <w:tcPr>
            <w:tcW w:w="120" w:type="dxa"/>
            <w:vAlign w:val="bottom"/>
          </w:tcPr>
          <w:p>
            <w:pPr>
              <w:spacing w:after="0"/>
              <w:rPr>
                <w:sz w:val="13"/>
                <w:szCs w:val="13"/>
                <w:color w:val="auto"/>
              </w:rPr>
            </w:pPr>
          </w:p>
        </w:tc>
        <w:tc>
          <w:tcPr>
            <w:tcW w:w="5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(27,044)</w:t>
            </w:r>
          </w:p>
        </w:tc>
        <w:tc>
          <w:tcPr>
            <w:tcW w:w="0" w:type="dxa"/>
            <w:vAlign w:val="bottom"/>
          </w:tcPr>
          <w:p>
            <w:pPr>
              <w:spacing w:after="0"/>
              <w:rPr>
                <w:sz w:val="1"/>
                <w:szCs w:val="1"/>
                <w:color w:val="auto"/>
              </w:rPr>
            </w:pPr>
          </w:p>
        </w:tc>
      </w:tr>
      <w:tr>
        <w:trPr>
          <w:trHeight w:val="221"/>
        </w:trPr>
        <w:tc>
          <w:tcPr>
            <w:tcW w:w="5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42,952</w:t>
            </w:r>
          </w:p>
        </w:tc>
        <w:tc>
          <w:tcPr>
            <w:tcW w:w="0" w:type="dxa"/>
            <w:vAlign w:val="bottom"/>
          </w:tcPr>
          <w:p>
            <w:pPr>
              <w:spacing w:after="0"/>
              <w:rPr>
                <w:sz w:val="1"/>
                <w:szCs w:val="1"/>
                <w:color w:val="auto"/>
              </w:rPr>
            </w:pPr>
          </w:p>
        </w:tc>
      </w:tr>
      <w:tr>
        <w:trPr>
          <w:trHeight w:val="230"/>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for unvested restricted common stock</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for 2021 Warrants outstanding (2)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196"/>
        </w:trPr>
        <w:tc>
          <w:tcPr>
            <w:tcW w:w="564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Shares used to calculate net loss per share, basic and diluted</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44,708</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44,440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44,649</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43,561</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common share net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920" w:hanging="264"/>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does not participate in losses.</w:t>
      </w:r>
    </w:p>
    <w:p>
      <w:pPr>
        <w:spacing w:after="0" w:line="63" w:lineRule="exact"/>
        <w:rPr>
          <w:rFonts w:ascii="Times New Roman" w:cs="Times New Roman" w:eastAsia="Times New Roman" w:hAnsi="Times New Roman"/>
          <w:sz w:val="18"/>
          <w:szCs w:val="18"/>
          <w:color w:val="auto"/>
        </w:rPr>
      </w:pPr>
    </w:p>
    <w:p>
      <w:pPr>
        <w:ind w:left="900" w:right="280" w:hanging="244"/>
        <w:spacing w:after="0" w:line="282" w:lineRule="auto"/>
        <w:tabs>
          <w:tab w:leader="none" w:pos="9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2021 Warrants outstanding are included in shares outstanding for calculation of basic earnings per share because they are exercisable at an exercise price of $0.01 per share, subject to certain adjustments (see Note 15).</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presents securities that could be potentially dilutive in the future that were excluded from the calculation of diluted net loss per common share because they had an anti-dilutive effect.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8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60" w:type="dxa"/>
            <w:vAlign w:val="bottom"/>
            <w:gridSpan w:val="3"/>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62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Borders>
              <w:bottom w:val="single" w:sz="8" w:color="auto"/>
            </w:tcBorders>
            <w:gridSpan w:val="3"/>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2019 Warrants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8"/>
        </w:trPr>
        <w:tc>
          <w:tcPr>
            <w:tcW w:w="56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elected to allocate undistributed income to participating securities based on year-to-date results. As there was no undistributed income for the six months ended June 30, 2022, no such allocation was necessary. In addition, given the undistributed loss in the three and six months ended June 30, 2022 and 2021, options and the 2019 Warrants are considered anti-dilutive and were excluded from the calculation of diluted net loss per share. Stock options excluded from the calculations of diluted net loss per share had a per share exercise price ranging from $7.93 to $25.16 for the three months ended June 30, 2022, and $7.93 to $25.16 for three months ended June 30, 2021. Stock options excluded from the calculations of diluted net loss per share had a per share exercise price ranging from $7.93 to $25.16 for the six months ended June 30, 2022, and $7.93 to $25.16 for six months ended June 30, 2021. The 2019 Warrants excluded from the calculation of diluted net loss per share for the three and six months ended June 30, 2022 and 2021, had a per share exercise price of $11.49.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2021 Annual Report.</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derivatives, and long-term debt. As of June 30, 2022, the carrying values of these financial instruments approximated fair value.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Certain features were bifurcated and accounted for separately from the Series B Preferred Stock, which was redeemed in March 2021. The following feature was recorded as a derivative.</w:t>
      </w:r>
    </w:p>
    <w:p>
      <w:pPr>
        <w:spacing w:after="0" w:line="52" w:lineRule="exact"/>
        <w:rPr>
          <w:sz w:val="20"/>
          <w:szCs w:val="20"/>
          <w:color w:val="auto"/>
        </w:rPr>
      </w:pPr>
    </w:p>
    <w:p>
      <w:pPr>
        <w:ind w:left="660" w:right="60" w:hanging="328"/>
        <w:spacing w:after="0" w:line="26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conjunction with our placement of the Series B Preferred Stock in December 2019, we issued detachable warrants to purchase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 million shares of our common stock (the “2019 Warrants”), which are exercisable, in full or in part, at any time prior to December 11, 2026, at an exercise price of $11.49 per share.</w:t>
      </w:r>
    </w:p>
    <w:p>
      <w:pPr>
        <w:spacing w:after="0" w:line="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Certain features were bifurcated and accounted for separately from the Series D Preferred Stock that was issued on March 22, 2021. The following features were recorded as derivatives.</w:t>
      </w:r>
    </w:p>
    <w:p>
      <w:pPr>
        <w:spacing w:after="0" w:line="52" w:lineRule="exact"/>
        <w:rPr>
          <w:sz w:val="20"/>
          <w:szCs w:val="20"/>
          <w:color w:val="auto"/>
        </w:rPr>
      </w:pPr>
    </w:p>
    <w:p>
      <w:pPr>
        <w:ind w:left="660" w:right="200" w:hanging="328"/>
        <w:spacing w:after="0" w:line="26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Change-in-control put feature. </w:t>
      </w:r>
      <w:r>
        <w:rPr>
          <w:rFonts w:ascii="Times New Roman" w:cs="Times New Roman" w:eastAsia="Times New Roman" w:hAnsi="Times New Roman"/>
          <w:sz w:val="18"/>
          <w:szCs w:val="18"/>
          <w:color w:val="auto"/>
        </w:rPr>
        <w:t>The Series D Preferred Stock includes a put feature that allows the holder to redeem the Series D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 change in control at the greater of 1) the liquidation preference plus accrued dividends or 2) 140% of the liquidation preference. The put feature is considered a redemption right at a premium and is not clearly and closely related to the debt host.</w:t>
      </w:r>
    </w:p>
    <w:p>
      <w:pPr>
        <w:spacing w:after="0" w:line="65"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conjunction with our placement of the Series D Preferred Stock, we issued detachable warrants to purchase up to 1.9 million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The 2021 Warrants are exercisable, in full or in part, at any time prior to March 22, 2027, at an exercise price of $0.01 per share, subject to anti-dilution adjustments in the event of certain future equity issuances, stock splits, stock dividends, combinations or similar events.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liabilities measured at fair value for the Preferred Stock derivatives as of June 30, 2022 and December 31,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June 30, 2022</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5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20" w:type="dxa"/>
            <w:vAlign w:val="bottom"/>
          </w:tcPr>
          <w:p>
            <w:pPr>
              <w:spacing w:after="0"/>
              <w:rPr>
                <w:sz w:val="12"/>
                <w:szCs w:val="12"/>
                <w:color w:val="auto"/>
              </w:rPr>
            </w:pPr>
          </w:p>
        </w:tc>
        <w:tc>
          <w:tcPr>
            <w:tcW w:w="1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452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9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4,788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760"/>
        </w:trPr>
        <w:tc>
          <w:tcPr>
            <w:tcW w:w="4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2021</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7"/>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20" w:type="dxa"/>
            <w:vAlign w:val="bottom"/>
          </w:tcPr>
          <w:p>
            <w:pPr>
              <w:spacing w:after="0"/>
              <w:rPr>
                <w:sz w:val="11"/>
                <w:szCs w:val="11"/>
                <w:color w:val="auto"/>
              </w:rPr>
            </w:pPr>
          </w:p>
        </w:tc>
        <w:tc>
          <w:tcPr>
            <w:tcW w:w="16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5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0"/>
        </w:trPr>
        <w:tc>
          <w:tcPr>
            <w:tcW w:w="452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9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7,771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850"/>
        </w:trPr>
        <w:tc>
          <w:tcPr>
            <w:tcW w:w="4520" w:type="dxa"/>
            <w:vAlign w:val="bottom"/>
          </w:tcPr>
          <w:p>
            <w:pPr>
              <w:spacing w:after="0"/>
              <w:rPr>
                <w:sz w:val="24"/>
                <w:szCs w:val="24"/>
                <w:color w:val="auto"/>
              </w:rPr>
            </w:pPr>
          </w:p>
        </w:tc>
        <w:tc>
          <w:tcPr>
            <w:tcW w:w="19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the Preferred Stock derivatives during the six months ended June 30,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94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(1)</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w:t>
            </w: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580" w:right="300" w:hanging="248"/>
        <w:spacing w:after="0" w:line="282" w:lineRule="auto"/>
        <w:tabs>
          <w:tab w:leader="none" w:pos="5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are recognized in the “Other expense (income), net” line in the Condensed Consolidated Statements of Operations and Comprehensive Income (Loss).</w:t>
      </w:r>
    </w:p>
    <w:p>
      <w:pPr>
        <w:spacing w:after="0" w:line="21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fair value of the change-in-control put feature utilizes unobservable inputs based on the Company’s assessment of the probability of a change-in-control event occurring in a future period. The probability of a change-in-control event ranged from 3% to 10% as of June 30, 2022.</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 of the 2019 Warrants is determined using a valuation model that utilizes unobservable inputs to determine the probability that the 2019 Warrants will remain outstanding for future periods. The probabilities resulted in a weighted average term of 2.9 years as of June 30, 2022, and 3.6 years as of December 31, 2021.</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fair value of the 2021 Warrants is determined using the observable market price of a share of our common stock, less the $0.01 per share exercise price.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manage our exposure to fluctuations in interest rates using a mix of fixed and variable rate debt. We utilize fixed-rate interest rate swap agreements to change the variable interest rate to a fixed rate on a portion of our variable rate debt.</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LIBOR-based component of the interest rate on a portion of our variable rate debt to a fixed rate of 1.291% (the “2021 Swap”). The 2021 Swap has a notional amount of $60.0 million and a maturity date of July 31, 2024. The objective of the 2021 Swap is to eliminate the variability of cash flows in interest payments on the first $60.0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The changes in cash flows of the interest rate swap are expected to exactly offset changes in cash flows of the variable rate debt. We designated the 2021 Swap as a cash flow hedge at inception. Cash settlements of the 2021 Swap are recognized in interest expense.</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February 8, 2019, we entered into a $700.0 million fixed-rate interest rate swap agreement that changed the LIBOR-based portion of the interest rate on a portion of our variable rate debt to a fixed rate of 2.4575% (the “2019 Swap”). On March 22, 2021, we terminated the 2019 Swap with a $13.7 million cash payment in connection with the extinguishment of our previously outstanding long-term variable-rate debt. The 2019 Swap was designated as a cash flow hedge at inception. However, in the fourth quarter of 2020, the 2019 Swap no longer qualified as an effective hedge, and subsequent changes in fair value of the 2019 Swap were recognized in earnings. Amounts recognized in earnings related to the 2019 Swap are recorded in the “Loss on interest rate swap” line on the Condensed Consolidated Statements of Operations and Comprehensive Income (Loss) except that cash settlements prior to termination are recognized in “Derivative payments on interest rate swap.” Cash settlements during 2021 are presented in investing activities on the Condensed Consolidated Statements of Cash Flows.</w:t>
      </w:r>
    </w:p>
    <w:p>
      <w:pPr>
        <w:spacing w:after="0" w:line="8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the interest rate swaps on the Condensed Consolidated Statements of Operations and Comprehensive Income (Loss).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360" w:type="dxa"/>
            <w:vAlign w:val="bottom"/>
            <w:gridSpan w:val="4"/>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3"/>
                <w:szCs w:val="13"/>
                <w:color w:val="auto"/>
              </w:rPr>
            </w:pPr>
          </w:p>
        </w:tc>
      </w:tr>
      <w:tr>
        <w:trPr>
          <w:trHeight w:val="195"/>
        </w:trPr>
        <w:tc>
          <w:tcPr>
            <w:tcW w:w="5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(1)</w:t>
            </w:r>
          </w:p>
        </w:tc>
        <w:tc>
          <w:tcPr>
            <w:tcW w:w="94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payments on interest rate swap (2)</w:t>
            </w:r>
          </w:p>
        </w:tc>
        <w:tc>
          <w:tcPr>
            <w:tcW w:w="9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1,717</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interest rate swap (2)</w:t>
            </w: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2,033</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5540" w:right="4920" w:hanging="5208"/>
        <w:spacing w:after="0" w:line="616" w:lineRule="auto"/>
        <w:tabs>
          <w:tab w:leader="none" w:pos="59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settlements on the interest rate swaps while the hedges are effective.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Represents settlements and changes in fair value on the 2019 Swap.</w:t>
      </w:r>
    </w:p>
    <w:p>
      <w:pPr>
        <w:spacing w:after="0" w:line="22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assets and liabilities measured at fair value on a recurring basis for the interest rate swaps as of June 30, 2022 and December 31, 2021.</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June 30, 2022</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72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5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60" w:type="dxa"/>
            <w:vAlign w:val="bottom"/>
          </w:tcPr>
          <w:p>
            <w:pPr>
              <w:jc w:val="center"/>
              <w:ind w:left="8"/>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2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6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0"/>
        </w:trPr>
        <w:tc>
          <w:tcPr>
            <w:tcW w:w="6260" w:type="dxa"/>
            <w:vAlign w:val="bottom"/>
            <w:vMerge w:val="continue"/>
          </w:tcPr>
          <w:p>
            <w:pPr>
              <w:spacing w:after="0"/>
              <w:rPr>
                <w:sz w:val="16"/>
                <w:szCs w:val="16"/>
                <w:color w:val="auto"/>
              </w:rPr>
            </w:pPr>
          </w:p>
        </w:tc>
        <w:tc>
          <w:tcPr>
            <w:tcW w:w="17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 - other 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 - other non-current assets</w:t>
            </w:r>
          </w:p>
        </w:tc>
        <w:tc>
          <w:tcPr>
            <w:tcW w:w="12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7"/>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2021</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80" w:type="dxa"/>
            <w:vAlign w:val="bottom"/>
          </w:tcPr>
          <w:p>
            <w:pPr>
              <w:spacing w:after="0"/>
              <w:rPr>
                <w:sz w:val="11"/>
                <w:szCs w:val="11"/>
                <w:color w:val="auto"/>
              </w:rPr>
            </w:pPr>
          </w:p>
        </w:tc>
        <w:tc>
          <w:tcPr>
            <w:tcW w:w="17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1"/>
                <w:szCs w:val="11"/>
                <w:color w:val="auto"/>
              </w:rPr>
            </w:pPr>
          </w:p>
        </w:tc>
        <w:tc>
          <w:tcPr>
            <w:tcW w:w="1460" w:type="dxa"/>
            <w:vAlign w:val="bottom"/>
          </w:tcPr>
          <w:p>
            <w:pPr>
              <w:jc w:val="center"/>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1"/>
                <w:szCs w:val="11"/>
                <w:color w:val="auto"/>
              </w:rPr>
            </w:pPr>
          </w:p>
        </w:tc>
        <w:tc>
          <w:tcPr>
            <w:tcW w:w="15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1"/>
                <w:szCs w:val="11"/>
                <w:color w:val="auto"/>
              </w:rPr>
            </w:pPr>
          </w:p>
        </w:tc>
        <w:tc>
          <w:tcPr>
            <w:tcW w:w="146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0"/>
        </w:trPr>
        <w:tc>
          <w:tcPr>
            <w:tcW w:w="6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 - other non-current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other current liabilities</w:t>
            </w:r>
          </w:p>
        </w:tc>
        <w:tc>
          <w:tcPr>
            <w:tcW w:w="12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inputs for determining fair value of the interest rate swaps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Counterparty to this derivative contract is a highly rated financial institution which we believe carries only a minimal risk of nonperformance.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Rate Debt</w:t>
      </w:r>
    </w:p>
    <w:p>
      <w:pPr>
        <w:spacing w:after="0" w:line="11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fair value of our outstanding fixed-rate debt included in the “International lines of credit and other loans” line item within Note 7 to these Notes to Condensed Consolidated Financial Statements approximated carrying value as of June 30, 2022 and December 31, 2021, respectively. These fair values represent Level 2 under the three-tier hierarchy described above. The carrying value of this fixed-rate debt was $9.3 million and $10.9 million as of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NN, Inc. is a global diversified industrial company that combines advanced engineering and production capabilities with in-depth materials science expertise to design and manufacture high-precision components and assemblies primarily for the electrical, automotive, general industrial, aerospace, defense, and medical markets. As used in this Quarterly Report, the terms “NN,” the “Company,” “we,” “our,” or “us” refer to NN, Inc. and its subsidiaries.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the COVID-19 pandemic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currency fluctuation, and other risks of doing business outside of the United States; inflationary pressures and changes in the cost or availability of materials, supply chain shortages and disruptions, and the availability of labor; our dependence on certain major customers, some of whom are not parties to long-term agreements (and/or are terminable on short notice);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cyber liability or potential liability for breaches of our or our service providers’ information technology systems or business operations disruptions;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8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sections titled “Item 1A. Risk Factors” in the 2021 Annual Report and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That May Influence Results of Operations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paragraphs describe factors that have influenced results of operations for the six months ended June 30, 2022, that management believes are important to provide an understanding of the business and results of operations or that may influence operations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Global COVID-19 Pandemic</w:t>
      </w:r>
    </w:p>
    <w:p>
      <w:pPr>
        <w:spacing w:after="0" w:line="50"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COVID-19 pandemic continues to impact our business operations and our customers' and suppliers' ability to operate at normal levels. Disruptions in normal operating levels continue to create supply chain disruptions and inflationary cost pressures within our end-markets. We anticipate supply chain constraints and the inflationary environment will continue during 2022.</w:t>
      </w:r>
    </w:p>
    <w:p>
      <w:pPr>
        <w:spacing w:after="0" w:line="82"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spread of COVID-19 and the responses thereto have created, and could continue to create, a disruption in the manufacturing, delivery, and overall supply chain of automobile manufacturers and suppliers, as well as disruption within the power industry. During the first half of 2022, production continued to be impacted by disruptions of global supply chains, which have caused challenges in obtaining raw materials we use in the manufacture of some of our products. In addition, power shortages in China have resulted in widespread blackouts, often without any or little notice. These blackouts caused us and other manufacturers in the region to shut down production until power was restored. Supply chain and COVID-19 related disruptions are expected to continue during 2022.</w:t>
      </w:r>
    </w:p>
    <w:p>
      <w:pPr>
        <w:spacing w:after="0" w:line="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Inflation triggered by the unprecedented economic impact of the COVID-19 pandemic and current geopolitical instability has increased our manufacturing costs, particularly labor and materials, in 2022 and is expected to continue into future periods.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undertaken a number of permanent and temporary actions to manage the evolving situation. We continue to streamline facilities and implement cost savings initiatives. Capital expenditures and travel costs remain at relatively low levels.</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focused on the health and safety of our employees, customers, and suppliers and have implemented processes to ensure a safe environment for our employees and any visitors to our facilities, including providing personal protective equipment and establishing social distancing protocols.</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processes include recommendations based on guidelines from the Centers for Disease Control and Prevention and the World Health Organization. The health and safety of our employees remains our top priority. While we are actively promoting vaccination among our employees, vaccination status may affect workforce availability ranging from absences for vaccinations, booster shots, and recovery from side-effects. We have implemented training and recruiting programs to address labor shortages, but, significant workforce availability challenges could have a material effect on our business operations, financial results, liquidity, and financial position.</w:t>
      </w:r>
    </w:p>
    <w:p>
      <w:pPr>
        <w:spacing w:after="0" w:line="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COVID-19 and its impacts are unprecedented and continuously evolving, and the long-term impacts to our business, financial condition, results of operations and cash flows are still uncertain.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2022 compared to the Three Months Ended June 30,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Results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00" w:type="dxa"/>
            <w:vAlign w:val="bottom"/>
          </w:tcPr>
          <w:p>
            <w:pPr>
              <w:spacing w:after="0"/>
              <w:rPr>
                <w:sz w:val="16"/>
                <w:szCs w:val="16"/>
                <w:color w:val="auto"/>
              </w:rPr>
            </w:pPr>
          </w:p>
        </w:tc>
      </w:tr>
      <w:tr>
        <w:trPr>
          <w:trHeight w:val="23"/>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6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00" w:type="dxa"/>
            <w:vAlign w:val="bottom"/>
            <w:tcBorders>
              <w:bottom w:val="single" w:sz="8" w:color="auto"/>
            </w:tcBorders>
          </w:tcPr>
          <w:p>
            <w:pPr>
              <w:spacing w:after="0"/>
              <w:rPr>
                <w:sz w:val="16"/>
                <w:szCs w:val="16"/>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622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Organic growth</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2,700</w:t>
            </w:r>
          </w:p>
        </w:tc>
      </w:tr>
      <w:tr>
        <w:trPr>
          <w:trHeight w:val="229"/>
        </w:trPr>
        <w:tc>
          <w:tcPr>
            <w:tcW w:w="6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(495)</w:t>
            </w: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6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5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r>
      <w:tr>
        <w:trPr>
          <w:trHeight w:val="155"/>
        </w:trPr>
        <w:tc>
          <w:tcPr>
            <w:tcW w:w="62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before benefit (provision) for income taxes and share of net income from joint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4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venture</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5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5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by $2.2 million, or 1.8%, during the three months ended June 30, 2022, compared to the three months ended June 30,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increased pricing to recover certain inflationary costs and underutilized fixed costs caused by lower-than-expected customer demand. These increases were partially offset by lower demand in Mobile Solutions which was impacted by the war in Ukraine, COVID disruptions in China, continued supply chain disruptions and unfavorable foreign exchange effects of $0.5 million.</w:t>
      </w:r>
    </w:p>
    <w:p>
      <w:pPr>
        <w:spacing w:after="0" w:line="7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$4.1 million, or 4.1%, during the three months ended June 30, 2022, compared to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primarily due to inflationary costs, partially offset by lower sales volume.</w:t>
      </w:r>
    </w:p>
    <w:p>
      <w:pPr>
        <w:spacing w:after="0" w:line="5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$1.2 million during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2022, compared to the three months ended June 30, 2021, primarily due to legal fees related to litigation, higher stock compensation expense and higher professional fees. These increases were partially offset by the reduction in severance and retention costs incurred in the prior year.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$0.1 million during the three months ended June 30, 2022, compared to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primarily due to a higher amount of interest expense that was capitalized in the current quarter compared with the second quarter of 2021.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2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r>
      <w:tr>
        <w:trPr>
          <w:trHeight w:val="21"/>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(income), net changed favorably by $1.7 million during the three months ended June 30, 2022,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2021, due to noncash derivative mark-to-market gains during 2022 and the impact of a litigation settlement reached during the second quarter of 2021. These impacts were partially offset by unfavorable foreign exchange effects associated with intercompany borrowings.</w:t>
      </w:r>
    </w:p>
    <w:p>
      <w:pPr>
        <w:spacing w:after="0" w:line="6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Benefit (Provision) For Income Taxes</w:t>
      </w:r>
      <w:r>
        <w:rPr>
          <w:rFonts w:ascii="Times New Roman" w:cs="Times New Roman" w:eastAsia="Times New Roman" w:hAnsi="Times New Roman"/>
          <w:sz w:val="18"/>
          <w:szCs w:val="18"/>
          <w:color w:val="auto"/>
        </w:rPr>
        <w:t>. Our effective tax rate was (13.2)% for the three months ended June 30, 2022, compared to 3.4%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2021. The rate for the three months ended June 30, 2022 was unfavorably impacted due to the accrual of tax on non-permanently reinvested unremitted earnings of foreign subsidiaries and by the limitation on the amount of tax benefit recorded for loss carryforwards in certain jurisdictions where we believe it is more likely than not that a portion of the future tax benefit may not be realized.</w:t>
      </w:r>
    </w:p>
    <w:p>
      <w:pPr>
        <w:spacing w:after="0" w:line="7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Share of net income from the JV decreased during the three months ended June 30, 2022,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2021, primarily due to decreased profits resulting from lower sales and inflationary costs in the current quarter. The JV, in which we own a 49% investment, recognized net sales of $22.9 million and $22.3 million for the three months ended June 30, 2022 and 2021,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80" w:type="dxa"/>
            <w:vAlign w:val="bottom"/>
            <w:tcBorders>
              <w:bottom w:val="single" w:sz="8" w:color="auto"/>
            </w:tcBorders>
          </w:tcPr>
          <w:p>
            <w:pPr>
              <w:spacing w:after="0"/>
              <w:rPr>
                <w:sz w:val="16"/>
                <w:szCs w:val="16"/>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(536)</w:t>
            </w:r>
          </w:p>
        </w:tc>
        <w:tc>
          <w:tcPr>
            <w:tcW w:w="780" w:type="dxa"/>
            <w:vAlign w:val="bottom"/>
            <w:shd w:val="clear" w:color="auto" w:fill="CCEEFF"/>
          </w:tcPr>
          <w:p>
            <w:pPr>
              <w:spacing w:after="0"/>
              <w:rPr>
                <w:sz w:val="19"/>
                <w:szCs w:val="19"/>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Organic decline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tcPr>
          <w:p>
            <w:pPr>
              <w:jc w:val="right"/>
              <w:ind w:right="475"/>
              <w:spacing w:after="0"/>
              <w:rPr>
                <w:sz w:val="20"/>
                <w:szCs w:val="20"/>
                <w:color w:val="auto"/>
              </w:rPr>
            </w:pPr>
            <w:r>
              <w:rPr>
                <w:rFonts w:ascii="Times New Roman" w:cs="Times New Roman" w:eastAsia="Times New Roman" w:hAnsi="Times New Roman"/>
                <w:sz w:val="18"/>
                <w:szCs w:val="18"/>
                <w:i w:val="1"/>
                <w:i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(75)</w:t>
            </w: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(461)</w:t>
            </w: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Pr>
          <w:p>
            <w:pPr>
              <w:spacing w:after="0"/>
              <w:rPr>
                <w:sz w:val="20"/>
                <w:szCs w:val="20"/>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rPr>
              <w:t>(780)</w:t>
            </w:r>
          </w:p>
        </w:tc>
        <w:tc>
          <w:tcPr>
            <w:tcW w:w="780" w:type="dxa"/>
            <w:vAlign w:val="bottom"/>
          </w:tcPr>
          <w:p>
            <w:pPr>
              <w:spacing w:after="0"/>
              <w:rPr>
                <w:sz w:val="20"/>
                <w:szCs w:val="20"/>
                <w:color w:val="auto"/>
              </w:rPr>
            </w:pPr>
          </w:p>
        </w:tc>
      </w:tr>
    </w:tbl>
    <w:p>
      <w:pPr>
        <w:spacing w:after="0" w:line="24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sales decreased by $0.5 million, or (0.7)%, during the three months ended June 30, 2022, compared to the three months ended June 30, 2021, primarily due to lower sales of diesel components due to lower European demand which is impacted by the war in Ukraine, pandemic interruptions in China, lost sales associated with certain fuel systems reaching end of production, and unfavorable foreign exchange effects of $0.5 million. These unfavorable impacts were partially offset by increased pricing to recover certain inflationary costs and underutilized fixed costs caused by lower-than-expected customer demand.</w:t>
      </w:r>
    </w:p>
    <w:p>
      <w:pPr>
        <w:spacing w:after="0" w:line="14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by $0.8 million during the three months ended June 30, 2022, compared to the same period in the prior year, primarily due to inflationary costs not fully recovered in customer pricing and variable cost inefficiencies associated with supply chain interruptions, uneven customer ordering patterns, and labor constraints caused by pandemic interruptions.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gridSpan w:val="4"/>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6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Borders>
              <w:bottom w:val="single" w:sz="8" w:color="auto"/>
            </w:tcBorders>
          </w:tcPr>
          <w:p>
            <w:pPr>
              <w:spacing w:after="0"/>
              <w:rPr>
                <w:sz w:val="16"/>
                <w:szCs w:val="16"/>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2,778</w:t>
            </w:r>
          </w:p>
        </w:tc>
        <w:tc>
          <w:tcPr>
            <w:tcW w:w="760" w:type="dxa"/>
            <w:vAlign w:val="bottom"/>
            <w:shd w:val="clear" w:color="auto" w:fill="CCEEFF"/>
          </w:tcPr>
          <w:p>
            <w:pPr>
              <w:spacing w:after="0"/>
              <w:rPr>
                <w:sz w:val="19"/>
                <w:szCs w:val="19"/>
                <w:color w:val="auto"/>
              </w:rPr>
            </w:pPr>
          </w:p>
        </w:tc>
      </w:tr>
      <w:tr>
        <w:trPr>
          <w:trHeight w:val="229"/>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Organic growth</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Pr>
          <w:p>
            <w:pPr>
              <w:jc w:val="right"/>
              <w:ind w:right="495"/>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2,812</w:t>
            </w:r>
          </w:p>
        </w:tc>
      </w:tr>
      <w:tr>
        <w:trPr>
          <w:trHeight w:val="230"/>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rPr>
              <w:t>(1,445)</w:t>
            </w:r>
          </w:p>
        </w:tc>
        <w:tc>
          <w:tcPr>
            <w:tcW w:w="760" w:type="dxa"/>
            <w:vAlign w:val="bottom"/>
          </w:tcPr>
          <w:p>
            <w:pPr>
              <w:spacing w:after="0"/>
              <w:rPr>
                <w:sz w:val="20"/>
                <w:szCs w:val="20"/>
                <w:color w:val="auto"/>
              </w:rPr>
            </w:pPr>
          </w:p>
        </w:tc>
      </w:tr>
    </w:tbl>
    <w:p>
      <w:pPr>
        <w:spacing w:after="0" w:line="4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Net sales increased by $2.8 million, or 5.6%, during the three months ended June 30, 2022 compared to the three months ended June 30, 2021. The increase in sales was the result of increased electric component sales, which were up 15.6% compared with the second quarter of 2021, primarily due to higher customer pricing to recover inflationary costs and improved volume, offset by lower sales to automotive and aerospace and defense customers.</w:t>
      </w:r>
    </w:p>
    <w:p>
      <w:pPr>
        <w:spacing w:after="0" w:line="8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by $1.4 million during the three months ended June 30, 2022 compared to the same period in the prior year, primarily due to inflationary costs which were not fully recovered from pricing, variable cost inefficiencies associated with supply chain interruptions and uneven customer ordering patterns.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 compared to the Six Months Ended June 30,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Results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tcBorders>
              <w:bottom w:val="single" w:sz="8" w:color="auto"/>
            </w:tcBorders>
          </w:tcPr>
          <w:p>
            <w:pPr>
              <w:spacing w:after="0"/>
              <w:rPr>
                <w:sz w:val="16"/>
                <w:szCs w:val="16"/>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249,961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28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Organic growth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i w:val="1"/>
                <w:i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3,804</w:t>
            </w:r>
          </w:p>
        </w:tc>
      </w:tr>
      <w:tr>
        <w:trPr>
          <w:trHeight w:val="229"/>
        </w:trPr>
        <w:tc>
          <w:tcPr>
            <w:tcW w:w="5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i w:val="1"/>
                <w:i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(336)</w:t>
            </w:r>
          </w:p>
        </w:tc>
      </w:tr>
      <w:tr>
        <w:trPr>
          <w:trHeight w:val="176"/>
        </w:trPr>
        <w:tc>
          <w:tcPr>
            <w:tcW w:w="52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Cost of sales (exclusive of depreciation and amortization shown</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separately below)</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199,485</w:t>
            </w:r>
          </w:p>
        </w:tc>
        <w:tc>
          <w:tcPr>
            <w:tcW w:w="10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payments on interest rate swap</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155"/>
        </w:trPr>
        <w:tc>
          <w:tcPr>
            <w:tcW w:w="52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w w:val="99"/>
              </w:rPr>
              <w:t>Loss before benefit (provision) for income taxes and share of net income</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joint venture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236"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by $3.5 million, or 1.4%, during the six months ended June 30, 2022, compared to the six months ended June 30,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increased pricing to recover certain inflationary costs and underutilized fixed costs caused by lower-than-expected customer demand. These increases were partially offset by lower demand in Mobile Solutions which was impacted by the war in Ukraine, COVID disruptions in China, continued supply chain disruptions and unfavorable foreign exchange effects $0.3 million.</w:t>
      </w:r>
    </w:p>
    <w:p>
      <w:pPr>
        <w:spacing w:after="0" w:line="72"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$9.0 million, or 4.5%, during the six months ended June 30, 2022, compared to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primarily due to inflationary costs, partially offset by lower sales volume.</w:t>
      </w:r>
    </w:p>
    <w:p>
      <w:pPr>
        <w:spacing w:after="0" w:line="5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$0.1 million during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the six months ended June 30, 2021, primarily due to legal fees related to litigation, higher stock compensation expense and higher professional fees. These increases were partially offset by the reduction in severance and retention costs incurred in the prior year.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3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 (Income), Net. </w:t>
      </w:r>
      <w:r>
        <w:rPr>
          <w:rFonts w:ascii="Times New Roman" w:cs="Times New Roman" w:eastAsia="Times New Roman" w:hAnsi="Times New Roman"/>
          <w:sz w:val="18"/>
          <w:szCs w:val="18"/>
          <w:color w:val="auto"/>
        </w:rPr>
        <w:t>Other operating expense (income), net changed unfavorably by $2.2 million primarily due to a legal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reached during the first quarter of 2022.</w:t>
      </w:r>
    </w:p>
    <w:p>
      <w:pPr>
        <w:spacing w:after="0" w:line="50"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$1.3 million during the six months ended June 30, 2022, compared to the six months ended June 30,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higher interest rates and a larger average debt balance as a result of the credit facility and preferred stock refinance during the first quarter of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w:t>
            </w:r>
          </w:p>
        </w:tc>
      </w:tr>
      <w:tr>
        <w:trPr>
          <w:trHeight w:val="21"/>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and Write-off of Debt Issuance Costs. </w:t>
      </w:r>
      <w:r>
        <w:rPr>
          <w:rFonts w:ascii="Times New Roman" w:cs="Times New Roman" w:eastAsia="Times New Roman" w:hAnsi="Times New Roman"/>
          <w:sz w:val="18"/>
          <w:szCs w:val="18"/>
          <w:color w:val="auto"/>
        </w:rPr>
        <w:t>We recognized $2.4 million in the first quarter of 2021 for the write-off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unamortized debt issuance costs associated with the credit facility that was terminated in March 2021.</w:t>
      </w:r>
    </w:p>
    <w:p>
      <w:pPr>
        <w:spacing w:after="0" w:line="5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 Payments on Interest Rate Swap. </w:t>
      </w:r>
      <w:r>
        <w:rPr>
          <w:rFonts w:ascii="Times New Roman" w:cs="Times New Roman" w:eastAsia="Times New Roman" w:hAnsi="Times New Roman"/>
          <w:sz w:val="18"/>
          <w:szCs w:val="18"/>
          <w:color w:val="auto"/>
        </w:rPr>
        <w:t>Derivative payments on interest rate swap represent cash settlements of an interest rate swap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in the first quarter of 2021. We entered into a new interest rate swap in the third quarter of 2021, which is designated as a cash flow hedge with the impact of settlements recognized in interest expense.</w:t>
      </w:r>
    </w:p>
    <w:p>
      <w:pPr>
        <w:spacing w:after="0" w:line="65"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Loss on Interest Rate Swap</w:t>
      </w:r>
      <w:r>
        <w:rPr>
          <w:rFonts w:ascii="Times New Roman" w:cs="Times New Roman" w:eastAsia="Times New Roman" w:hAnsi="Times New Roman"/>
          <w:sz w:val="18"/>
          <w:szCs w:val="18"/>
          <w:color w:val="auto"/>
        </w:rPr>
        <w:t>. We recognized a $2.0 million loss in the first quarter of 2021 related to the termination of the previous interest rate swap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2021.</w:t>
      </w:r>
    </w:p>
    <w:p>
      <w:pPr>
        <w:spacing w:after="0" w:line="50"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Other expense (income), net changed favorably by $4.6 million during the six months ended June 30, 2022,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2021, due to noncash derivative mark-to-market gains during 2022 and the impact of a litigation settlement reached during the second quarter of 2021.</w:t>
      </w:r>
    </w:p>
    <w:p>
      <w:pPr>
        <w:spacing w:after="0" w:line="6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Benefit (Provision) for Income Taxes. </w:t>
      </w:r>
      <w:r>
        <w:rPr>
          <w:rFonts w:ascii="Times New Roman" w:cs="Times New Roman" w:eastAsia="Times New Roman" w:hAnsi="Times New Roman"/>
          <w:sz w:val="18"/>
          <w:szCs w:val="18"/>
          <w:color w:val="auto"/>
        </w:rPr>
        <w:t>Our effective tax rate was (21.9)% for the six months ended June 30, 2022, compared to 7.1%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2021. The rate for the six months ended June 30, 2022 was unfavorably impacted by the accrual of tax on non-permanently reinvested unremitted earnings of foreign subsidiaries and by the limitation on the amount of tax benefit recorded for loss carryforwards in certain jurisdictions where we believe it is more likely than not that a portion of the future tax benefit may not be realized. The rate for the six months ended June 30, 2021 was favorably impacted by the change in assertion and reduction in the accrual of tax on non-permanently reinvested unremitted earnings of foreign subsidiaries.</w:t>
      </w:r>
    </w:p>
    <w:p>
      <w:pPr>
        <w:spacing w:after="0" w:line="74"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Share of Net Income from Joint Venture. </w:t>
      </w:r>
      <w:r>
        <w:rPr>
          <w:rFonts w:ascii="Times New Roman" w:cs="Times New Roman" w:eastAsia="Times New Roman" w:hAnsi="Times New Roman"/>
          <w:sz w:val="17"/>
          <w:szCs w:val="17"/>
          <w:color w:val="auto"/>
        </w:rPr>
        <w:t>Share of net income from the JV decreased during the six months ended June 30, 2022,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2021, primarily due to decreased profits resulting from inflationary costs partially offset by higher sales volume. The JV, in which we own a 49% investment, recognized net sales of $49.4 million and $45.7 million for the six months ended June 30, 2022 and 2021,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tcBorders>
              <w:bottom w:val="single" w:sz="8" w:color="auto"/>
            </w:tcBorders>
          </w:tcPr>
          <w:p>
            <w:pPr>
              <w:spacing w:after="0"/>
              <w:rPr>
                <w:sz w:val="16"/>
                <w:szCs w:val="16"/>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(2,242)</w:t>
            </w:r>
          </w:p>
        </w:tc>
        <w:tc>
          <w:tcPr>
            <w:tcW w:w="840" w:type="dxa"/>
            <w:vAlign w:val="bottom"/>
            <w:shd w:val="clear" w:color="auto" w:fill="CCEEFF"/>
          </w:tcPr>
          <w:p>
            <w:pPr>
              <w:spacing w:after="0"/>
              <w:rPr>
                <w:sz w:val="19"/>
                <w:szCs w:val="19"/>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Organic decline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jc w:val="right"/>
              <w:ind w:right="415"/>
              <w:spacing w:after="0"/>
              <w:rPr>
                <w:sz w:val="20"/>
                <w:szCs w:val="20"/>
                <w:color w:val="auto"/>
              </w:rPr>
            </w:pPr>
            <w:r>
              <w:rPr>
                <w:rFonts w:ascii="Times New Roman" w:cs="Times New Roman" w:eastAsia="Times New Roman" w:hAnsi="Times New Roman"/>
                <w:sz w:val="18"/>
                <w:szCs w:val="18"/>
                <w:i w:val="1"/>
                <w:i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(1,940)</w:t>
            </w: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(302)</w:t>
            </w: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100" w:type="dxa"/>
            <w:vAlign w:val="bottom"/>
          </w:tcPr>
          <w:p>
            <w:pPr>
              <w:spacing w:after="0"/>
              <w:rPr>
                <w:sz w:val="20"/>
                <w:szCs w:val="20"/>
                <w:color w:val="auto"/>
              </w:rPr>
            </w:pP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(4,901)</w:t>
            </w:r>
          </w:p>
        </w:tc>
        <w:tc>
          <w:tcPr>
            <w:tcW w:w="840" w:type="dxa"/>
            <w:vAlign w:val="bottom"/>
          </w:tcPr>
          <w:p>
            <w:pPr>
              <w:spacing w:after="0"/>
              <w:rPr>
                <w:sz w:val="20"/>
                <w:szCs w:val="20"/>
                <w:color w:val="auto"/>
              </w:rPr>
            </w:pPr>
          </w:p>
        </w:tc>
      </w:tr>
    </w:tbl>
    <w:p>
      <w:pPr>
        <w:spacing w:after="0" w:line="22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Net sales decreased by $2.2 million, or (1.5)%, during the six months ended June 30, 2022, compared to the six months ended June 30, 2021, primarily due to lower sales of diesel components due to lower European demand which was impacted by the war in Ukraine, pandemic interruptions in China, lost sales associated with certain fuel systems reaching end of production, and unfavorable foreign exchange effects of $0.3 million. These unfavorable impacts were partially offset by increased pricing to recover certain inflationary costs and underutilized fixed costs caused by lower-than-expected customer demand.</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Income from operations decreased by $4.9 million during the six months ended June 30, 2022 compared to the same period in the prior year, primarily due to inflationary costs not fully recovered in customer pricing and variable cost inefficiencies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supply chain interruptions, uneven customer ordering patterns, and labor constraints caused by pandemic interruptions.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
        </w:trPr>
        <w:tc>
          <w:tcPr>
            <w:tcW w:w="5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5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80" w:type="dxa"/>
            <w:vAlign w:val="bottom"/>
            <w:tcBorders>
              <w:bottom w:val="single" w:sz="8" w:color="auto"/>
            </w:tcBorders>
          </w:tcPr>
          <w:p>
            <w:pPr>
              <w:spacing w:after="0"/>
              <w:rPr>
                <w:sz w:val="16"/>
                <w:szCs w:val="16"/>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5,714</w:t>
            </w:r>
          </w:p>
        </w:tc>
        <w:tc>
          <w:tcPr>
            <w:tcW w:w="780" w:type="dxa"/>
            <w:vAlign w:val="bottom"/>
            <w:shd w:val="clear" w:color="auto" w:fill="CCEEFF"/>
          </w:tcPr>
          <w:p>
            <w:pPr>
              <w:spacing w:after="0"/>
              <w:rPr>
                <w:sz w:val="19"/>
                <w:szCs w:val="19"/>
                <w:color w:val="auto"/>
              </w:rPr>
            </w:pPr>
          </w:p>
        </w:tc>
      </w:tr>
      <w:tr>
        <w:trPr>
          <w:trHeight w:val="229"/>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Organic growth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ind w:right="475"/>
              <w:spacing w:after="0"/>
              <w:rPr>
                <w:sz w:val="20"/>
                <w:szCs w:val="20"/>
                <w:color w:val="auto"/>
              </w:rPr>
            </w:pPr>
            <w:r>
              <w:rPr>
                <w:rFonts w:ascii="Times New Roman" w:cs="Times New Roman" w:eastAsia="Times New Roman" w:hAnsi="Times New Roman"/>
                <w:sz w:val="18"/>
                <w:szCs w:val="18"/>
                <w:i w:val="1"/>
                <w:i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5,748</w:t>
            </w: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w:t>
            </w:r>
          </w:p>
        </w:tc>
      </w:tr>
      <w:tr>
        <w:trPr>
          <w:trHeight w:val="23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rPr>
              <w:t>(3,513)</w:t>
            </w:r>
          </w:p>
        </w:tc>
        <w:tc>
          <w:tcPr>
            <w:tcW w:w="780" w:type="dxa"/>
            <w:vAlign w:val="bottom"/>
          </w:tcPr>
          <w:p>
            <w:pPr>
              <w:spacing w:after="0"/>
              <w:rPr>
                <w:sz w:val="20"/>
                <w:szCs w:val="20"/>
                <w:color w:val="auto"/>
              </w:rPr>
            </w:pPr>
          </w:p>
        </w:tc>
      </w:tr>
    </w:tbl>
    <w:p>
      <w:pPr>
        <w:spacing w:after="0" w:line="2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increased by $5.7 million, or 5.8%, during the six months ended June 30, 2022, compared to the six months ended June 30, 2021, primarily due to higher customer pricing to recover inflationary costs.</w:t>
      </w:r>
    </w:p>
    <w:p>
      <w:pPr>
        <w:spacing w:after="0" w:line="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by $3.5 million during the six months ended June 30, 2022 compared to the same period in the prior year, primarily due to a $1.8 million litigation settlement to settle claims from 2016, inflationary costs which were not fully recovered from pricing, variable cost inefficiencies associated with supply chain interruptions, uneven customer ordering patterns, and labor constraints caused by pandemic interruptions.</w:t>
      </w:r>
    </w:p>
    <w:p>
      <w:pPr>
        <w:spacing w:after="0" w:line="172" w:lineRule="exact"/>
        <w:rPr>
          <w:sz w:val="20"/>
          <w:szCs w:val="20"/>
          <w:color w:val="auto"/>
        </w:rPr>
      </w:pPr>
    </w:p>
    <w:p>
      <w:pPr>
        <w:ind w:right="560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Changes in Financial Condition from December 31, 2021 to June 30, 2022 </w:t>
      </w:r>
      <w:r>
        <w:rPr>
          <w:rFonts w:ascii="Times New Roman" w:cs="Times New Roman" w:eastAsia="Times New Roman" w:hAnsi="Times New Roman"/>
          <w:sz w:val="18"/>
          <w:szCs w:val="18"/>
          <w:i w:val="1"/>
          <w:iCs w:val="1"/>
          <w:color w:val="auto"/>
        </w:rPr>
        <w:t>Overview</w:t>
      </w:r>
    </w:p>
    <w:p>
      <w:pPr>
        <w:spacing w:after="0" w:line="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From December 31, 2021 to June 30, 2022, total assets decreased by $5.9 million primarily due to normal depreciation and amortization of fixed assets, lease right-of-use assets, and intangible assets. These decreases were partially offset by increases in accounts receivable and inventories during the six months ended June 30, 2022. The increase in accounts receivable is due to higher sales during the end of the current quarter compared with the end of the fourth quarter of 2021. The value of inventory increased due to higher material costs as well as higher quantities to maintain customer safety stock due to ongoing supply chain interruptions, especially in China.</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From December 31, 2021 to June 30, 2022, total liabilities increased by $6.7 million, primarily due to increases in accounts payable attributed to higher inventory balances at June 30, 2022.</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Working capital, which consists of current assets less current liabilities, was $122.3 million as of June 30, 2022 and December 31, 2021. The balance of working capital remained constant as an increase in accounts receivable and inventory was offset by an increase in accounts payable and other current liabilities.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6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Cash used in operations was $2.5 million for the six months ended June 30, 2022, compared with cash provided by operations of $5.9 million for the six months ended June 30, 2021. The difference was primarily due to an increase in accounts receivable related to higher sales during the current quarter compared with the fourth quarter of 2021.</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$9.3 million for the six months ended June 30, 2022, compared with cash used in investing activities of $30.2 million for the six months ended June 30, 2021. The difference was primarily due to cash paid to settle the interest rate swap in the first quarter of 2021.</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$1.0 million for the six months ended June 30, 2022, compared with cash provided by financing activities of $6.9 million for the six months ended June 30, 2021. The difference was primarily due to the debt and preferred stock refinancing in the first quarter of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principal amount outstanding under our Term Loan Facility as of June 30, 2022, was $148.1 million, without regard to unamortized debt issuance costs and discount. As of June 30, 2022, we had $36.9 million available for future borrowings under the ABL Facility. This amount of borrowing capacity is net of $2.0 million of outstanding borrowings and $11.1 million of outstanding letters of credit at June 30, 2022, which are considered as usage of the ABL Facility.</w:t>
      </w:r>
    </w:p>
    <w:p>
      <w:pPr>
        <w:spacing w:after="0" w:line="7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on the final maturity date of September 22, 2026. Outstanding borrowings under the Term Loan Facility bear interest at either 1) one-month LIBOR (subject to a 1.000% floor) plus an applicable margin of 6.875% or 2) the greater of various benchmark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rates plus an applicable margin of 5.875%. Based on the interest rate in effect at June 30, 2022, and the fixed rate on the 2021 interest rate swap, annual interest payments would be approximately $12.4 million.</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ABL Facility bears interest on a variable rate structure with borrowings bearing interest at one-month LIBOR plus an applicable margin of 1.75%. The interest rate in effect at June 30, 2022, was 3.00%. We pay a commitment fee of 0.375% for unused capacity under the ABL Facility.</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were in compliance with all requirements under our Term Loan Facility and ABL Facility as of June 30, 2022. Both credit facilities allow for optional expansion of available borrowings, subject to certain terms and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including the assumptions and judgments underlying them, are disclosed in the 2021 Annual Report, including those policies as discussed in Note 1 to the Notes to Consolidated Financial Statements included in the 2021 Annual Report. There have been no material changes to these policies during the six months ended June 30, 2022.</w:t>
      </w:r>
    </w:p>
    <w:p>
      <w:pPr>
        <w:spacing w:after="0" w:line="3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LIBOR-based component of the interest rate on a portion of our variable rate debt to a fixed rate of 1.291% (the “2021 Swap”). The 2021 Swap has a notional amount of $60.0 million and a maturity date of July 31, 2024. The objective of the 2021 Swap is to eliminate the variability of cash flows in interest payments on the first $60.0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The changes in cash flows of the interest rate swap are expected to exactly offset changes in cash flows of the variable rate debt. We designated the 2021 Swap as a cash flow hedge at inception. Cash settlements of the 2021 Swap are recognized in interest expense.</w:t>
      </w:r>
    </w:p>
    <w:p>
      <w:pPr>
        <w:spacing w:after="0" w:line="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Refer to Note 15 in the Notes to Condensed Consolidated Financial Statements included in this Quarterly Report for further discussion about the interest rate swap.</w:t>
      </w:r>
    </w:p>
    <w:p>
      <w:pPr>
        <w:spacing w:after="0" w:line="5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At June 30, 2022, we had $148.1 million of principal outstanding under the Term Loan Facility without regard to capitalized debt issuance costs. A one-percent increase in one-month LIBOR would have resulted in a net increase in interest expense of $0.9 million on an annualized basis due to the fact that the Term Loan Facility is subject to a LIBOR floor of 1.00% and one-month LIBOR was below the floor as of June 30, 2022.</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30, 2022, using one-month LIBOR plus a 1.75% spread, the interest rate on the $2.0 million of outstanding borrowings under the ABL Facility was 3.00%.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June 30, 2022.</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we evaluated the effectiveness of disclosure controls and procedures (as defined in Rule 13a-15(e) and 15d-15(e) of the Securities Exchange Act of 1934, as amended (the “Exchange Act”)). Based upon that evaluation, our Chief Executive Officer and Chief Financial Officer concluded that our disclosure controls and procedures were effective as of June 30, 2022,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fiscal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9"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disclosed in Note 9 in the Notes to Condensed Consolidated Financial Statements included in this Quarterly Report, we are engaged in certain legal proceedings, and the disclosure set forth in Note 9 relating to legal proceedings is incorporated herein by reference.</w:t>
      </w:r>
    </w:p>
    <w:p>
      <w:pPr>
        <w:spacing w:after="0" w:line="200" w:lineRule="exact"/>
        <w:rPr>
          <w:sz w:val="20"/>
          <w:szCs w:val="20"/>
          <w:color w:val="auto"/>
        </w:rPr>
      </w:pPr>
    </w:p>
    <w:p>
      <w:pPr>
        <w:spacing w:after="0" w:line="30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noted below, there have been no material changes to the risk factors disclosed in the 2021 Annual Report under Item 1A, “Risk Factors.”</w:t>
      </w:r>
    </w:p>
    <w:p>
      <w:pPr>
        <w:spacing w:after="0" w:line="11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business, financial condition, and prospects may be adversely affected by the current military conflict between Russia and Ukraine, other future social and geopolitical instability and resulting domestic and foreign economic instability.</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are exposed to the risk of changes in social, geopolitical, legal, and economic conditions. The global economy has been, and may continue to be, negatively impacted by Russia’s invasion of Ukraine. As a result of Russia’s invasion of Ukraine, the United States, the European Union, the United Kingdom, and other G7 countries, among other countries, have imposed substantial financial and economic sanctions on certain industry sectors and parties in Russia. Broad restrictions on exports to Russia have also been imposed. These measures include: (i) comprehensive financial sanctions against major Russian banks; (ii) additional designations of Russian individuals with significant business interests and government connections; (iii) designations of individuals and entities involved in Russian military activities; and (iv) enhanced export controls and trade sanctions limiting Russia’s ability to import various goods. The negative impacts arising from the conflict and these sanctions and export restrictions, including those imposed by Russia, may include reduced consumer demand, supply chain disruptions and increased costs for transportation, energy, and raw materials. Although none of our operations are physically located in Russia or Ukraine, further escalation of geopolitical tensions could have a broader impact that expands into other markets where we do business, which may adversely affect our business, financial condition, results of operations and prospects. For example, the prices of oil and other commodities have increased significantly, and, in response to the sanctions imposed on Russia by Western countries, Russia has reduced the volume of natural gas it sends to European countries. As a result of of increased oil prices and Russia’s decision to reduce the volume of natural gas sold to European countries, utility costs in Europe have increased dramatically. Our facilities in Poland and France have been negatively impacted by rising energy costs, which could have a material, adverse effect on our European operations and our business as a whole.</w:t>
      </w:r>
    </w:p>
    <w:p>
      <w:pPr>
        <w:spacing w:after="0" w:line="200" w:lineRule="exact"/>
        <w:rPr>
          <w:sz w:val="20"/>
          <w:szCs w:val="20"/>
          <w:color w:val="auto"/>
        </w:rPr>
      </w:pPr>
    </w:p>
    <w:p>
      <w:pPr>
        <w:spacing w:after="0" w:line="33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we made during the quarter ended June 30, 2022.</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186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Maximum Number (or</w:t>
            </w:r>
          </w:p>
        </w:tc>
        <w:tc>
          <w:tcPr>
            <w:tcW w:w="0" w:type="dxa"/>
            <w:vAlign w:val="bottom"/>
          </w:tcPr>
          <w:p>
            <w:pPr>
              <w:spacing w:after="0"/>
              <w:rPr>
                <w:sz w:val="1"/>
                <w:szCs w:val="1"/>
                <w:color w:val="auto"/>
              </w:rPr>
            </w:pPr>
          </w:p>
        </w:tc>
      </w:tr>
      <w:tr>
        <w:trPr>
          <w:trHeight w:val="144"/>
        </w:trPr>
        <w:tc>
          <w:tcPr>
            <w:tcW w:w="2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Shares Purchased</w:t>
            </w:r>
          </w:p>
        </w:tc>
        <w:tc>
          <w:tcPr>
            <w:tcW w:w="1860" w:type="dxa"/>
            <w:vAlign w:val="bottom"/>
          </w:tcPr>
          <w:p>
            <w:pPr>
              <w:jc w:val="center"/>
              <w:ind w:left="228"/>
              <w:spacing w:after="0" w:line="145" w:lineRule="exact"/>
              <w:rPr>
                <w:sz w:val="20"/>
                <w:szCs w:val="20"/>
                <w:color w:val="auto"/>
              </w:rPr>
            </w:pPr>
            <w:r>
              <w:rPr>
                <w:rFonts w:ascii="Times New Roman" w:cs="Times New Roman" w:eastAsia="Times New Roman" w:hAnsi="Times New Roman"/>
                <w:sz w:val="14"/>
                <w:szCs w:val="14"/>
                <w:color w:val="auto"/>
              </w:rPr>
              <w:t>Approximate Dollar Value)</w:t>
            </w: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3400" w:type="dxa"/>
            <w:vAlign w:val="bottom"/>
            <w:vMerge w:val="restart"/>
          </w:tcPr>
          <w:p>
            <w:pPr>
              <w:jc w:val="center"/>
              <w:ind w:left="1568"/>
              <w:spacing w:after="0"/>
              <w:rPr>
                <w:sz w:val="20"/>
                <w:szCs w:val="20"/>
                <w:color w:val="auto"/>
              </w:rPr>
            </w:pPr>
            <w:r>
              <w:rPr>
                <w:rFonts w:ascii="Times New Roman" w:cs="Times New Roman" w:eastAsia="Times New Roman" w:hAnsi="Times New Roman"/>
                <w:sz w:val="14"/>
                <w:szCs w:val="14"/>
                <w:color w:val="auto"/>
              </w:rPr>
              <w:t>Total Number of</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Average Price Paid</w:t>
            </w:r>
          </w:p>
        </w:tc>
        <w:tc>
          <w:tcPr>
            <w:tcW w:w="16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as Part of Publicly</w:t>
            </w:r>
          </w:p>
        </w:tc>
        <w:tc>
          <w:tcPr>
            <w:tcW w:w="1860" w:type="dxa"/>
            <w:vAlign w:val="bottom"/>
          </w:tcPr>
          <w:p>
            <w:pPr>
              <w:jc w:val="center"/>
              <w:ind w:left="228"/>
              <w:spacing w:after="0" w:line="139" w:lineRule="exact"/>
              <w:rPr>
                <w:sz w:val="20"/>
                <w:szCs w:val="20"/>
                <w:color w:val="auto"/>
              </w:rPr>
            </w:pPr>
            <w:r>
              <w:rPr>
                <w:rFonts w:ascii="Times New Roman" w:cs="Times New Roman" w:eastAsia="Times New Roman" w:hAnsi="Times New Roman"/>
                <w:sz w:val="14"/>
                <w:szCs w:val="14"/>
                <w:color w:val="auto"/>
              </w:rPr>
              <w:t>of Shares That May Yet</w:t>
            </w:r>
          </w:p>
        </w:tc>
        <w:tc>
          <w:tcPr>
            <w:tcW w:w="0" w:type="dxa"/>
            <w:vAlign w:val="bottom"/>
          </w:tcPr>
          <w:p>
            <w:pPr>
              <w:spacing w:after="0"/>
              <w:rPr>
                <w:sz w:val="1"/>
                <w:szCs w:val="1"/>
                <w:color w:val="auto"/>
              </w:rPr>
            </w:pPr>
          </w:p>
        </w:tc>
      </w:tr>
      <w:tr>
        <w:trPr>
          <w:trHeight w:val="145"/>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w:t>
            </w:r>
          </w:p>
        </w:tc>
        <w:tc>
          <w:tcPr>
            <w:tcW w:w="340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Announced Plans</w:t>
            </w:r>
          </w:p>
        </w:tc>
        <w:tc>
          <w:tcPr>
            <w:tcW w:w="1860" w:type="dxa"/>
            <w:vAlign w:val="bottom"/>
          </w:tcPr>
          <w:p>
            <w:pPr>
              <w:jc w:val="center"/>
              <w:ind w:left="228"/>
              <w:spacing w:after="0" w:line="145" w:lineRule="exact"/>
              <w:rPr>
                <w:sz w:val="20"/>
                <w:szCs w:val="20"/>
                <w:color w:val="auto"/>
              </w:rPr>
            </w:pPr>
            <w:r>
              <w:rPr>
                <w:rFonts w:ascii="Times New Roman" w:cs="Times New Roman" w:eastAsia="Times New Roman" w:hAnsi="Times New Roman"/>
                <w:sz w:val="14"/>
                <w:szCs w:val="14"/>
                <w:color w:val="auto"/>
              </w:rPr>
              <w:t>Be Purchased Under the</w:t>
            </w:r>
          </w:p>
        </w:tc>
        <w:tc>
          <w:tcPr>
            <w:tcW w:w="0" w:type="dxa"/>
            <w:vAlign w:val="bottom"/>
          </w:tcPr>
          <w:p>
            <w:pPr>
              <w:spacing w:after="0"/>
              <w:rPr>
                <w:sz w:val="1"/>
                <w:szCs w:val="1"/>
                <w:color w:val="auto"/>
              </w:rPr>
            </w:pPr>
          </w:p>
        </w:tc>
      </w:tr>
      <w:tr>
        <w:trPr>
          <w:trHeight w:val="201"/>
        </w:trPr>
        <w:tc>
          <w:tcPr>
            <w:tcW w:w="2340" w:type="dxa"/>
            <w:vAlign w:val="bottom"/>
            <w:vMerge w:val="continue"/>
          </w:tcPr>
          <w:p>
            <w:pPr>
              <w:spacing w:after="0"/>
              <w:rPr>
                <w:sz w:val="17"/>
                <w:szCs w:val="17"/>
                <w:color w:val="auto"/>
              </w:rPr>
            </w:pPr>
          </w:p>
        </w:tc>
        <w:tc>
          <w:tcPr>
            <w:tcW w:w="3400" w:type="dxa"/>
            <w:vAlign w:val="bottom"/>
          </w:tcPr>
          <w:p>
            <w:pPr>
              <w:jc w:val="center"/>
              <w:ind w:left="1588"/>
              <w:spacing w:after="0" w:line="201" w:lineRule="exact"/>
              <w:rPr>
                <w:sz w:val="20"/>
                <w:szCs w:val="20"/>
                <w:color w:val="auto"/>
              </w:rPr>
            </w:pPr>
            <w:r>
              <w:rPr>
                <w:rFonts w:ascii="Times New Roman" w:cs="Times New Roman" w:eastAsia="Times New Roman" w:hAnsi="Times New Roman"/>
                <w:sz w:val="14"/>
                <w:szCs w:val="14"/>
                <w:color w:val="auto"/>
                <w:w w:val="98"/>
              </w:rPr>
              <w:t xml:space="preserve">Shares Purchased </w:t>
            </w:r>
            <w:r>
              <w:rPr>
                <w:rFonts w:ascii="Times New Roman" w:cs="Times New Roman" w:eastAsia="Times New Roman" w:hAnsi="Times New Roman"/>
                <w:sz w:val="18"/>
                <w:szCs w:val="18"/>
                <w:color w:val="auto"/>
                <w:w w:val="98"/>
                <w:vertAlign w:val="superscript"/>
              </w:rPr>
              <w:t>(1)</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 Share</w:t>
            </w:r>
          </w:p>
        </w:tc>
        <w:tc>
          <w:tcPr>
            <w:tcW w:w="1660" w:type="dxa"/>
            <w:vAlign w:val="bottom"/>
          </w:tcPr>
          <w:p>
            <w:pPr>
              <w:jc w:val="center"/>
              <w:spacing w:after="0" w:line="201" w:lineRule="exact"/>
              <w:rPr>
                <w:sz w:val="20"/>
                <w:szCs w:val="20"/>
                <w:color w:val="auto"/>
              </w:rPr>
            </w:pPr>
            <w:r>
              <w:rPr>
                <w:rFonts w:ascii="Times New Roman" w:cs="Times New Roman" w:eastAsia="Times New Roman" w:hAnsi="Times New Roman"/>
                <w:sz w:val="14"/>
                <w:szCs w:val="14"/>
                <w:color w:val="auto"/>
                <w:w w:val="97"/>
              </w:rPr>
              <w:t xml:space="preserve">or Programs </w:t>
            </w:r>
            <w:r>
              <w:rPr>
                <w:rFonts w:ascii="Times New Roman" w:cs="Times New Roman" w:eastAsia="Times New Roman" w:hAnsi="Times New Roman"/>
                <w:sz w:val="18"/>
                <w:szCs w:val="18"/>
                <w:color w:val="auto"/>
                <w:w w:val="97"/>
                <w:vertAlign w:val="superscript"/>
              </w:rPr>
              <w:t>(1)</w:t>
            </w:r>
          </w:p>
        </w:tc>
        <w:tc>
          <w:tcPr>
            <w:tcW w:w="1860" w:type="dxa"/>
            <w:vAlign w:val="bottom"/>
          </w:tcPr>
          <w:p>
            <w:pPr>
              <w:jc w:val="center"/>
              <w:ind w:left="228"/>
              <w:spacing w:after="0" w:line="201" w:lineRule="exact"/>
              <w:rPr>
                <w:sz w:val="20"/>
                <w:szCs w:val="20"/>
                <w:color w:val="auto"/>
              </w:rPr>
            </w:pPr>
            <w:r>
              <w:rPr>
                <w:rFonts w:ascii="Times New Roman" w:cs="Times New Roman" w:eastAsia="Times New Roman" w:hAnsi="Times New Roman"/>
                <w:sz w:val="14"/>
                <w:szCs w:val="14"/>
                <w:color w:val="auto"/>
              </w:rPr>
              <w:t xml:space="preserve">Plan or Programs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2022</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2022</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2022</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20" w:type="dxa"/>
            <w:vAlign w:val="bottom"/>
            <w:tcBorders>
              <w:top w:val="single" w:sz="8" w:color="auto"/>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1"/>
        </w:trPr>
        <w:tc>
          <w:tcPr>
            <w:tcW w:w="3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60" w:right="20" w:hanging="328"/>
        <w:spacing w:after="0" w:line="261" w:lineRule="auto"/>
        <w:tabs>
          <w:tab w:leader="none" w:pos="6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Shares were withheld to pay for tax obligations due upon the vesting of restricted stock held by certain employees granted under the 2019 Omnibus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40" w:type="dxa"/>
            <w:vAlign w:val="bottom"/>
            <w:gridSpan w:val="7"/>
            <w:vMerge w:val="restart"/>
          </w:tcPr>
          <w:p>
            <w:pPr>
              <w:ind w:left="36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4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20" w:type="dxa"/>
            <w:vAlign w:val="bottom"/>
            <w:tcBorders>
              <w:top w:val="single" w:sz="8" w:color="auto"/>
            </w:tcBorders>
            <w:gridSpan w:val="8"/>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2022 Omnibus Incentive Plan (incorporated by reference to Appendix A to NN, Inc.’s Definitive Proxy Statement on Schedule 14A filed</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with the Securities and Exchange Commission on April 15, 2022)</w:t>
              </w:r>
            </w:hyperlink>
          </w:p>
        </w:tc>
        <w:tc>
          <w:tcPr>
            <w:tcW w:w="512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3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906 of the Sarbanes-Oxley Act of 2002.</w:t>
            </w:r>
          </w:p>
        </w:tc>
        <w:tc>
          <w:tcPr>
            <w:tcW w:w="40" w:type="dxa"/>
            <w:vAlign w:val="bottom"/>
            <w:tcBorders>
              <w:top w:val="single" w:sz="8" w:color="0000FF"/>
            </w:tcBorders>
          </w:tcPr>
          <w:p>
            <w:pPr>
              <w:spacing w:after="0"/>
              <w:rPr>
                <w:sz w:val="24"/>
                <w:szCs w:val="24"/>
                <w:color w:val="auto"/>
              </w:rPr>
            </w:pPr>
          </w:p>
        </w:tc>
        <w:tc>
          <w:tcPr>
            <w:tcW w:w="24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Service</w:t>
            </w:r>
          </w:p>
        </w:tc>
        <w:tc>
          <w:tcPr>
            <w:tcW w:w="0" w:type="dxa"/>
            <w:vAlign w:val="bottom"/>
          </w:tcPr>
          <w:p>
            <w:pPr>
              <w:spacing w:after="0"/>
              <w:rPr>
                <w:sz w:val="1"/>
                <w:szCs w:val="1"/>
                <w:color w:val="auto"/>
              </w:rPr>
            </w:pPr>
          </w:p>
        </w:tc>
      </w:tr>
      <w:tr>
        <w:trPr>
          <w:trHeight w:val="39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Taxonomy Calculation Linkbase</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Label Linkbase</w:t>
            </w:r>
          </w:p>
        </w:tc>
        <w:tc>
          <w:tcPr>
            <w:tcW w:w="0" w:type="dxa"/>
            <w:vAlign w:val="bottom"/>
          </w:tcPr>
          <w:p>
            <w:pPr>
              <w:spacing w:after="0"/>
              <w:rPr>
                <w:sz w:val="1"/>
                <w:szCs w:val="1"/>
                <w:color w:val="auto"/>
              </w:rPr>
            </w:pPr>
          </w:p>
        </w:tc>
      </w:tr>
      <w:tr>
        <w:trPr>
          <w:trHeight w:val="39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40" w:hanging="111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9"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left="1020" w:right="14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NN, Inc.</w:t>
            </w:r>
          </w:p>
        </w:tc>
      </w:tr>
      <w:tr>
        <w:trPr>
          <w:trHeight w:val="27"/>
        </w:trPr>
        <w:tc>
          <w:tcPr>
            <w:tcW w:w="460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28"/>
        </w:trPr>
        <w:tc>
          <w:tcPr>
            <w:tcW w:w="46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7"/>
        </w:trPr>
        <w:tc>
          <w:tcPr>
            <w:tcW w:w="460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28"/>
        </w:trPr>
        <w:tc>
          <w:tcPr>
            <w:tcW w:w="46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38"/>
        </w:trPr>
        <w:tc>
          <w:tcPr>
            <w:tcW w:w="46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311"/>
        </w:trPr>
        <w:tc>
          <w:tcPr>
            <w:tcW w:w="460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0"/>
        </w:trPr>
        <w:tc>
          <w:tcPr>
            <w:tcW w:w="4600" w:type="dxa"/>
            <w:vAlign w:val="bottom"/>
          </w:tcPr>
          <w:p>
            <w:pPr>
              <w:spacing w:after="0"/>
              <w:rPr>
                <w:sz w:val="23"/>
                <w:szCs w:val="2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49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7"/>
        </w:trPr>
        <w:tc>
          <w:tcPr>
            <w:tcW w:w="460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28"/>
        </w:trPr>
        <w:tc>
          <w:tcPr>
            <w:tcW w:w="46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38"/>
        </w:trPr>
        <w:tc>
          <w:tcPr>
            <w:tcW w:w="46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57"/>
        </w:trPr>
        <w:tc>
          <w:tcPr>
            <w:tcW w:w="4600" w:type="dxa"/>
            <w:vAlign w:val="bottom"/>
          </w:tcPr>
          <w:p>
            <w:pPr>
              <w:spacing w:after="0"/>
              <w:rPr>
                <w:sz w:val="22"/>
                <w:szCs w:val="22"/>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83"/>
        </w:trPr>
        <w:tc>
          <w:tcPr>
            <w:tcW w:w="460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240"/>
          </w:cols>
          <w:pgMar w:left="320" w:top="126" w:right="1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Warren A. Veltman, certify that:</w:t>
      </w:r>
    </w:p>
    <w:p>
      <w:pPr>
        <w:spacing w:after="0" w:line="171"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30"/>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 Felcher, certify that:</w:t>
      </w:r>
    </w:p>
    <w:p>
      <w:pPr>
        <w:spacing w:after="0" w:line="171"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30"/>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June 30, 2022,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30"/>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June 30, 2022,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30"/>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04"/>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1" Type="http://schemas.openxmlformats.org/officeDocument/2006/relationships/image" Target="media/image73.png"/><Relationship Id="rId80" Type="http://schemas.openxmlformats.org/officeDocument/2006/relationships/hyperlink" Target="http://www.sec.gov/Archives/edgar/data/918541/000091854122000072/proxystatement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2022-08-05T12:23:18Z</dcterms:created>
  <dcterms:modified xsi:type="dcterms:W3CDTF">2022-08-05T12:23:18Z</dcterms:modified>
</cp:coreProperties>
</file>