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March 28,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Manufacturing and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Jay Ingram</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NN, Inc.</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March 16, 2017</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333-216737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Ingram:</w:t>
      </w:r>
    </w:p>
    <w:p>
      <w:pPr>
        <w:spacing w:after="0" w:line="225" w:lineRule="exact"/>
        <w:rPr>
          <w:sz w:val="24"/>
          <w:szCs w:val="24"/>
          <w:color w:val="auto"/>
        </w:rPr>
      </w:pPr>
    </w:p>
    <w:p>
      <w:pPr>
        <w:jc w:val="both"/>
        <w:ind w:right="400"/>
        <w:spacing w:after="0" w:line="264" w:lineRule="auto"/>
        <w:rPr>
          <w:sz w:val="20"/>
          <w:szCs w:val="20"/>
          <w:color w:val="auto"/>
        </w:rPr>
      </w:pPr>
      <w:r>
        <w:rPr>
          <w:rFonts w:ascii="Arial" w:cs="Arial" w:eastAsia="Arial" w:hAnsi="Arial"/>
          <w:sz w:val="18"/>
          <w:szCs w:val="18"/>
          <w:color w:val="auto"/>
        </w:rPr>
        <w:t>We are submitting this letter in response to the comments contained in the letter from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dated March 23, 2017 (the “</w:t>
      </w:r>
      <w:r>
        <w:rPr>
          <w:rFonts w:ascii="Arial" w:cs="Arial" w:eastAsia="Arial" w:hAnsi="Arial"/>
          <w:sz w:val="18"/>
          <w:szCs w:val="18"/>
          <w:u w:val="single" w:color="auto"/>
          <w:color w:val="auto"/>
        </w:rPr>
        <w:t>Comment Letter</w:t>
      </w:r>
      <w:r>
        <w:rPr>
          <w:rFonts w:ascii="Arial" w:cs="Arial" w:eastAsia="Arial" w:hAnsi="Arial"/>
          <w:sz w:val="18"/>
          <w:szCs w:val="18"/>
          <w:color w:val="auto"/>
        </w:rPr>
        <w:t>”), with respect to the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NN,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1"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For your convenience, the exact text of the comments provided in the Comment Letter has been included in italic, bold face type in the order presented in the Comment Letter. The Company’s response to each comment is set forth immediately below the text of the applicable comment.</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23" w:lineRule="exact"/>
        <w:rPr>
          <w:sz w:val="24"/>
          <w:szCs w:val="24"/>
          <w:color w:val="auto"/>
        </w:rPr>
      </w:pPr>
    </w:p>
    <w:p>
      <w:pPr>
        <w:ind w:left="460" w:right="300" w:hanging="452"/>
        <w:spacing w:after="0" w:line="254"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incorporate your 10-K by reference, but have not filed portions of that 10-K that are to be incorporated from your proxy. Please be advised that we cannot accelerate the effective date of your registration statement until you have amended the Form 10-K to include Part III information or filed the definitive proxy statement. For guidance, please refer to Question 123.01 of our Securities Act Forms Compliance and Disclosure Interpretations.</w:t>
      </w:r>
    </w:p>
    <w:p>
      <w:pPr>
        <w:spacing w:after="0" w:line="1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We acknowledge the Staff’s comment and advise the Staff that the Company will not request acceleration prior to the filing of the Company’s definitive proxy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Exhibit Index</w:t>
      </w:r>
    </w:p>
    <w:p>
      <w:pPr>
        <w:spacing w:after="0" w:line="23" w:lineRule="exact"/>
        <w:rPr>
          <w:sz w:val="24"/>
          <w:szCs w:val="24"/>
          <w:color w:val="auto"/>
        </w:rPr>
      </w:pPr>
    </w:p>
    <w:p>
      <w:pPr>
        <w:ind w:left="460" w:right="100" w:hanging="452"/>
        <w:spacing w:after="0" w:line="254"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the Exhibit Index states that you will file Forms T-1 “by amendment or as an exhibit to a document to be incorporated or deemed to be incorporated by reference in this registration statement, including a Current Report on Form 8-K.” Please note that each Form T-1 must be separately filed under the electronic form type “305B2”. You may not incorporate by reference a Form T-1 from another filed document. Refer to Interpretation 206.01 of our Trust Indenture Act of 1939 Compliance and Disclosure Interpretations.</w:t>
      </w:r>
    </w:p>
    <w:p>
      <w:pPr>
        <w:spacing w:after="0" w:line="19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We acknowledge the Staff’s comment and advise the Staff that in the event the Company elects to issue debt, the Company will file the Trustee’s T-1 on electronic form type “305B2”.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 connection with this response, the Company acknowledges that:</w:t>
      </w:r>
    </w:p>
    <w:p>
      <w:pPr>
        <w:spacing w:after="0" w:line="131" w:lineRule="exact"/>
        <w:rPr>
          <w:sz w:val="24"/>
          <w:szCs w:val="24"/>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3" w:lineRule="exact"/>
        <w:rPr>
          <w:rFonts w:ascii="Arial" w:cs="Arial" w:eastAsia="Arial" w:hAnsi="Arial"/>
          <w:sz w:val="18"/>
          <w:szCs w:val="18"/>
          <w:color w:val="auto"/>
        </w:rPr>
      </w:pPr>
    </w:p>
    <w:p>
      <w:pPr>
        <w:ind w:left="900" w:right="20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ind w:left="900" w:right="700" w:hanging="325"/>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Matthew S. Heiter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and General Counsel</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2019-12-05T23:11:03Z</dcterms:created>
  <dcterms:modified xsi:type="dcterms:W3CDTF">2019-12-05T23:11:03Z</dcterms:modified>
</cp:coreProperties>
</file>