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16, 2016 (March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425450</wp:posOffset>
            </wp:positionV>
            <wp:extent cx="66865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4120" w:type="dxa"/>
            <w:vAlign w:val="bottom"/>
          </w:tcPr>
          <w:p>
            <w:pPr>
              <w:jc w:val="center"/>
              <w:ind w:right="2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000-23486</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149"/>
        </w:trPr>
        <w:tc>
          <w:tcPr>
            <w:tcW w:w="4120" w:type="dxa"/>
            <w:vAlign w:val="bottom"/>
          </w:tcPr>
          <w:p>
            <w:pPr>
              <w:jc w:val="center"/>
              <w:ind w:right="23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4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540" w:type="dxa"/>
            <w:vAlign w:val="bottom"/>
            <w:gridSpan w:val="2"/>
          </w:tcPr>
          <w:p>
            <w:pPr>
              <w:jc w:val="center"/>
              <w:ind w:right="982"/>
              <w:spacing w:after="0"/>
              <w:rPr>
                <w:sz w:val="20"/>
                <w:szCs w:val="20"/>
                <w:color w:val="auto"/>
              </w:rPr>
            </w:pPr>
            <w:r>
              <w:rPr>
                <w:rFonts w:ascii="Times New Roman" w:cs="Times New Roman" w:eastAsia="Times New Roman" w:hAnsi="Times New Roman"/>
                <w:sz w:val="18"/>
                <w:szCs w:val="18"/>
                <w:b w:val="1"/>
                <w:bCs w:val="1"/>
                <w:color w:val="auto"/>
                <w:w w:val="99"/>
              </w:rPr>
              <w:t>207 Mockingbird Lane, Johnson City, Tennessee</w:t>
            </w: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37604</w:t>
            </w:r>
          </w:p>
        </w:tc>
      </w:tr>
      <w:tr>
        <w:trPr>
          <w:trHeight w:val="190"/>
        </w:trPr>
        <w:tc>
          <w:tcPr>
            <w:tcW w:w="4120" w:type="dxa"/>
            <w:vAlign w:val="bottom"/>
          </w:tcPr>
          <w:p>
            <w:pPr>
              <w:jc w:val="center"/>
              <w:ind w:left="12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(423) 434-8310</w:t>
      </w:r>
    </w:p>
    <w:p>
      <w:pPr>
        <w:spacing w:after="0" w:line="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2" w:right="839" w:bottom="1440" w:gutter="0" w:footer="0" w:header="0"/>
        </w:sectPr>
      </w:pPr>
    </w:p>
    <w:bookmarkStart w:id="1" w:name="page2"/>
    <w:bookmarkEnd w:id="1"/>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On March 10, 2016, NN, Inc. (the “Company”) announced its earnings for the three and twelve months ended December 31, 2015 in a press release, which was an exhibit to its Current Report on Form 8-K dated March 10, 2016. On March 15, 2016, the Company issued a press release describing certain changes to previously announced results, which press release is furnished as Exhibit 99.1 and is incorporated herein by reference.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“SEC”), the information furnished pursuant to Item 2.02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of NN, Inc. dated March 15, 2016</w:t>
      </w:r>
    </w:p>
    <w:p>
      <w:pPr>
        <w:sectPr>
          <w:pgSz w:w="11900" w:h="16838" w:orient="portrait"/>
          <w:cols w:equalWidth="0" w:num="1">
            <w:col w:w="11320"/>
          </w:cols>
          <w:pgMar w:left="240" w:top="26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2016</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ectPr>
          <w:pgSz w:w="11900" w:h="16838" w:orient="portrait"/>
          <w:cols w:equalWidth="0" w:num="1">
            <w:col w:w="11420"/>
          </w:cols>
          <w:pgMar w:left="240" w:top="266" w:right="23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of NN, Inc. dated March 15, 2016</w:t>
      </w:r>
    </w:p>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251460</wp:posOffset>
            </wp:positionV>
            <wp:extent cx="177546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5460" cy="47180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955040</wp:posOffset>
            </wp:positionV>
            <wp:extent cx="131191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91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ectPr>
          <w:pgSz w:w="11900" w:h="16838" w:orient="portrait"/>
          <w:cols w:equalWidth="0" w:num="1">
            <w:col w:w="11420"/>
          </w:cols>
          <w:pgMar w:left="240" w:top="117"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Robbie Atkinson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Treasurer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FINANCIAL RELATIONS BOARD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Marilynn Meek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17"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FILES ANNUAL REPORT ON FORM 10-K FOR 2015</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Johnson City, Tenn, March 15, 2016 - </w:t>
      </w:r>
      <w:r>
        <w:rPr>
          <w:rFonts w:ascii="Times New Roman" w:cs="Times New Roman" w:eastAsia="Times New Roman" w:hAnsi="Times New Roman"/>
          <w:sz w:val="18"/>
          <w:szCs w:val="18"/>
          <w:color w:val="auto"/>
        </w:rPr>
        <w:t>NN, Inc., (NASDAQ: NNBR), a diversified industrial company, reported that it has today filed its Annual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10-K for the year ended December 31, 2015. The report may be viewed or downloaded from the company’s website, </w:t>
      </w:r>
      <w:r>
        <w:rPr>
          <w:rFonts w:ascii="Times New Roman" w:cs="Times New Roman" w:eastAsia="Times New Roman" w:hAnsi="Times New Roman"/>
          <w:sz w:val="18"/>
          <w:szCs w:val="18"/>
          <w:u w:val="single" w:color="auto"/>
          <w:color w:val="auto"/>
        </w:rPr>
        <w:t>www.nninc.com</w:t>
      </w:r>
      <w:r>
        <w:rPr>
          <w:rFonts w:ascii="Times New Roman" w:cs="Times New Roman" w:eastAsia="Times New Roman" w:hAnsi="Times New Roman"/>
          <w:sz w:val="18"/>
          <w:szCs w:val="18"/>
          <w:color w:val="auto"/>
        </w:rPr>
        <w:t>. The Company initially reported its financial results for the fourth quarter and year ended December 31, 2015 on March 10, 2016.</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GAAP Results section of the March 10, 2016 release, the Company overstated its net loss for the quarter of $27.1 million or $(1.01) per share. The correct net loss for the quarter, as filed in the Company’s Annual Report on Form 10-K on March 15, 2016, is $25.0 million or $(0.93) per share. Similarly, the Company overstated its net loss for the year of $9.6 million or $(0.45) per share. The correct net loss for the year is $7.4 million or $(0.35) per share. The changes resulted primarily from adjustments in income tax expense related to non-deductible mergers and acquisitions expense. Additionally, the Company identified an adjustment related to the Chinese Joint Venture that impacted the share of net income from joint venture and provision for income taxes but did not impact net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noted above did not change the Company’s adjusted income from operations, adjusted net income or adjusted earnings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following reconciliation of changes to the income statement attached in the tables below.</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foreign-exchange and other non-operating impacts on its business. The Company believes the presentation of adjusted income from operations and adjusted net income provides useful information in assessing our results of operations</w:t>
      </w:r>
    </w:p>
    <w:p>
      <w:pPr>
        <w:sectPr>
          <w:pgSz w:w="11900" w:h="16838" w:orient="portrait"/>
          <w:cols w:equalWidth="0" w:num="1">
            <w:col w:w="11420"/>
          </w:cols>
          <w:pgMar w:left="240" w:top="117" w:right="239" w:bottom="1440" w:gutter="0" w:footer="0" w:header="0"/>
          <w:type w:val="continuous"/>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attached financial tables include a reconciliation of adjusted income from operations and adjusted net income to the GAAP financial measures of income from operations and net income.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42 manufacturing plants in North America, Western Europe, Eastern Europe, South America and China.</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and the Quarterly Report on Form 10-Q for the quarterly period ended September 30, 2015. Except as required by law, we undertake no obligation to update or revise any forward-looking statements we make in our press releases, whether as a result of new information, future events or otherwise.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 in</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March 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the 10-K 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March 10,</w:t>
            </w:r>
          </w:p>
        </w:tc>
        <w:tc>
          <w:tcPr>
            <w:tcW w:w="10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the 10-K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Except Per Share Data)</w:t>
            </w:r>
          </w:p>
        </w:tc>
        <w:tc>
          <w:tcPr>
            <w:tcW w:w="2480" w:type="dxa"/>
            <w:vAlign w:val="bottom"/>
            <w:vMerge w:val="restart"/>
          </w:tcPr>
          <w:p>
            <w:pPr>
              <w:spacing w:after="0"/>
              <w:rPr>
                <w:sz w:val="12"/>
                <w:szCs w:val="12"/>
                <w:color w:val="auto"/>
              </w:rPr>
            </w:pPr>
          </w:p>
        </w:tc>
        <w:tc>
          <w:tcPr>
            <w:tcW w:w="8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2016 Press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15,</w:t>
            </w: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gridSpan w:val="3"/>
          </w:tcPr>
          <w:p>
            <w:pPr>
              <w:jc w:val="right"/>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2016 Press</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on March 15,</w:t>
            </w:r>
          </w:p>
        </w:tc>
        <w:tc>
          <w:tcPr>
            <w:tcW w:w="6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Release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84"/>
              <w:spacing w:after="0" w:line="160" w:lineRule="exact"/>
              <w:rPr>
                <w:sz w:val="20"/>
                <w:szCs w:val="20"/>
                <w:color w:val="auto"/>
              </w:rPr>
            </w:pPr>
            <w:r>
              <w:rPr>
                <w:rFonts w:ascii="Times New Roman" w:cs="Times New Roman" w:eastAsia="Times New Roman" w:hAnsi="Times New Roman"/>
                <w:sz w:val="14"/>
                <w:szCs w:val="14"/>
                <w:b w:val="1"/>
                <w:bCs w:val="1"/>
                <w:color w:val="auto"/>
              </w:rPr>
              <w:t>Release</w:t>
            </w:r>
          </w:p>
        </w:tc>
        <w:tc>
          <w:tcPr>
            <w:tcW w:w="160" w:type="dxa"/>
            <w:vAlign w:val="bottom"/>
          </w:tcPr>
          <w:p>
            <w:pPr>
              <w:spacing w:after="0"/>
              <w:rPr>
                <w:sz w:val="15"/>
                <w:szCs w:val="15"/>
                <w:color w:val="auto"/>
              </w:rPr>
            </w:pPr>
          </w:p>
        </w:tc>
        <w:tc>
          <w:tcPr>
            <w:tcW w:w="660" w:type="dxa"/>
            <w:vAlign w:val="bottom"/>
          </w:tcPr>
          <w:p>
            <w:pPr>
              <w:jc w:val="center"/>
              <w:ind w:right="51"/>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183,855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183,855</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667,280</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667,280</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 and amortization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shown separately below)</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147,773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147,773</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525,993</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525,993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51,902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5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Acquisition related costs excluded from selling, general and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10,884</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18,780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44,482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5,294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13,357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29,899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 of unamortized debt issuance cost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18,673</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18,673</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3,103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(1,928)</w:t>
            </w:r>
          </w:p>
        </w:tc>
        <w:tc>
          <w:tcPr>
            <w:tcW w:w="0" w:type="dxa"/>
            <w:vAlign w:val="bottom"/>
          </w:tcPr>
          <w:p>
            <w:pPr>
              <w:spacing w:after="0"/>
              <w:rPr>
                <w:sz w:val="1"/>
                <w:szCs w:val="1"/>
                <w:color w:val="auto"/>
              </w:rPr>
            </w:pPr>
          </w:p>
        </w:tc>
      </w:tr>
      <w:tr>
        <w:trPr>
          <w:trHeight w:val="205"/>
        </w:trPr>
        <w:tc>
          <w:tcPr>
            <w:tcW w:w="53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Income before provision (benefit) for income taxes and share of net</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1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(42,041)</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(22,950)</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(9,914)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3,454</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(9,582)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21,181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21,181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NN, Inc. – Total Company</w:t>
            </w:r>
          </w:p>
        </w:tc>
        <w:tc>
          <w:tcPr>
            <w:tcW w:w="140" w:type="dxa"/>
            <w:vAlign w:val="bottom"/>
          </w:tcPr>
          <w:p>
            <w:pPr>
              <w:spacing w:after="0"/>
              <w:rPr>
                <w:sz w:val="13"/>
                <w:szCs w:val="13"/>
                <w:color w:val="auto"/>
              </w:rPr>
            </w:pP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3"/>
        </w:trPr>
        <w:tc>
          <w:tcPr>
            <w:tcW w:w="5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74"/>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gridSpan w:val="2"/>
            <w:vMerge w:val="restart"/>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gridSpan w:val="2"/>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(0.93)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 tax acquisition and integration expenses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foreign exchange loss on inter-company loans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After-tax impairment charges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 &amp; deferred financing costs, net of tax</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204"/>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NN, Inc. – Total Company</w:t>
            </w:r>
          </w:p>
        </w:tc>
        <w:tc>
          <w:tcPr>
            <w:tcW w:w="140" w:type="dxa"/>
            <w:vAlign w:val="bottom"/>
          </w:tcPr>
          <w:p>
            <w:pPr>
              <w:spacing w:after="0"/>
              <w:rPr>
                <w:sz w:val="17"/>
                <w:szCs w:val="17"/>
                <w:color w:val="auto"/>
              </w:rPr>
            </w:pPr>
          </w:p>
        </w:tc>
        <w:tc>
          <w:tcPr>
            <w:tcW w:w="2000" w:type="dxa"/>
            <w:vAlign w:val="bottom"/>
            <w:gridSpan w:val="5"/>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74"/>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gridSpan w:val="2"/>
            <w:vMerge w:val="restart"/>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gridSpan w:val="2"/>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 tax acquisition and integration expenses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foreign exchange loss on inter-company loans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After-tax impairment charges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 &amp; deferred financing costs, net of tax</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income from operations to adjusted 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30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NN, Inc. – Total Company</w:t>
            </w:r>
          </w:p>
        </w:tc>
        <w:tc>
          <w:tcPr>
            <w:tcW w:w="16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360" w:type="dxa"/>
            <w:vAlign w:val="bottom"/>
            <w:gridSpan w:val="2"/>
            <w:vMerge w:val="continue"/>
          </w:tcPr>
          <w:p>
            <w:pPr>
              <w:spacing w:after="0"/>
              <w:rPr>
                <w:sz w:val="12"/>
                <w:szCs w:val="12"/>
                <w:color w:val="auto"/>
              </w:rPr>
            </w:pPr>
          </w:p>
        </w:tc>
        <w:tc>
          <w:tcPr>
            <w:tcW w:w="164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15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&amp; impairment charges</w:t>
            </w: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7,379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23,749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19,402</w:t>
            </w:r>
          </w:p>
        </w:tc>
        <w:tc>
          <w:tcPr>
            <w:tcW w:w="4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65,715</w:t>
            </w: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2019-12-06T04:45:32Z</dcterms:created>
  <dcterms:modified xsi:type="dcterms:W3CDTF">2019-12-06T04:45:32Z</dcterms:modified>
</cp:coreProperties>
</file>