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200"/>
        <w:spacing w:after="0"/>
        <w:rPr>
          <w:sz w:val="20"/>
          <w:szCs w:val="20"/>
          <w:color w:val="auto"/>
        </w:rPr>
      </w:pPr>
      <w:r>
        <w:rPr>
          <w:rFonts w:ascii="Arial" w:cs="Arial" w:eastAsia="Arial" w:hAnsi="Arial"/>
          <w:sz w:val="21"/>
          <w:szCs w:val="21"/>
          <w:b w:val="1"/>
          <w:bCs w:val="1"/>
          <w:color w:val="auto"/>
        </w:rPr>
        <w:t>Security and Exchange Commission</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Under the Securities Act of 1934</w:t>
      </w:r>
    </w:p>
    <w:p>
      <w:pPr>
        <w:spacing w:after="0" w:line="14" w:lineRule="exact"/>
        <w:rPr>
          <w:sz w:val="24"/>
          <w:szCs w:val="24"/>
          <w:color w:val="auto"/>
        </w:rPr>
      </w:pPr>
    </w:p>
    <w:p>
      <w:pPr>
        <w:jc w:val="center"/>
        <w:ind w:right="-1220"/>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3988435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8" w:lineRule="exact"/>
        <w:rPr>
          <w:sz w:val="24"/>
          <w:szCs w:val="24"/>
          <w:color w:val="auto"/>
        </w:rPr>
      </w:pPr>
    </w:p>
    <w:p>
      <w:pPr>
        <w:ind w:left="5340"/>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ind w:left="5220"/>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November 30,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40"/>
        <w:spacing w:after="0"/>
        <w:rPr>
          <w:sz w:val="20"/>
          <w:szCs w:val="20"/>
          <w:color w:val="auto"/>
        </w:rPr>
      </w:pPr>
      <w:r>
        <w:rPr>
          <w:rFonts w:ascii="Arial" w:cs="Arial" w:eastAsia="Arial" w:hAnsi="Arial"/>
          <w:sz w:val="12"/>
          <w:szCs w:val="12"/>
          <w:b w:val="1"/>
          <w:bCs w:val="1"/>
          <w:color w:val="auto"/>
        </w:rPr>
        <w:t>Date of Event Which Requires Filing of this Statement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ectPr>
          <w:pgSz w:w="11900" w:h="16838" w:orient="portrait"/>
          <w:cols w:equalWidth="0" w:num="1">
            <w:col w:w="10219"/>
          </w:cols>
          <w:pgMar w:left="240" w:top="21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CUSIP No. 629337106</w:t>
            </w:r>
          </w:p>
        </w:tc>
        <w:tc>
          <w:tcPr>
            <w:tcW w:w="2500" w:type="dxa"/>
            <w:vAlign w:val="bottom"/>
          </w:tcPr>
          <w:p>
            <w:pPr>
              <w:ind w:left="2200"/>
              <w:spacing w:after="0"/>
              <w:rPr>
                <w:sz w:val="20"/>
                <w:szCs w:val="20"/>
                <w:color w:val="auto"/>
              </w:rPr>
            </w:pPr>
            <w:r>
              <w:rPr>
                <w:rFonts w:ascii="Arial" w:cs="Arial" w:eastAsia="Arial" w:hAnsi="Arial"/>
                <w:sz w:val="18"/>
                <w:szCs w:val="18"/>
                <w:color w:val="auto"/>
                <w:w w:val="82"/>
              </w:rPr>
              <w:t>13G</w:t>
            </w:r>
          </w:p>
        </w:tc>
      </w:tr>
    </w:tbl>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60" w:hanging="264"/>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b w:val="1"/>
          <w:bCs w:val="1"/>
          <w:color w:val="auto"/>
        </w:rPr>
        <w:t>S.S.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DePrince, Race &amp; Zollo, Inc.</w:t>
      </w:r>
    </w:p>
    <w:p>
      <w:pPr>
        <w:spacing w:after="0" w:line="8"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59-3299598</w:t>
      </w:r>
    </w:p>
    <w:p>
      <w:pPr>
        <w:spacing w:after="0" w:line="6" w:lineRule="exact"/>
        <w:rPr>
          <w:sz w:val="20"/>
          <w:szCs w:val="20"/>
          <w:color w:val="auto"/>
        </w:rPr>
      </w:pPr>
    </w:p>
    <w:p>
      <w:pPr>
        <w:ind w:left="360" w:hanging="264"/>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1" w:lineRule="exact"/>
        <w:rPr>
          <w:rFonts w:ascii="Arial" w:cs="Arial" w:eastAsia="Arial" w:hAnsi="Arial"/>
          <w:sz w:val="18"/>
          <w:szCs w:val="18"/>
          <w:color w:val="auto"/>
        </w:rPr>
      </w:pPr>
    </w:p>
    <w:p>
      <w:pPr>
        <w:ind w:left="640" w:hanging="281"/>
        <w:spacing w:after="0" w:line="207" w:lineRule="exact"/>
        <w:tabs>
          <w:tab w:leader="none" w:pos="64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301"/>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360" w:hanging="264"/>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79" w:lineRule="exact"/>
        <w:rPr>
          <w:sz w:val="20"/>
          <w:szCs w:val="20"/>
          <w:color w:val="auto"/>
        </w:rPr>
      </w:pPr>
    </w:p>
    <w:p>
      <w:pPr>
        <w:ind w:left="360" w:hanging="264"/>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Incorporated in the State of Florida</w:t>
      </w:r>
    </w:p>
    <w:p>
      <w:pPr>
        <w:spacing w:after="0" w:line="24" w:lineRule="exact"/>
        <w:rPr>
          <w:sz w:val="20"/>
          <w:szCs w:val="20"/>
          <w:color w:val="auto"/>
        </w:rPr>
      </w:pPr>
    </w:p>
    <w:p>
      <w:pPr>
        <w:ind w:left="2240" w:hanging="307"/>
        <w:spacing w:after="0"/>
        <w:tabs>
          <w:tab w:leader="none" w:pos="22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tbl>
      <w:tblPr>
        <w:tblLayout w:type="fixed"/>
        <w:tblInd w:w="240" w:type="dxa"/>
        <w:tblCellMar>
          <w:top w:w="0" w:type="dxa"/>
          <w:left w:w="0" w:type="dxa"/>
          <w:bottom w:w="0" w:type="dxa"/>
          <w:right w:w="0" w:type="dxa"/>
        </w:tblCellMar>
      </w:tblPr>
      <w:tr>
        <w:trPr>
          <w:trHeight w:val="275"/>
        </w:trPr>
        <w:tc>
          <w:tcPr>
            <w:tcW w:w="1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320" w:type="dxa"/>
            <w:vAlign w:val="bottom"/>
          </w:tcPr>
          <w:p>
            <w:pPr>
              <w:ind w:left="600"/>
              <w:spacing w:after="0"/>
              <w:rPr>
                <w:sz w:val="20"/>
                <w:szCs w:val="20"/>
                <w:color w:val="auto"/>
              </w:rPr>
            </w:pPr>
            <w:r>
              <w:rPr>
                <w:rFonts w:ascii="Arial" w:cs="Arial" w:eastAsia="Arial" w:hAnsi="Arial"/>
                <w:sz w:val="22"/>
                <w:szCs w:val="22"/>
                <w:color w:val="auto"/>
              </w:rPr>
              <w:t>2,627,936</w:t>
            </w:r>
          </w:p>
        </w:tc>
        <w:tc>
          <w:tcPr>
            <w:tcW w:w="0" w:type="dxa"/>
            <w:vAlign w:val="bottom"/>
          </w:tcPr>
          <w:p>
            <w:pPr>
              <w:spacing w:after="0"/>
              <w:rPr>
                <w:sz w:val="1"/>
                <w:szCs w:val="1"/>
                <w:color w:val="auto"/>
              </w:rPr>
            </w:pPr>
          </w:p>
        </w:tc>
      </w:tr>
      <w:tr>
        <w:trPr>
          <w:trHeight w:val="98"/>
        </w:trPr>
        <w:tc>
          <w:tcPr>
            <w:tcW w:w="1600" w:type="dxa"/>
            <w:vAlign w:val="bottom"/>
            <w:vMerge w:val="restart"/>
          </w:tcPr>
          <w:p>
            <w:pPr>
              <w:jc w:val="center"/>
              <w:ind w:right="252"/>
              <w:spacing w:after="0"/>
              <w:rPr>
                <w:sz w:val="20"/>
                <w:szCs w:val="20"/>
                <w:color w:val="auto"/>
              </w:rPr>
            </w:pPr>
            <w:r>
              <w:rPr>
                <w:rFonts w:ascii="Arial" w:cs="Arial" w:eastAsia="Arial" w:hAnsi="Arial"/>
                <w:sz w:val="18"/>
                <w:szCs w:val="18"/>
                <w:color w:val="auto"/>
                <w:w w:val="94"/>
              </w:rPr>
              <w:t>NUMBER OF</w:t>
            </w:r>
          </w:p>
        </w:tc>
        <w:tc>
          <w:tcPr>
            <w:tcW w:w="260" w:type="dxa"/>
            <w:vAlign w:val="bottom"/>
            <w:tcBorders>
              <w:bottom w:val="single" w:sz="8" w:color="auto"/>
            </w:tcBorders>
          </w:tcPr>
          <w:p>
            <w:pPr>
              <w:spacing w:after="0"/>
              <w:rPr>
                <w:sz w:val="8"/>
                <w:szCs w:val="8"/>
                <w:color w:val="auto"/>
              </w:rPr>
            </w:pPr>
          </w:p>
        </w:tc>
        <w:tc>
          <w:tcPr>
            <w:tcW w:w="9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600" w:type="dxa"/>
            <w:vAlign w:val="bottom"/>
            <w:vMerge w:val="continue"/>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3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55"/>
        </w:trPr>
        <w:tc>
          <w:tcPr>
            <w:tcW w:w="1600" w:type="dxa"/>
            <w:vAlign w:val="bottom"/>
            <w:vMerge w:val="restart"/>
          </w:tcPr>
          <w:p>
            <w:pPr>
              <w:jc w:val="center"/>
              <w:ind w:right="272"/>
              <w:spacing w:after="0"/>
              <w:rPr>
                <w:sz w:val="20"/>
                <w:szCs w:val="20"/>
                <w:color w:val="auto"/>
              </w:rPr>
            </w:pPr>
            <w:r>
              <w:rPr>
                <w:rFonts w:ascii="Arial" w:cs="Arial" w:eastAsia="Arial" w:hAnsi="Arial"/>
                <w:sz w:val="18"/>
                <w:szCs w:val="18"/>
                <w:color w:val="auto"/>
                <w:w w:val="91"/>
              </w:rPr>
              <w:t>SHARES</w:t>
            </w:r>
          </w:p>
        </w:tc>
        <w:tc>
          <w:tcPr>
            <w:tcW w:w="260" w:type="dxa"/>
            <w:vAlign w:val="bottom"/>
            <w:vMerge w:val="continue"/>
          </w:tcPr>
          <w:p>
            <w:pPr>
              <w:spacing w:after="0"/>
              <w:rPr>
                <w:sz w:val="13"/>
                <w:szCs w:val="13"/>
                <w:color w:val="auto"/>
              </w:rPr>
            </w:pPr>
          </w:p>
        </w:tc>
        <w:tc>
          <w:tcPr>
            <w:tcW w:w="9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272"/>
              <w:spacing w:after="0"/>
              <w:rPr>
                <w:sz w:val="20"/>
                <w:szCs w:val="20"/>
                <w:color w:val="auto"/>
              </w:rPr>
            </w:pPr>
            <w:r>
              <w:rPr>
                <w:rFonts w:ascii="Arial" w:cs="Arial" w:eastAsia="Arial" w:hAnsi="Arial"/>
                <w:sz w:val="18"/>
                <w:szCs w:val="18"/>
                <w:color w:val="auto"/>
                <w:w w:val="97"/>
              </w:rPr>
              <w:t>BENEFICIALLY</w:t>
            </w:r>
          </w:p>
        </w:tc>
        <w:tc>
          <w:tcPr>
            <w:tcW w:w="260" w:type="dxa"/>
            <w:vAlign w:val="bottom"/>
          </w:tcPr>
          <w:p>
            <w:pPr>
              <w:spacing w:after="0"/>
              <w:rPr>
                <w:sz w:val="18"/>
                <w:szCs w:val="18"/>
                <w:color w:val="auto"/>
              </w:rPr>
            </w:pPr>
          </w:p>
        </w:tc>
        <w:tc>
          <w:tcPr>
            <w:tcW w:w="9320" w:type="dxa"/>
            <w:vAlign w:val="bottom"/>
            <w:vMerge w:val="restart"/>
          </w:tcPr>
          <w:p>
            <w:pPr>
              <w:ind w:left="6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126"/>
        </w:trPr>
        <w:tc>
          <w:tcPr>
            <w:tcW w:w="1600" w:type="dxa"/>
            <w:vAlign w:val="bottom"/>
            <w:vMerge w:val="restart"/>
          </w:tcPr>
          <w:p>
            <w:pPr>
              <w:jc w:val="center"/>
              <w:ind w:right="252"/>
              <w:spacing w:after="0"/>
              <w:rPr>
                <w:sz w:val="20"/>
                <w:szCs w:val="20"/>
                <w:color w:val="auto"/>
              </w:rPr>
            </w:pPr>
            <w:r>
              <w:rPr>
                <w:rFonts w:ascii="Arial" w:cs="Arial" w:eastAsia="Arial" w:hAnsi="Arial"/>
                <w:sz w:val="18"/>
                <w:szCs w:val="18"/>
                <w:color w:val="auto"/>
                <w:w w:val="95"/>
              </w:rPr>
              <w:t>OWNED BY</w:t>
            </w:r>
          </w:p>
        </w:tc>
        <w:tc>
          <w:tcPr>
            <w:tcW w:w="260" w:type="dxa"/>
            <w:vAlign w:val="bottom"/>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600" w:type="dxa"/>
            <w:vAlign w:val="bottom"/>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600" w:type="dxa"/>
            <w:vAlign w:val="bottom"/>
          </w:tcPr>
          <w:p>
            <w:pPr>
              <w:jc w:val="center"/>
              <w:ind w:right="272"/>
              <w:spacing w:after="0" w:line="190" w:lineRule="exact"/>
              <w:rPr>
                <w:sz w:val="20"/>
                <w:szCs w:val="20"/>
                <w:color w:val="auto"/>
              </w:rPr>
            </w:pPr>
            <w:r>
              <w:rPr>
                <w:rFonts w:ascii="Arial" w:cs="Arial" w:eastAsia="Arial" w:hAnsi="Arial"/>
                <w:sz w:val="18"/>
                <w:szCs w:val="18"/>
                <w:color w:val="auto"/>
                <w:w w:val="95"/>
              </w:rPr>
              <w:t>EACH</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3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28"/>
        </w:trPr>
        <w:tc>
          <w:tcPr>
            <w:tcW w:w="1600" w:type="dxa"/>
            <w:vAlign w:val="bottom"/>
            <w:vMerge w:val="restart"/>
          </w:tcPr>
          <w:p>
            <w:pPr>
              <w:jc w:val="center"/>
              <w:ind w:right="252"/>
              <w:spacing w:after="0"/>
              <w:rPr>
                <w:sz w:val="20"/>
                <w:szCs w:val="20"/>
                <w:color w:val="auto"/>
              </w:rPr>
            </w:pPr>
            <w:r>
              <w:rPr>
                <w:rFonts w:ascii="Arial" w:cs="Arial" w:eastAsia="Arial" w:hAnsi="Arial"/>
                <w:sz w:val="18"/>
                <w:szCs w:val="18"/>
                <w:color w:val="auto"/>
                <w:w w:val="91"/>
              </w:rPr>
              <w:t>REPORTING</w:t>
            </w:r>
          </w:p>
        </w:tc>
        <w:tc>
          <w:tcPr>
            <w:tcW w:w="260" w:type="dxa"/>
            <w:vAlign w:val="bottom"/>
            <w:vMerge w:val="continue"/>
          </w:tcPr>
          <w:p>
            <w:pPr>
              <w:spacing w:after="0"/>
              <w:rPr>
                <w:sz w:val="11"/>
                <w:szCs w:val="11"/>
                <w:color w:val="auto"/>
              </w:rPr>
            </w:pPr>
          </w:p>
        </w:tc>
        <w:tc>
          <w:tcPr>
            <w:tcW w:w="9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6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600" w:type="dxa"/>
            <w:vAlign w:val="bottom"/>
          </w:tcPr>
          <w:p>
            <w:pPr>
              <w:jc w:val="center"/>
              <w:ind w:right="272"/>
              <w:spacing w:after="0"/>
              <w:rPr>
                <w:sz w:val="20"/>
                <w:szCs w:val="20"/>
                <w:color w:val="auto"/>
              </w:rPr>
            </w:pPr>
            <w:r>
              <w:rPr>
                <w:rFonts w:ascii="Arial" w:cs="Arial" w:eastAsia="Arial" w:hAnsi="Arial"/>
                <w:sz w:val="18"/>
                <w:szCs w:val="18"/>
                <w:color w:val="auto"/>
                <w:w w:val="89"/>
              </w:rPr>
              <w:t>PERSON</w:t>
            </w:r>
          </w:p>
        </w:tc>
        <w:tc>
          <w:tcPr>
            <w:tcW w:w="260" w:type="dxa"/>
            <w:vAlign w:val="bottom"/>
          </w:tcPr>
          <w:p>
            <w:pPr>
              <w:spacing w:after="0"/>
              <w:rPr>
                <w:sz w:val="21"/>
                <w:szCs w:val="21"/>
                <w:color w:val="auto"/>
              </w:rPr>
            </w:pPr>
          </w:p>
        </w:tc>
        <w:tc>
          <w:tcPr>
            <w:tcW w:w="9320" w:type="dxa"/>
            <w:vAlign w:val="bottom"/>
          </w:tcPr>
          <w:p>
            <w:pPr>
              <w:ind w:left="600"/>
              <w:spacing w:after="0" w:line="251" w:lineRule="exact"/>
              <w:rPr>
                <w:sz w:val="20"/>
                <w:szCs w:val="20"/>
                <w:color w:val="auto"/>
              </w:rPr>
            </w:pPr>
            <w:r>
              <w:rPr>
                <w:rFonts w:ascii="Arial" w:cs="Arial" w:eastAsia="Arial" w:hAnsi="Arial"/>
                <w:sz w:val="22"/>
                <w:szCs w:val="22"/>
                <w:color w:val="auto"/>
              </w:rPr>
              <w:t>2,627,936</w:t>
            </w:r>
          </w:p>
        </w:tc>
        <w:tc>
          <w:tcPr>
            <w:tcW w:w="0" w:type="dxa"/>
            <w:vAlign w:val="bottom"/>
          </w:tcPr>
          <w:p>
            <w:pPr>
              <w:spacing w:after="0"/>
              <w:rPr>
                <w:sz w:val="1"/>
                <w:szCs w:val="1"/>
                <w:color w:val="auto"/>
              </w:rPr>
            </w:pPr>
          </w:p>
        </w:tc>
      </w:tr>
      <w:tr>
        <w:trPr>
          <w:trHeight w:val="162"/>
        </w:trPr>
        <w:tc>
          <w:tcPr>
            <w:tcW w:w="1600" w:type="dxa"/>
            <w:vAlign w:val="bottom"/>
          </w:tcPr>
          <w:p>
            <w:pPr>
              <w:jc w:val="center"/>
              <w:ind w:right="252"/>
              <w:spacing w:after="0" w:line="162" w:lineRule="exact"/>
              <w:rPr>
                <w:sz w:val="20"/>
                <w:szCs w:val="20"/>
                <w:color w:val="auto"/>
              </w:rPr>
            </w:pPr>
            <w:r>
              <w:rPr>
                <w:rFonts w:ascii="Arial" w:cs="Arial" w:eastAsia="Arial" w:hAnsi="Arial"/>
                <w:sz w:val="18"/>
                <w:szCs w:val="18"/>
                <w:color w:val="auto"/>
                <w:w w:val="99"/>
              </w:rPr>
              <w:t>WITH</w:t>
            </w:r>
          </w:p>
        </w:tc>
        <w:tc>
          <w:tcPr>
            <w:tcW w:w="260" w:type="dxa"/>
            <w:vAlign w:val="bottom"/>
            <w:tcBorders>
              <w:bottom w:val="single" w:sz="8" w:color="auto"/>
            </w:tcBorders>
          </w:tcPr>
          <w:p>
            <w:pPr>
              <w:spacing w:after="0"/>
              <w:rPr>
                <w:sz w:val="14"/>
                <w:szCs w:val="14"/>
                <w:color w:val="auto"/>
              </w:rPr>
            </w:pPr>
          </w:p>
        </w:tc>
        <w:tc>
          <w:tcPr>
            <w:tcW w:w="9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6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9320" w:type="dxa"/>
            <w:vAlign w:val="bottom"/>
          </w:tcPr>
          <w:p>
            <w:pPr>
              <w:ind w:left="1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none</w:t>
      </w:r>
    </w:p>
    <w:p>
      <w:pPr>
        <w:spacing w:after="0" w:line="24" w:lineRule="exact"/>
        <w:rPr>
          <w:sz w:val="20"/>
          <w:szCs w:val="20"/>
          <w:color w:val="auto"/>
        </w:rPr>
      </w:pPr>
    </w:p>
    <w:p>
      <w:pPr>
        <w:ind w:left="360" w:hanging="264"/>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2,627,936</w:t>
      </w:r>
    </w:p>
    <w:p>
      <w:pPr>
        <w:spacing w:after="0" w:line="24"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No</w:t>
      </w:r>
    </w:p>
    <w:p>
      <w:pPr>
        <w:spacing w:after="0" w:line="24"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15.67%</w:t>
      </w:r>
    </w:p>
    <w:p>
      <w:pPr>
        <w:spacing w:after="0" w:line="24"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13 G</w:t>
      </w:r>
    </w:p>
    <w:p>
      <w:pPr>
        <w:spacing w:after="0" w:line="158" w:lineRule="exact"/>
        <w:rPr>
          <w:sz w:val="20"/>
          <w:szCs w:val="20"/>
          <w:color w:val="auto"/>
        </w:rPr>
      </w:pPr>
    </w:p>
    <w:p>
      <w:pPr>
        <w:spacing w:after="0"/>
        <w:tabs>
          <w:tab w:leader="none" w:pos="700" w:val="left"/>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NN, Inc.</w:t>
      </w:r>
    </w:p>
    <w:p>
      <w:pPr>
        <w:spacing w:after="0" w:line="123" w:lineRule="exact"/>
        <w:rPr>
          <w:sz w:val="20"/>
          <w:szCs w:val="20"/>
          <w:color w:val="auto"/>
        </w:rPr>
      </w:pPr>
    </w:p>
    <w:p>
      <w:pPr>
        <w:ind w:left="1220" w:right="8440" w:hanging="510"/>
        <w:spacing w:after="0" w:line="370" w:lineRule="auto"/>
        <w:tabs>
          <w:tab w:leader="none" w:pos="12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2000 Waters Edge Dr. Johnson City, TN 37604</w:t>
      </w:r>
    </w:p>
    <w:p>
      <w:pPr>
        <w:spacing w:after="0" w:line="16" w:lineRule="exact"/>
        <w:rPr>
          <w:sz w:val="20"/>
          <w:szCs w:val="20"/>
          <w:color w:val="auto"/>
        </w:rPr>
      </w:pPr>
    </w:p>
    <w:p>
      <w:pPr>
        <w:spacing w:after="0"/>
        <w:tabs>
          <w:tab w:leader="none" w:pos="700" w:val="left"/>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DePrince, Race &amp; Zollo, Inc.</w:t>
      </w:r>
    </w:p>
    <w:p>
      <w:pPr>
        <w:spacing w:after="0" w:line="123" w:lineRule="exact"/>
        <w:rPr>
          <w:sz w:val="20"/>
          <w:szCs w:val="20"/>
          <w:color w:val="auto"/>
        </w:rPr>
      </w:pPr>
    </w:p>
    <w:p>
      <w:pPr>
        <w:ind w:left="1220" w:right="8060" w:hanging="510"/>
        <w:spacing w:after="0" w:line="268"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201 S. Orange Ave, Suite 850 Orlando, FL 32801</w:t>
      </w:r>
    </w:p>
    <w:p>
      <w:pPr>
        <w:spacing w:after="0" w:line="91" w:lineRule="exact"/>
        <w:rPr>
          <w:rFonts w:ascii="Arial" w:cs="Arial" w:eastAsia="Arial" w:hAnsi="Arial"/>
          <w:sz w:val="18"/>
          <w:szCs w:val="18"/>
          <w:color w:val="auto"/>
        </w:rPr>
      </w:pPr>
    </w:p>
    <w:p>
      <w:pPr>
        <w:ind w:left="1220" w:hanging="510"/>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USA</w:t>
      </w:r>
    </w:p>
    <w:p>
      <w:pPr>
        <w:spacing w:after="0" w:line="117" w:lineRule="exact"/>
        <w:rPr>
          <w:rFonts w:ascii="Arial" w:cs="Arial" w:eastAsia="Arial" w:hAnsi="Arial"/>
          <w:sz w:val="18"/>
          <w:szCs w:val="18"/>
          <w:color w:val="auto"/>
        </w:rPr>
      </w:pPr>
    </w:p>
    <w:p>
      <w:pPr>
        <w:ind w:left="1220" w:hanging="510"/>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220" w:hanging="510"/>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629337106</w:t>
      </w:r>
    </w:p>
    <w:p>
      <w:pPr>
        <w:spacing w:after="0" w:line="111" w:lineRule="exact"/>
        <w:rPr>
          <w:sz w:val="20"/>
          <w:szCs w:val="20"/>
          <w:color w:val="auto"/>
        </w:rPr>
      </w:pPr>
    </w:p>
    <w:p>
      <w:pPr>
        <w:spacing w:after="0"/>
        <w:tabs>
          <w:tab w:leader="none" w:pos="700" w:val="left"/>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3" w:lineRule="exact"/>
        <w:rPr>
          <w:sz w:val="20"/>
          <w:szCs w:val="20"/>
          <w:color w:val="auto"/>
        </w:rPr>
      </w:pPr>
    </w:p>
    <w:p>
      <w:pPr>
        <w:ind w:left="1200" w:hanging="503"/>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2,627,936</w:t>
      </w:r>
    </w:p>
    <w:p>
      <w:pPr>
        <w:spacing w:after="0" w:line="117" w:lineRule="exact"/>
        <w:rPr>
          <w:rFonts w:ascii="Arial" w:cs="Arial" w:eastAsia="Arial" w:hAnsi="Arial"/>
          <w:sz w:val="18"/>
          <w:szCs w:val="18"/>
          <w:color w:val="auto"/>
        </w:rPr>
      </w:pPr>
    </w:p>
    <w:p>
      <w:pPr>
        <w:ind w:left="1200" w:hanging="503"/>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15.67%</w:t>
      </w:r>
    </w:p>
    <w:p>
      <w:pPr>
        <w:spacing w:after="0" w:line="117" w:lineRule="exact"/>
        <w:rPr>
          <w:rFonts w:ascii="Arial" w:cs="Arial" w:eastAsia="Arial" w:hAnsi="Arial"/>
          <w:sz w:val="18"/>
          <w:szCs w:val="18"/>
          <w:color w:val="auto"/>
        </w:rPr>
      </w:pPr>
    </w:p>
    <w:p>
      <w:pPr>
        <w:ind w:left="1200" w:hanging="503"/>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2,627,936 shares</w:t>
      </w:r>
    </w:p>
    <w:p>
      <w:pPr>
        <w:spacing w:after="0" w:line="117" w:lineRule="exact"/>
        <w:rPr>
          <w:rFonts w:ascii="Arial" w:cs="Arial" w:eastAsia="Arial" w:hAnsi="Arial"/>
          <w:sz w:val="18"/>
          <w:szCs w:val="18"/>
          <w:color w:val="auto"/>
        </w:rPr>
      </w:pPr>
    </w:p>
    <w:p>
      <w:pPr>
        <w:ind w:left="1580" w:hanging="383"/>
        <w:spacing w:after="0"/>
        <w:tabs>
          <w:tab w:leader="none" w:pos="15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2,627,936 shares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52" w:lineRule="exact"/>
        <w:rPr>
          <w:sz w:val="20"/>
          <w:szCs w:val="20"/>
          <w:color w:val="auto"/>
        </w:rPr>
      </w:pPr>
    </w:p>
    <w:p>
      <w:pPr>
        <w:ind w:right="880"/>
        <w:spacing w:after="0" w:line="353" w:lineRule="auto"/>
        <w:rPr>
          <w:sz w:val="20"/>
          <w:szCs w:val="20"/>
          <w:color w:val="auto"/>
        </w:rPr>
      </w:pPr>
      <w:r>
        <w:rPr>
          <w:rFonts w:ascii="Arial" w:cs="Arial" w:eastAsia="Arial" w:hAnsi="Arial"/>
          <w:sz w:val="18"/>
          <w:szCs w:val="18"/>
          <w:b w:val="1"/>
          <w:bCs w:val="1"/>
          <w:color w:val="auto"/>
        </w:rPr>
        <w:t xml:space="preserve">Item 7. Identification and Classification of the Subsidiary Which Acquired the Security Being Reported on By the Parent Holding Company </w:t>
      </w:r>
      <w:r>
        <w:rPr>
          <w:rFonts w:ascii="Arial" w:cs="Arial" w:eastAsia="Arial" w:hAnsi="Arial"/>
          <w:sz w:val="18"/>
          <w:szCs w:val="18"/>
          <w:color w:val="auto"/>
        </w:rPr>
        <w:t>N/A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1360"/>
          </w:cols>
          <w:pgMar w:left="240" w:top="274" w:right="299" w:bottom="1440" w:gutter="0" w:footer="0" w:header="0"/>
        </w:sectPr>
      </w:pPr>
    </w:p>
    <w:bookmarkStart w:id="3" w:name="page4"/>
    <w:bookmarkEnd w:id="3"/>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12/07/2004</w:t>
      </w:r>
    </w:p>
    <w:p>
      <w:pPr>
        <w:spacing w:after="0" w:line="225"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 Victor A. Zollo,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Victor A. Zollo, Jr. - President</w:t>
      </w:r>
    </w:p>
    <w:sectPr>
      <w:pgSz w:w="11900" w:h="16838" w:orient="portrait"/>
      <w:cols w:equalWidth="0" w:num="1">
        <w:col w:w="10780"/>
      </w:cols>
      <w:pgMar w:left="240" w:top="27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2"/>
      <w:numFmt w:val="bullet"/>
      <w:start w:val="1"/>
    </w:lvl>
    <w:lvl w:ilvl="1">
      <w:lvlJc w:val="left"/>
      <w:lvlText w:val="(%2)"/>
      <w:numFmt w:val="lowerLetter"/>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5"/>
      <w:numFmt w:val="bullet"/>
      <w:start w:val="1"/>
    </w:lvl>
  </w:abstractNum>
  <w:abstractNum w:abstractNumId="7">
    <w:nsid w:val="1F16E9E8"/>
    <w:multiLevelType w:val="hybridMultilevel"/>
    <w:lvl w:ilvl="0">
      <w:lvlJc w:val="left"/>
      <w:lvlText w:val="9"/>
      <w:numFmt w:val="bullet"/>
      <w:start w:val="1"/>
    </w:lvl>
  </w:abstractNum>
  <w:abstractNum w:abstractNumId="8">
    <w:nsid w:val="1190CDE7"/>
    <w:multiLevelType w:val="hybridMultilevel"/>
    <w:lvl w:ilvl="0">
      <w:lvlJc w:val="left"/>
      <w:lvlText w:val="%1"/>
      <w:numFmt w:val="decimal"/>
      <w:start w:val="10"/>
    </w:lvl>
  </w:abstractNum>
  <w:abstractNum w:abstractNumId="9">
    <w:nsid w:val="66EF438D"/>
    <w:multiLevelType w:val="hybridMultilevel"/>
    <w:lvl w:ilvl="0">
      <w:lvlJc w:val="left"/>
      <w:lvlText w:val="%1"/>
      <w:numFmt w:val="decimal"/>
      <w:start w:val="11"/>
    </w:lvl>
  </w:abstractNum>
  <w:abstractNum w:abstractNumId="10">
    <w:nsid w:val="140E0F76"/>
    <w:multiLevelType w:val="hybridMultilevel"/>
    <w:lvl w:ilvl="0">
      <w:lvlJc w:val="left"/>
      <w:lvlText w:val="%1"/>
      <w:numFmt w:val="decimal"/>
      <w:start w:val="12"/>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lowerLetter"/>
      <w:start w:val="1"/>
    </w:lvl>
    <w:lvl w:ilvl="1">
      <w:lvlJc w:val="left"/>
      <w:lvlText w:val="(%2)"/>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2019-12-14T03:16:29Z</dcterms:created>
  <dcterms:modified xsi:type="dcterms:W3CDTF">2019-12-14T03:16:29Z</dcterms:modified>
</cp:coreProperties>
</file>