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July 9, 2004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160" w:space="640"/>
            <w:col w:w="4419"/>
          </w:cols>
          <w:pgMar w:left="240" w:top="244"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4"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0-23486</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320" w:right="1779" w:hanging="315"/>
        <w:spacing w:after="0" w:line="235" w:lineRule="auto"/>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 xml:space="preserve"> </w:t>
      </w:r>
      <w:r>
        <w:rPr>
          <w:rFonts w:ascii="Courier New" w:cs="Courier New" w:eastAsia="Courier New" w:hAnsi="Courier New"/>
          <w:sz w:val="18"/>
          <w:szCs w:val="18"/>
          <w:color w:val="auto"/>
        </w:rPr>
        <w:t>(Commission (I.R.S. Employer Incorporation or Organization) File Number) Identification Number)</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2000 Waters Edge Drive, Johnson City, Tennessee 37604</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420"/>
            <w:col w:w="4419"/>
          </w:cols>
          <w:pgMar w:left="240" w:top="244" w:right="1440" w:bottom="1440" w:gutter="0" w:footer="0" w:header="0"/>
          <w:type w:val="continuous"/>
        </w:sectPr>
      </w:pPr>
    </w:p>
    <w:p>
      <w:pPr>
        <w:spacing w:after="0" w:line="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 and Regulation FD Disclosure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 July 9, 2004, the Company issued a press release announcing its expected date of release of second quarter 2004 financial results and conference call. It also announced that increased Sarbanes-Oxley compliance costs and additional inventory reduction will impact results for the second quarter and the full year. A copy of the entire press release is incorporated herein by reference and attached to this report as an exhibit.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7" w:lineRule="exact"/>
        <w:rPr>
          <w:sz w:val="24"/>
          <w:szCs w:val="24"/>
          <w:color w:val="auto"/>
        </w:rPr>
      </w:pPr>
    </w:p>
    <w:p>
      <w:pPr>
        <w:ind w:left="1280" w:right="3479" w:hanging="429"/>
        <w:spacing w:after="0" w:line="470"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July 9, 2004.</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2004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C. Kelly, Jr.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Secretary, Treasurer and Chief Administrative</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3">
            <w:col w:w="640" w:space="320"/>
            <w:col w:w="1600" w:space="720"/>
            <w:col w:w="6939"/>
          </w:cols>
          <w:pgMar w:left="240" w:top="919" w:right="1440" w:bottom="1440" w:gutter="0" w:footer="0" w:header="0"/>
          <w:type w:val="continuous"/>
        </w:sectPr>
      </w:pPr>
    </w:p>
    <w:bookmarkStart w:id="2" w:name="page3"/>
    <w:bookmarkEnd w:id="2"/>
    <w:p>
      <w:pPr>
        <w:spacing w:after="0"/>
        <w:tabs>
          <w:tab w:leader="none" w:pos="294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NN, Inc. dated July 9, 2004.</w:t>
      </w:r>
    </w:p>
    <w:p>
      <w:pPr>
        <w:sectPr>
          <w:pgSz w:w="11900" w:h="16838" w:orient="portrait"/>
          <w:cols w:equalWidth="0" w:num="1">
            <w:col w:w="10219"/>
          </w:cols>
          <w:pgMar w:left="240" w:top="919"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020"/>
        <w:spacing w:after="0"/>
        <w:rPr>
          <w:sz w:val="20"/>
          <w:szCs w:val="20"/>
          <w:color w:val="auto"/>
        </w:rPr>
      </w:pPr>
      <w:r>
        <w:rPr>
          <w:rFonts w:ascii="Courier New" w:cs="Courier New" w:eastAsia="Courier New" w:hAnsi="Courier New"/>
          <w:sz w:val="16"/>
          <w:szCs w:val="16"/>
          <w:color w:val="auto"/>
        </w:rPr>
        <w:t>NEWS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w:t>
      </w:r>
    </w:p>
    <w:p>
      <w:pPr>
        <w:spacing w:after="0" w:line="238" w:lineRule="auto"/>
        <w:rPr>
          <w:sz w:val="20"/>
          <w:szCs w:val="20"/>
          <w:color w:val="auto"/>
        </w:rPr>
      </w:pPr>
      <w:r>
        <w:rPr>
          <w:rFonts w:ascii="Courier New" w:cs="Courier New" w:eastAsia="Courier New" w:hAnsi="Courier New"/>
          <w:sz w:val="18"/>
          <w:szCs w:val="18"/>
          <w:color w:val="auto"/>
        </w:rPr>
        <w:t>RELATIONS BOARD</w:t>
      </w:r>
    </w:p>
    <w:p>
      <w:pPr>
        <w:ind w:left="6020"/>
        <w:spacing w:after="0"/>
        <w:tabs>
          <w:tab w:leader="none" w:pos="6520" w:val="left"/>
        </w:tabs>
        <w:rPr>
          <w:sz w:val="20"/>
          <w:szCs w:val="20"/>
          <w:color w:val="auto"/>
        </w:rPr>
      </w:pPr>
      <w:r>
        <w:rPr>
          <w:rFonts w:ascii="Courier New" w:cs="Courier New" w:eastAsia="Courier New" w:hAnsi="Courier New"/>
          <w:sz w:val="18"/>
          <w:szCs w:val="18"/>
          <w:color w:val="auto"/>
        </w:rPr>
        <w:t>RE:</w:t>
        <w:tab/>
        <w:t>NN, Inc.</w:t>
      </w:r>
    </w:p>
    <w:p>
      <w:pPr>
        <w:ind w:left="6020"/>
        <w:spacing w:after="0" w:line="237" w:lineRule="auto"/>
        <w:rPr>
          <w:sz w:val="20"/>
          <w:szCs w:val="20"/>
          <w:color w:val="auto"/>
        </w:rPr>
      </w:pPr>
      <w:r>
        <w:rPr>
          <w:rFonts w:ascii="Courier New" w:cs="Courier New" w:eastAsia="Courier New" w:hAnsi="Courier New"/>
          <w:sz w:val="18"/>
          <w:szCs w:val="18"/>
          <w:color w:val="auto"/>
        </w:rPr>
        <w:t>2000 Waters Edge Drive</w:t>
      </w:r>
    </w:p>
    <w:p>
      <w:pPr>
        <w:ind w:left="6020"/>
        <w:spacing w:after="0" w:line="238" w:lineRule="auto"/>
        <w:tabs>
          <w:tab w:leader="none" w:pos="7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142"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THE COMPANY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FINANCIAL RELATIONS BOARD</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2300" w:val="left"/>
        </w:tabs>
        <w:rPr>
          <w:sz w:val="20"/>
          <w:szCs w:val="20"/>
          <w:color w:val="auto"/>
        </w:rPr>
      </w:pPr>
      <w:r>
        <w:rPr>
          <w:rFonts w:ascii="Courier New" w:cs="Courier New" w:eastAsia="Courier New" w:hAnsi="Courier New"/>
          <w:sz w:val="18"/>
          <w:szCs w:val="18"/>
          <w:color w:val="auto"/>
        </w:rPr>
        <w:t>Alison Ziegler</w:t>
      </w:r>
      <w:r>
        <w:rPr>
          <w:sz w:val="20"/>
          <w:szCs w:val="20"/>
          <w:color w:val="auto"/>
        </w:rPr>
        <w:tab/>
      </w:r>
      <w:r>
        <w:rPr>
          <w:rFonts w:ascii="Courier New" w:cs="Courier New" w:eastAsia="Courier New" w:hAnsi="Courier New"/>
          <w:sz w:val="16"/>
          <w:szCs w:val="16"/>
          <w:color w:val="auto"/>
        </w:rPr>
        <w:t>Susan Garland</w:t>
      </w:r>
    </w:p>
    <w:p>
      <w:pPr>
        <w:spacing w:after="0"/>
        <w:tabs>
          <w:tab w:leader="none" w:pos="2200" w:val="left"/>
        </w:tabs>
        <w:rPr>
          <w:sz w:val="20"/>
          <w:szCs w:val="20"/>
          <w:color w:val="auto"/>
        </w:rPr>
      </w:pPr>
      <w:r>
        <w:rPr>
          <w:rFonts w:ascii="Courier New" w:cs="Courier New" w:eastAsia="Courier New" w:hAnsi="Courier New"/>
          <w:sz w:val="18"/>
          <w:szCs w:val="18"/>
          <w:color w:val="auto"/>
        </w:rPr>
        <w:t>(General info)</w:t>
      </w:r>
      <w:r>
        <w:rPr>
          <w:sz w:val="20"/>
          <w:szCs w:val="20"/>
          <w:color w:val="auto"/>
        </w:rPr>
        <w:tab/>
      </w:r>
      <w:r>
        <w:rPr>
          <w:rFonts w:ascii="Courier New" w:cs="Courier New" w:eastAsia="Courier New" w:hAnsi="Courier New"/>
          <w:sz w:val="16"/>
          <w:szCs w:val="16"/>
          <w:color w:val="auto"/>
        </w:rPr>
        <w:t>(Analyst info)</w:t>
      </w:r>
    </w:p>
    <w:p>
      <w:pPr>
        <w:ind w:left="120"/>
        <w:spacing w:after="0"/>
        <w:tabs>
          <w:tab w:leader="none" w:pos="1980" w:val="left"/>
        </w:tabs>
        <w:rPr>
          <w:sz w:val="20"/>
          <w:szCs w:val="20"/>
          <w:color w:val="auto"/>
        </w:rPr>
      </w:pPr>
      <w:r>
        <w:rPr>
          <w:rFonts w:ascii="Courier New" w:cs="Courier New" w:eastAsia="Courier New" w:hAnsi="Courier New"/>
          <w:sz w:val="18"/>
          <w:szCs w:val="18"/>
          <w:color w:val="auto"/>
        </w:rPr>
        <w:t>212-445-8432</w:t>
      </w:r>
      <w:r>
        <w:rPr>
          <w:sz w:val="20"/>
          <w:szCs w:val="20"/>
          <w:color w:val="auto"/>
        </w:rPr>
        <w:tab/>
      </w:r>
      <w:r>
        <w:rPr>
          <w:rFonts w:ascii="Courier New" w:cs="Courier New" w:eastAsia="Courier New" w:hAnsi="Courier New"/>
          <w:sz w:val="16"/>
          <w:szCs w:val="16"/>
          <w:color w:val="auto"/>
        </w:rPr>
        <w:t>212-445-8458</w:t>
      </w:r>
    </w:p>
    <w:p>
      <w:pPr>
        <w:spacing w:after="0" w:line="200" w:lineRule="exact"/>
        <w:rPr>
          <w:sz w:val="20"/>
          <w:szCs w:val="20"/>
          <w:color w:val="auto"/>
        </w:rPr>
      </w:pPr>
    </w:p>
    <w:p>
      <w:pPr>
        <w:sectPr>
          <w:pgSz w:w="11900" w:h="16838" w:orient="portrait"/>
          <w:cols w:equalWidth="0" w:num="2">
            <w:col w:w="4320" w:space="420"/>
            <w:col w:w="5479"/>
          </w:cols>
          <w:pgMar w:left="240" w:top="142"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July 9, 2004</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NN, INC. TO REPORT SECOND QUARTER 2004 RESULTS AND HOLD</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CONFERENCE CALL ON JULY 29, 2004</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INCREASED SARBANES-OXLEY COMPLIANCE COSTS AND</w:t>
      </w:r>
    </w:p>
    <w:p>
      <w:pPr>
        <w:ind w:left="2120"/>
        <w:spacing w:after="0" w:line="238" w:lineRule="auto"/>
        <w:rPr>
          <w:sz w:val="20"/>
          <w:szCs w:val="20"/>
          <w:color w:val="auto"/>
        </w:rPr>
      </w:pPr>
      <w:r>
        <w:rPr>
          <w:rFonts w:ascii="Courier New" w:cs="Courier New" w:eastAsia="Courier New" w:hAnsi="Courier New"/>
          <w:sz w:val="18"/>
          <w:szCs w:val="18"/>
          <w:color w:val="auto"/>
        </w:rPr>
        <w:t>ADDITIONAL INVENTORY REDUCTIONS TO IMPACT</w:t>
      </w:r>
    </w:p>
    <w:p>
      <w:pPr>
        <w:ind w:left="2740"/>
        <w:spacing w:after="0"/>
        <w:rPr>
          <w:sz w:val="20"/>
          <w:szCs w:val="20"/>
          <w:color w:val="auto"/>
        </w:rPr>
      </w:pPr>
      <w:r>
        <w:rPr>
          <w:rFonts w:ascii="Courier New" w:cs="Courier New" w:eastAsia="Courier New" w:hAnsi="Courier New"/>
          <w:sz w:val="18"/>
          <w:szCs w:val="18"/>
          <w:color w:val="auto"/>
        </w:rPr>
        <w:t>SECOND QUARTER AND FULL YEAR</w:t>
      </w:r>
    </w:p>
    <w:p>
      <w:pPr>
        <w:spacing w:after="0" w:line="206"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Johnson City, Tenn., July 9, 2004 - NN, Inc. (Nasdaq: NNBR) today announced that it will release second quarter 2004 financial results for the period ended June 30, 2004 before the opening of the market on Thursday, July 29, 2004.</w:t>
      </w:r>
    </w:p>
    <w:p>
      <w:pPr>
        <w:spacing w:after="0" w:line="178"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Management will hold a conference call at 11 a.m. ET that day to review the company's results. The call can be accessed via the Internet live or as a replay at www.fulldisclosure.com. For those who are unavailable to listen to the live broadcast, a replay will be available shortly after the call for 90 days.</w:t>
      </w:r>
    </w:p>
    <w:p>
      <w:pPr>
        <w:spacing w:after="0" w:line="18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also announced that certain expenses would rise more than expected in the second quarter due to continued reductions in inventory which will negatively impact margins in the second quarter ($0.03 per diluted share) as well as increases in compliance costs related to Section 404 of the 2002 Sarbanes-Oxley Act ("SOX 404") ($0.02 per diluted share) and higher start-up costs associated with its new Slovakian operation ($0.02 per diluted share). Accordingly, the Company now expects to report earnings of $0.11 to $0.12 per diluted share for the second quarter of 2004.</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the quarter, the company reduced inventory at a faster pace than originally planned, principally due to the Level 3 program. Although this is a positive development from a cash flow perspective and is fundamental to streamlining operations, it is anticipated to negatively impact second quarter and full year margins. Currently, the full year impact on diluted earnings per share associated with inventory reductions is estimated to be approximately $0.10 per diluted share. In light of the expected benefit of increased cash flow, it is now</w:t>
      </w:r>
    </w:p>
    <w:p>
      <w:pPr>
        <w:spacing w:after="0" w:line="200" w:lineRule="exact"/>
        <w:rPr>
          <w:sz w:val="20"/>
          <w:szCs w:val="20"/>
          <w:color w:val="auto"/>
        </w:rPr>
      </w:pPr>
    </w:p>
    <w:p>
      <w:pPr>
        <w:spacing w:after="0" w:line="390"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expected that the Company will reduce debt by approximately $12 million to $14 million for the year.</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Additionally, the Company continues to be positioned to comply with the internal control regulations of SOX 404. However, interpretations of these regulations have and continue to develop. The Company therefore has increased its cost estimates of compliance to be approximately $2 million ($1.3 million after-tax) or $0.07 per diluted share.</w:t>
      </w:r>
    </w:p>
    <w:p>
      <w:pPr>
        <w:spacing w:after="0" w:line="209"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Roderick R. Baty, Chairman and Chief Executive Officer, stated, "Although for the year we anticipate operations in total to perform as expected, we are reducing our previously stated guidance of $0.76 to $0.78 per diluted share for the full year. For 2004, we now anticipate earnings of approximately $0.60 to $0.63 per diluted share. As we have mentioned previously, increased costs in 2004 resulting from dramatic price increases of steel, the negative impact on margins associated with inventory reductions, costs associated with SOX 404 compliance, start up costs in Slovakia and China, as well as costs in connection with the Company's financing needs are now estimated to result in added expenses of approximately $0.38 per diluted share for the year, up from our prior estimate of $0.22 per diluted share. These costs will offset the benefit of our planned cost reductions, volume increases, the expected accretion from the full year ownership of Veenendaal and the buyout of the remaining interest of Euroball. Looking ahead, assuming no additional material price inflation, we</w:t>
      </w:r>
    </w:p>
    <w:p>
      <w:pPr>
        <w:sectPr>
          <w:pgSz w:w="11900" w:h="16838" w:orient="portrait"/>
          <w:cols w:equalWidth="0" w:num="1">
            <w:col w:w="10219"/>
          </w:cols>
          <w:pgMar w:left="240" w:top="142" w:right="1440" w:bottom="0" w:gutter="0" w:footer="0" w:header="0"/>
          <w:type w:val="continuous"/>
        </w:sectPr>
      </w:pPr>
    </w:p>
    <w:bookmarkStart w:id="4" w:name="page5"/>
    <w:bookmarkEnd w:id="4"/>
    <w:p>
      <w:pPr>
        <w:jc w:val="both"/>
        <w:ind w:right="1779"/>
        <w:spacing w:after="0" w:line="237" w:lineRule="auto"/>
        <w:rPr>
          <w:sz w:val="20"/>
          <w:szCs w:val="20"/>
          <w:color w:val="auto"/>
        </w:rPr>
      </w:pPr>
      <w:r>
        <w:rPr>
          <w:rFonts w:ascii="Courier New" w:cs="Courier New" w:eastAsia="Courier New" w:hAnsi="Courier New"/>
          <w:sz w:val="18"/>
          <w:szCs w:val="18"/>
          <w:color w:val="auto"/>
        </w:rPr>
        <w:t>believe approximately 80% of these costs will not reoccur in 2005. A notable exception is SOX 404 compliance. We believe the compliance costs associated with SOX 404, while lower than 2004, will continue to be a major cost factor in the upcoming year. With respect to our Level 3 program, we expect that profit improvement initiatives will fully offset the negative earnings impact associated with further inventory reductions in 2005 and beyond."</w:t>
      </w:r>
    </w:p>
    <w:p>
      <w:pPr>
        <w:spacing w:after="0" w:line="210"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$253 million in 2003.</w:t>
      </w:r>
    </w:p>
    <w:p>
      <w:pPr>
        <w:spacing w:after="0" w:line="182"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The comments by Mr. Baty regarding forecasted costs and earnings are forward looking statements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inventory levels, regulatory compliance costs, start-up cost for new operations, debt reduction, competitive influences, risks that current customers</w:t>
      </w:r>
    </w:p>
    <w:p>
      <w:pPr>
        <w:spacing w:after="0" w:line="1"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2003.</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2019-12-14T03:15:50Z</dcterms:created>
  <dcterms:modified xsi:type="dcterms:W3CDTF">2019-12-14T03:15:50Z</dcterms:modified>
</cp:coreProperties>
</file>