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16, 2017</w:t>
      </w:r>
    </w:p>
    <w:p>
      <w:pPr>
        <w:spacing w:after="0" w:line="31"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201930</wp:posOffset>
            </wp:positionV>
            <wp:extent cx="62611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11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9" w:lineRule="exact"/>
        <w:rPr>
          <w:sz w:val="24"/>
          <w:szCs w:val="24"/>
          <w:color w:val="auto"/>
        </w:rPr>
      </w:pPr>
    </w:p>
    <w:tbl>
      <w:tblPr>
        <w:tblLayout w:type="fixed"/>
        <w:tblInd w:w="1920" w:type="dxa"/>
        <w:tblCellMar>
          <w:top w:w="0" w:type="dxa"/>
          <w:left w:w="0" w:type="dxa"/>
          <w:bottom w:w="0" w:type="dxa"/>
          <w:right w:w="0" w:type="dxa"/>
        </w:tblCellMar>
      </w:tblPr>
      <w:tr>
        <w:trPr>
          <w:trHeight w:val="214"/>
        </w:trPr>
        <w:tc>
          <w:tcPr>
            <w:tcW w:w="398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w w:val="98"/>
              </w:rPr>
              <w:t>62-1096725</w:t>
            </w:r>
          </w:p>
        </w:tc>
      </w:tr>
      <w:tr>
        <w:trPr>
          <w:trHeight w:val="149"/>
        </w:trPr>
        <w:tc>
          <w:tcPr>
            <w:tcW w:w="3980" w:type="dxa"/>
            <w:vAlign w:val="bottom"/>
          </w:tcPr>
          <w:p>
            <w:pPr>
              <w:jc w:val="center"/>
              <w:ind w:right="19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left="1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207 Mockingbird Lane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(423) 434-8300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Matthew S. Heiter,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Senior Vice President and General Counsel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207 Mockingbird Lane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Johnson City, Tennessee 37604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(423) 434-8300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Richard F. Mattern,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Bass, Berry &amp; Sims PLC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Peabody Place, Suite 1300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Memphis, Tennessee 38103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(901) 543-5933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201" w:lineRule="exact"/>
        <w:rPr>
          <w:sz w:val="24"/>
          <w:szCs w:val="24"/>
          <w:color w:val="auto"/>
        </w:rPr>
      </w:pPr>
    </w:p>
    <w:p>
      <w:pPr>
        <w:spacing w:after="0" w:line="207" w:lineRule="exact"/>
        <w:tabs>
          <w:tab w:leader="none" w:pos="11100" w:val="left"/>
        </w:tabs>
        <w:rPr>
          <w:sz w:val="20"/>
          <w:szCs w:val="20"/>
          <w:color w:val="auto"/>
        </w:rPr>
      </w:pPr>
      <w:r>
        <w:rPr>
          <w:rFonts w:ascii="Times New Roman" w:cs="Times New Roman" w:eastAsia="Times New Roman" w:hAnsi="Times New Roman"/>
          <w:sz w:val="18"/>
          <w:szCs w:val="18"/>
          <w:color w:val="auto"/>
        </w:rPr>
        <w:t>If the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7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6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12b- 2 of the Exchange Act.</w:t>
      </w:r>
    </w:p>
    <w:p>
      <w:pPr>
        <w:sectPr>
          <w:pgSz w:w="11900" w:h="16879" w:orient="portrait"/>
          <w:cols w:equalWidth="0" w:num="1">
            <w:col w:w="11420"/>
          </w:cols>
          <w:pgMar w:left="240" w:top="226" w:right="239" w:bottom="0" w:gutter="0" w:footer="0" w:header="0"/>
        </w:sectPr>
      </w:pP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79" w:orient="portrait"/>
          <w:cols w:equalWidth="0" w:num="4">
            <w:col w:w="1620" w:space="300"/>
            <w:col w:w="6220" w:space="720"/>
            <w:col w:w="1980" w:space="420"/>
            <w:col w:w="160"/>
          </w:cols>
          <w:pgMar w:left="240" w:top="226" w:right="239" w:bottom="0" w:gutter="0" w:footer="0" w:header="0"/>
          <w:type w:val="continuous"/>
        </w:sectPr>
      </w:pPr>
    </w:p>
    <w:bookmarkStart w:id="1" w:name="page2"/>
    <w:bookmarkEnd w:id="1"/>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3021965</wp:posOffset>
            </wp:positionH>
            <wp:positionV relativeFrom="page">
              <wp:posOffset>208915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 (1)</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(2)(3)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Per Unit (2)</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(2)(3)</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Registration Fee (4)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Units (5)</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rPr>
              <w:t>$400,000,000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Times New Roman" w:cs="Times New Roman" w:eastAsia="Times New Roman" w:hAnsi="Times New Roman"/>
                <w:sz w:val="18"/>
                <w:szCs w:val="18"/>
                <w:color w:val="auto"/>
                <w:w w:val="99"/>
              </w:rPr>
              <w:t>100%</w:t>
            </w:r>
          </w:p>
        </w:tc>
        <w:tc>
          <w:tcPr>
            <w:tcW w:w="1600" w:type="dxa"/>
            <w:vAlign w:val="bottom"/>
            <w:tcBorders>
              <w:bottom w:val="single" w:sz="8" w:color="auto"/>
              <w:right w:val="single" w:sz="8" w:color="auto"/>
            </w:tcBorders>
          </w:tcPr>
          <w:p>
            <w:pPr>
              <w:jc w:val="right"/>
              <w:ind w:right="186"/>
              <w:spacing w:after="0"/>
              <w:rPr>
                <w:sz w:val="20"/>
                <w:szCs w:val="20"/>
                <w:color w:val="auto"/>
              </w:rPr>
            </w:pPr>
            <w:r>
              <w:rPr>
                <w:rFonts w:ascii="Times New Roman" w:cs="Times New Roman" w:eastAsia="Times New Roman" w:hAnsi="Times New Roman"/>
                <w:sz w:val="18"/>
                <w:szCs w:val="18"/>
                <w:color w:val="auto"/>
              </w:rPr>
              <w:t>$400,000,000</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$41,526.08 (6)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00" w:hanging="452"/>
        <w:spacing w:after="0" w:line="25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also registers such indeterminate amounts of securities as may be issued upon exercise or conversion of, or in exchange for, the securities registered, and pursuant to Rule 416(a) under the Securities Act of 1933, as amended (the “Securities Act”), such indeterminable number of shares of common stock as may be issued from time to time upon exercise, conversion or exchange as a result of stock splits, stock dividends, or similar transactions.</w:t>
      </w:r>
    </w:p>
    <w:p>
      <w:pPr>
        <w:spacing w:after="0" w:line="1"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and the proposed maximum aggregate offering price per class of security will be determined from time to time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excluding accrued interest and accrued amortization of discount, if any, to the date of delivery.</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has been calculated in accordance with Rule 457(o) under the Securities Act.</w:t>
      </w:r>
    </w:p>
    <w:p>
      <w:pPr>
        <w:spacing w:after="0" w:line="9"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will be issued under a unit agreement and will represent an interest in two or more securities, which may or may not be separable from one another.</w:t>
      </w:r>
    </w:p>
    <w:p>
      <w:pPr>
        <w:ind w:left="460" w:right="20" w:hanging="452"/>
        <w:spacing w:after="0" w:line="25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415(a)(6) under the Securities Act, the securities registered pursuant to this registration statement include $41,600,000 of unsold securities (the “Unsold Securities”) previously registered on Registration Statement on Form S-3 (Registration No. 333-201274), declared effective by the Securities and Exchange Commission (the “SEC”) on February 23, 2015 (the “Prior Registration Statement”), by means of a prospectus supplement dated June 25, 2015, filed with the SEC on June 26, 2015. In connection with the registration of the Unsold Securities on the Prior Registration Statement, a registration fee of $4,833.92 was paid, which registration fee will continue to be applied to the Unsold Securities included in this registration statement. Pursuant to Rule 415(a)(6) under the Securities Act, the offering of the Unsold Securities registered under the Prior Registration Statement will be deemed terminated as of the date of effectiveness of this registration statement.</w:t>
      </w:r>
    </w:p>
    <w:p>
      <w:pPr>
        <w:spacing w:after="0" w:line="18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contained in this prospectus is not complete and may be changed. We may not sell these securities until the registration statement filed with the Securities and Exchange Commission becomes effective. This prospectus is not an offer to sell these securities and we are not soliciting offers to buy these securities in any jurisdiction where such offer or sale is not permitted.</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4338"/>
        </w:rPr>
        <w:t>SUBJECT TO COMPLETION, DATED MARCH 16,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174625</wp:posOffset>
            </wp:positionV>
            <wp:extent cx="54864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$400,000,000</w:t>
      </w: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From time to time, we may sell up to an aggregate of $400,000,000 of any combination of the securities described in this prospectus. We will specify the terms of any offering of securities by us in a prospectus supplement.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any prospectus supplement and the information incorporated by reference herein or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both"/>
        <w:ind w:right="38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You should carefully consider the risk factors described in the applicable prospectus supplement and certain of our filings with the Securities and Exchange Commission, as described under “</w:t>
      </w:r>
      <w:hyperlink w:anchor="page8">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common stock is quoted and traded on The NASDAQ Global Select Market under the ticker symbol “NNBR.” On March 13, 2017, the last reported sale price of our common stock on The NASDAQ Global Select Market was $22.45. The applicable prospectus supplement will contain information, where applicable, as to any other listing on The NASDAQ Global Select Market or any securities market or exchange of the securities covered by the prospectus supplement.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may be offered directly by us to investors, to or through underwriters or dealers or through agents. If any underwriters are involved in the sale of any securities offered by this prospectus and any prospectus supplement, their names, and any applicable purchase price, fee, commission or discount arrangement between or among them, and any applicable options to purchase additional securities, will be set forth, or will be calculable from the information set forth, in the applicable prospectus supplement. The price to the public of such securities and the net proceeds we expect to receive from such sale will also be set forth in a prospectus supplement.</w:t>
      </w:r>
    </w:p>
    <w:p>
      <w:pPr>
        <w:spacing w:after="0" w:line="1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207010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390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The date of this prospectus is</w:t>
      </w:r>
      <w:r>
        <w:rPr>
          <w:sz w:val="20"/>
          <w:szCs w:val="20"/>
          <w:color w:val="auto"/>
        </w:rPr>
        <w:tab/>
      </w:r>
      <w:r>
        <w:rPr>
          <w:rFonts w:ascii="Times New Roman" w:cs="Times New Roman" w:eastAsia="Times New Roman" w:hAnsi="Times New Roman"/>
          <w:sz w:val="17"/>
          <w:szCs w:val="17"/>
          <w:b w:val="1"/>
          <w:bCs w:val="1"/>
          <w:color w:val="auto"/>
        </w:rPr>
        <w:t>, 2017.</w:t>
      </w:r>
    </w:p>
    <w:p>
      <w:pPr>
        <w:sectPr>
          <w:pgSz w:w="11900" w:h="16838" w:orient="portrait"/>
          <w:cols w:equalWidth="0" w:num="1">
            <w:col w:w="11400"/>
          </w:cols>
          <w:pgMar w:left="240" w:top="455" w:right="25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gridSpan w:val="8"/>
            <w:vMerge w:val="restart"/>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ABOUT THIS PROSPECTUS</w:t>
              </w:r>
            </w:hyperlink>
          </w:p>
        </w:tc>
        <w:tc>
          <w:tcPr>
            <w:tcW w:w="8820" w:type="dxa"/>
            <w:vAlign w:val="bottom"/>
            <w:gridSpan w:val="10"/>
            <w:vMerge w:val="restart"/>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240" w:type="dxa"/>
            <w:vAlign w:val="bottom"/>
            <w:tcBorders>
              <w:bottom w:val="single" w:sz="8" w:color="0000EE"/>
            </w:tcBorders>
            <w:gridSpan w:val="8"/>
            <w:vMerge w:val="continue"/>
          </w:tcPr>
          <w:p>
            <w:pPr>
              <w:spacing w:after="0"/>
              <w:rPr>
                <w:sz w:val="13"/>
                <w:szCs w:val="13"/>
                <w:color w:val="auto"/>
              </w:rPr>
            </w:pPr>
          </w:p>
        </w:tc>
        <w:tc>
          <w:tcPr>
            <w:tcW w:w="882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DISCLOSURE REGARDING FORWARD-LOOKING STATEMENTS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ABOUT NN, INC.</w:t>
              </w:r>
            </w:hyperlink>
          </w:p>
        </w:tc>
        <w:tc>
          <w:tcPr>
            <w:tcW w:w="968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RISK FACTORS</w:t>
              </w:r>
            </w:hyperlink>
          </w:p>
        </w:tc>
        <w:tc>
          <w:tcPr>
            <w:tcW w:w="980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USE OF PROCEEDS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RATIO OF EARNINGS TO FIXED CHARGES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DESCRIPTION OF THE SECURITIES</w:t>
              </w:r>
            </w:hyperlink>
          </w:p>
        </w:tc>
        <w:tc>
          <w:tcPr>
            <w:tcW w:w="580" w:type="dxa"/>
            <w:vAlign w:val="bottom"/>
            <w:tcBorders>
              <w:top w:val="single" w:sz="8" w:color="0000EE"/>
            </w:tcBorders>
            <w:gridSpan w:val="4"/>
          </w:tcPr>
          <w:p>
            <w:pPr>
              <w:spacing w:after="0"/>
              <w:rPr>
                <w:sz w:val="17"/>
                <w:szCs w:val="17"/>
                <w:color w:val="auto"/>
              </w:rPr>
            </w:pPr>
          </w:p>
        </w:tc>
        <w:tc>
          <w:tcPr>
            <w:tcW w:w="75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DESCRIPTION OF DEBT SECURITIES</w:t>
              </w:r>
            </w:hyperlink>
          </w:p>
        </w:tc>
        <w:tc>
          <w:tcPr>
            <w:tcW w:w="80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DESCRIPTION OF PREFERRED STOCK</w:t>
              </w:r>
            </w:hyperlink>
          </w:p>
        </w:tc>
        <w:tc>
          <w:tcPr>
            <w:tcW w:w="79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DESCRIPTION OF COMMON STOCK</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DESCRIPTION OF WARRANTS</w:t>
              </w:r>
            </w:hyperlink>
          </w:p>
        </w:tc>
        <w:tc>
          <w:tcPr>
            <w:tcW w:w="81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DESCRIPTION OF UNITS</w:t>
              </w:r>
            </w:hyperlink>
          </w:p>
        </w:tc>
        <w:tc>
          <w:tcPr>
            <w:tcW w:w="85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PLAN OF DISTRIBUTION</w:t>
              </w:r>
            </w:hyperlink>
          </w:p>
        </w:tc>
        <w:tc>
          <w:tcPr>
            <w:tcW w:w="90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INFORMATION INCORPORATED BY REFERENCE</w:t>
              </w:r>
            </w:hyperlink>
          </w:p>
        </w:tc>
        <w:tc>
          <w:tcPr>
            <w:tcW w:w="70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EXPERTS</w:t>
              </w:r>
            </w:hyperlink>
          </w:p>
        </w:tc>
        <w:tc>
          <w:tcPr>
            <w:tcW w:w="3040" w:type="dxa"/>
            <w:vAlign w:val="bottom"/>
            <w:tcBorders>
              <w:top w:val="single" w:sz="8" w:color="0000EE"/>
            </w:tcBorders>
            <w:gridSpan w:val="14"/>
          </w:tcPr>
          <w:p>
            <w:pPr>
              <w:spacing w:after="0"/>
              <w:rPr>
                <w:sz w:val="17"/>
                <w:szCs w:val="17"/>
                <w:color w:val="auto"/>
              </w:rPr>
            </w:pPr>
          </w:p>
        </w:tc>
        <w:tc>
          <w:tcPr>
            <w:tcW w:w="72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MATTERS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prospectus supplemental shall constitute an offer to sell or a solicitation of an offer to buy offered securities in any jurisdiction in which it is unlawful for such person to make such an offering or solicitation. Neither the delivery of this prospectus or any prospectus supplement nor any sale made hereunder shall under any circumstances imply that the information contained or incorporated by reference in this prospectus or in any prospectus supplement is correct as of any date subsequent to the date of this prospectus supplement or of any prospectus supplement.</w:t>
      </w:r>
    </w:p>
    <w:p>
      <w:pPr>
        <w:spacing w:after="0" w:line="18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“NN,” “we,” “our,” “us” or “our company” in this prospectus refer to NN, Inc., a Delaware corporation and its consolidated subsidiaries.</w:t>
      </w:r>
    </w:p>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Securities and Exchange Commission, or SEC, utilizing a shelf registration process. Under this shelf registration process, we may sell any combination of the securities described in this prospectus, either individually or in units, in one or more offerings, up to a total dollar amount of $400,000,000.</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specific offering. The prospectus supplement may also add, update or change information contained in this prospectus. You should read this prospectus and the applicable prospectus supplement together with the additional information described under the heading “Where You Can Find More Information.”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Except for specific historical information, many of the matters discussed in this prospectus, or the information incorporated by reference into this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appearing in this prospectus, including the information incorporated by reference into this prospectus,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19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 titled “Risk Factors” in any prospectus supplement as well as in our Annual Report on Form 10-K for the fiscal year ended December 31, 2016 and our other reports on file with the SEC. Except as required by law, we undertake no obligation to update or revise any forward-looking statements we make in our prospectus, whether as a result of new information, future events or otherwise.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NN, INC.</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a diversified industrial company and a leading global manufacturer of high precision bearing components, industrial plastic products and precision metal components to a variety of markets on a global basis. We have 40 manufacturing plants in North America, Western Europe, Eastern Europe, South America and China.</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October, 1980. Our principal executive offices are maintained at 207 Mockingbird Lane, Johnson City, Tennessee 37604 and our telephone number is (423) 434-8300. Our common stock is listed on The NASDAQ Global Select Market under the ticker symbol “NNBR.”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further discussion of the material elements of our business, please refer to our Annual Report on Form 10-K for the fiscal year ended December 31, 2016 on file with the SEC, and any subsequent reports we file with the SEC, including those incorporated by reference into this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Please see the risk factors under the heading “Risk Factors” in any prospectus supplement as well as in our Annual Report on Form 10-K for the fiscal year ended December 31, 2016 on file with the SEC, which are incorporated by reference into this prospectus and which may be amended, supplemented or superseded from time to time by other reports that we subsequently file with the SEC. Before you invest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Unless indicated otherwise in the applicable prospectus supplement, we expect to use the net proceeds for our operations and for other general corporate purposes, including, but not limited to, capital expenditures, repayment or refinancing of borrowings, working capital, investments and acquisitions. We have not allocated any portion of the net proceeds for any particular use at this time. Pending such uses, we may invest the net proceeds in demand deposits, money market accounts or short-term, investment-grade, interest-bearing securities or guaranteed obligations of the United States government or other</w:t>
      </w:r>
    </w:p>
    <w:p>
      <w:pPr>
        <w:spacing w:after="0" w:line="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securities. Additional information on the use of net proceeds may be set forth in the applicable prospectus supplement or other offering material relating to such offering. If net proceeds from a specific offering will be used to repay indebtedness, the applicable prospectus supplement or other offering material will describe the relevant terms of the debt to be repaid.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ratio of earnings to fixed charges in each of the periods indicated. The ratios are calculated by dividing earnings by the fixed charges.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4"/>
                <w:szCs w:val="14"/>
                <w:color w:val="auto"/>
              </w:rPr>
              <w:t>Fiscal years ended December 31,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2016</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2015</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2014</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2013</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4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1.0x</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0.5x</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2.2x</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9.0x</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5.2x</w:t>
            </w:r>
          </w:p>
        </w:tc>
      </w:tr>
      <w:tr>
        <w:trPr>
          <w:trHeight w:val="365"/>
        </w:trPr>
        <w:tc>
          <w:tcPr>
            <w:tcW w:w="4100" w:type="dxa"/>
            <w:vAlign w:val="bottom"/>
          </w:tcPr>
          <w:p>
            <w:pPr>
              <w:spacing w:after="0"/>
              <w:rPr>
                <w:sz w:val="24"/>
                <w:szCs w:val="24"/>
                <w:color w:val="auto"/>
              </w:rPr>
            </w:pPr>
          </w:p>
        </w:tc>
        <w:tc>
          <w:tcPr>
            <w:tcW w:w="448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from time to time, in one or more offerings, up to $400,000,000 of the following securities:</w:t>
      </w:r>
    </w:p>
    <w:p>
      <w:pPr>
        <w:spacing w:after="0" w:line="131"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securities.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aggregate initial offering price of the offered securities that we may issue will not exceed $400,000,000. 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contains a summary of the general terms of the various securities that we may offer.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also contain the terms of a given offering, the initial offering price and our net proceeds. Where applicable, a prospectus supplement will also describe any material United States federal income tax consequences relating to the securities offered and indicate whether the securities offered are or will be quoted or listed on any quotation system or securities exchange.</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20"/>
          </w:cols>
          <w:pgMar w:left="240" w:top="455"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prospectus describes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a senior indenture, dated as of or prior to the date of such issuance, between us and a trustee to be named in the senior indenture, as amended or supplemented from time to time. We will refer to any such indenture throughout this prospectus as the “senior indenture.” Any subordinated debt securities will be issued under a separate indenture, dated as of or prior to the date of such issuance, between us and a trustee to be named in the subordinated indenture,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individually referred to in this prospectus as an “indenture” and collectively referred to in this prospectus as the “indentures.” The indentures will be subject to and governed by the Trust Indenture Act of 1939, as amended. We have included copies of the forms of the indentures as exhibits to our registration statement and they are incorporated into this prospectus by reference.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debt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debt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any other debt securities issued by us under the indentures.</w:t>
      </w:r>
    </w:p>
    <w:p>
      <w:pPr>
        <w:spacing w:after="0" w:line="189"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Because this section is a summary of some of the terms of the indentures, it does not describe every aspect of the debt securities. You should read the applicable indentures for a complete description of their provisions and the definitions of the terms used in them, because the indentures, and not this description, will define your rights as a holder of debt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debt securities will be unsecured, except as may be set forth in the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130"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1" w:lineRule="exact"/>
        <w:rPr>
          <w:rFonts w:ascii="Times New Roman" w:cs="Times New Roman" w:eastAsia="Times New Roman" w:hAnsi="Times New Roman"/>
          <w:sz w:val="18"/>
          <w:szCs w:val="18"/>
          <w:color w:val="auto"/>
        </w:rPr>
      </w:pPr>
    </w:p>
    <w:p>
      <w:pPr>
        <w:ind w:left="900" w:right="60" w:hanging="325"/>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common stock or preferred stock received on conversion;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we will determine those 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130" w:lineRule="exact"/>
        <w:rPr>
          <w:rFonts w:ascii="Times New Roman" w:cs="Times New Roman" w:eastAsia="Times New Roman" w:hAnsi="Times New Roman"/>
          <w:sz w:val="18"/>
          <w:szCs w:val="18"/>
          <w:color w:val="auto"/>
        </w:rPr>
      </w:pPr>
    </w:p>
    <w:p>
      <w:pPr>
        <w:ind w:left="900" w:right="220" w:hanging="325"/>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81" w:lineRule="exact"/>
        <w:rPr>
          <w:rFonts w:ascii="Times New Roman" w:cs="Times New Roman" w:eastAsia="Times New Roman" w:hAnsi="Times New Roman"/>
          <w:sz w:val="18"/>
          <w:szCs w:val="18"/>
          <w:color w:val="auto"/>
        </w:rPr>
      </w:pPr>
    </w:p>
    <w:p>
      <w:pPr>
        <w:jc w:val="both"/>
        <w:ind w:left="900" w:right="180" w:hanging="325"/>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81" w:lineRule="exact"/>
        <w:rPr>
          <w:rFonts w:ascii="Times New Roman" w:cs="Times New Roman" w:eastAsia="Times New Roman" w:hAnsi="Times New Roman"/>
          <w:sz w:val="18"/>
          <w:szCs w:val="18"/>
          <w:color w:val="auto"/>
        </w:rPr>
      </w:pPr>
    </w:p>
    <w:p>
      <w:pPr>
        <w:ind w:left="900" w:right="460" w:hanging="325"/>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1"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67" w:lineRule="exact"/>
        <w:rPr>
          <w:rFonts w:ascii="Times New Roman" w:cs="Times New Roman" w:eastAsia="Times New Roman" w:hAnsi="Times New Roman"/>
          <w:sz w:val="18"/>
          <w:szCs w:val="18"/>
          <w:color w:val="auto"/>
        </w:rPr>
      </w:pPr>
    </w:p>
    <w:p>
      <w:pPr>
        <w:jc w:val="both"/>
        <w:ind w:left="900" w:right="160" w:hanging="325"/>
        <w:spacing w:after="0" w:line="26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w:t>
      </w:r>
    </w:p>
    <w:p>
      <w:pPr>
        <w:ind w:left="900" w:right="900" w:hanging="1"/>
        <w:spacing w:after="0" w:line="261" w:lineRule="auto"/>
        <w:tabs>
          <w:tab w:leader="none" w:pos="11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bearer form, the manner in which, or the person to whom, any interest on the security shall be payable if otherwise than upon presentation and surrender upon maturity;</w:t>
      </w:r>
    </w:p>
    <w:p>
      <w:pPr>
        <w:spacing w:after="0" w:line="85"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debt securities in bearer form and the terms upon which securities in bearer form of the series may be exchanged for securities in registered form of the series and vice versa if permitted by applicable laws and regulations;</w:t>
      </w:r>
    </w:p>
    <w:p>
      <w:pPr>
        <w:spacing w:after="0" w:line="67" w:lineRule="exact"/>
        <w:rPr>
          <w:rFonts w:ascii="Times New Roman" w:cs="Times New Roman" w:eastAsia="Times New Roman" w:hAnsi="Times New Roman"/>
          <w:sz w:val="18"/>
          <w:szCs w:val="18"/>
          <w:color w:val="auto"/>
        </w:rPr>
      </w:pPr>
    </w:p>
    <w:p>
      <w:pPr>
        <w:ind w:left="900" w:right="100" w:hanging="325"/>
        <w:spacing w:after="0" w:line="289"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6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debt securities in registered form, if such series are to be issuable as a global security;</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130" w:lineRule="exact"/>
        <w:rPr>
          <w:rFonts w:ascii="Times New Roman" w:cs="Times New Roman" w:eastAsia="Times New Roman" w:hAnsi="Times New Roman"/>
          <w:sz w:val="18"/>
          <w:szCs w:val="18"/>
          <w:color w:val="auto"/>
        </w:rPr>
      </w:pPr>
    </w:p>
    <w:p>
      <w:pPr>
        <w:ind w:left="900" w:right="94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67"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1"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as described under “—Merger, Consolidation or Sale of Assets” or as may be set forth in any prospectus supplement, the debt securities will not contain any provisions that (1) would limit our ability to incur indebtedness or (2)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Neither the New York State laws nor our governing instruments define the term “substantially all” as it relates to the sale of assets. Additionally, New York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after the obligation underlying payment becomes due and payable. After funds have been returned to us, the holder of the debt security may look only to us for payment, without payment of interest for the period which we hold the funds.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Denomination, Interest, Registration and Transfer</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67" w:lineRule="exact"/>
        <w:rPr>
          <w:sz w:val="20"/>
          <w:szCs w:val="20"/>
          <w:color w:val="auto"/>
        </w:rPr>
      </w:pPr>
    </w:p>
    <w:p>
      <w:pPr>
        <w:ind w:left="900" w:right="100" w:hanging="325"/>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1"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131" w:lineRule="exact"/>
        <w:rPr>
          <w:sz w:val="20"/>
          <w:szCs w:val="20"/>
          <w:color w:val="auto"/>
        </w:rPr>
      </w:pPr>
    </w:p>
    <w:p>
      <w:pPr>
        <w:ind w:left="900" w:right="20" w:hanging="325"/>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1"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consolidate with or sell, lease or convey all or substantially all of our assets to, or merge with or into, any other entity provided that:</w:t>
      </w:r>
    </w:p>
    <w:p>
      <w:pPr>
        <w:spacing w:after="0" w:line="67" w:lineRule="exact"/>
        <w:rPr>
          <w:sz w:val="20"/>
          <w:szCs w:val="20"/>
          <w:color w:val="auto"/>
        </w:rPr>
      </w:pPr>
    </w:p>
    <w:p>
      <w:pPr>
        <w:ind w:left="900" w:hanging="325"/>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corporation, or the successor corporation, if other than us, assumes the obligations (1) to pay the principal of, and any premium (or make-whole amount) and interest on, all of the debt securities, and (2) to duly perform and observe all of the covenants and conditions contained in each indenture;</w:t>
      </w:r>
    </w:p>
    <w:p>
      <w:pPr>
        <w:spacing w:after="0" w:line="81"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19"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Except as described under “—Merger, Consolidation or Sale of Assets,” the indentures require us to do or cause to be done all things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Provision of financial information</w:t>
      </w:r>
      <w:r>
        <w:rPr>
          <w:rFonts w:ascii="Times New Roman" w:cs="Times New Roman" w:eastAsia="Times New Roman" w:hAnsi="Times New Roman"/>
          <w:sz w:val="18"/>
          <w:szCs w:val="18"/>
          <w:color w:val="auto"/>
        </w:rPr>
        <w:t>. The indentures require us to (1) within 15 days of each of the respective dates by which we are required to file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quarterly reports and other documents with the SEC, file with the trustee copies of the annual report, quarterly report and other documents that we file with the SEC under Section 13 or 15(d) of the Exchange Act; and (2) file with the trustee and the SEC any additional information, documents and reports regarding compliance by us with the conditions and covenants of the indentures, as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taxes and other claims</w:t>
      </w:r>
      <w:r>
        <w:rPr>
          <w:rFonts w:ascii="Times New Roman" w:cs="Times New Roman" w:eastAsia="Times New Roman" w:hAnsi="Times New Roman"/>
          <w:sz w:val="18"/>
          <w:szCs w:val="18"/>
          <w:color w:val="auto"/>
        </w:rPr>
        <w:t>. The subordinated indenture requires us to pay, discharge or cause to be paid or discharged, before they become delinquent</w:t>
      </w:r>
    </w:p>
    <w:p>
      <w:pPr>
        <w:spacing w:after="0" w:line="29" w:lineRule="exact"/>
        <w:rPr>
          <w:sz w:val="20"/>
          <w:szCs w:val="20"/>
          <w:color w:val="auto"/>
        </w:rPr>
      </w:pPr>
    </w:p>
    <w:p>
      <w:pPr>
        <w:ind w:firstLine="8"/>
        <w:spacing w:after="0" w:line="254"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on us, our subsidiaries or our subsidiaries’ income, profits or property, and (2)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The applicable prospectus supplement may set forth any additional covenants of NN relating to any series of debt securities.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Notice and Waiver</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30 days;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when it becomes due and payable at its stated maturity;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when due;</w:t>
      </w:r>
    </w:p>
    <w:p>
      <w:pPr>
        <w:spacing w:after="0" w:line="130" w:lineRule="exact"/>
        <w:rPr>
          <w:rFonts w:ascii="Times New Roman" w:cs="Times New Roman" w:eastAsia="Times New Roman" w:hAnsi="Times New Roman"/>
          <w:sz w:val="18"/>
          <w:szCs w:val="18"/>
          <w:color w:val="auto"/>
        </w:rPr>
      </w:pPr>
    </w:p>
    <w:p>
      <w:pPr>
        <w:ind w:left="900" w:right="340" w:hanging="325"/>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NN continuing for 60 days after written notice as provided in the applicable indenture, but not of a covenant added to the indenture solely for the benefit of a series of debt securities issued thereunder other than such series;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bond, debenture, note, mortgage, indenture or instrument:</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principal amount of at least $30,000,000; or</w:t>
      </w:r>
    </w:p>
    <w:p>
      <w:pPr>
        <w:spacing w:after="0" w:line="117" w:lineRule="exact"/>
        <w:rPr>
          <w:rFonts w:ascii="Times New Roman" w:cs="Times New Roman" w:eastAsia="Times New Roman" w:hAnsi="Times New Roman"/>
          <w:sz w:val="18"/>
          <w:szCs w:val="18"/>
          <w:color w:val="auto"/>
        </w:rPr>
      </w:pPr>
    </w:p>
    <w:p>
      <w:pPr>
        <w:ind w:left="920" w:firstLine="1"/>
        <w:spacing w:after="0" w:line="255" w:lineRule="auto"/>
        <w:tabs>
          <w:tab w:leader="none" w:pos="11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there may be issued, secured or evidenced any existing or later created indebtedness for money borrowed by us or our subsidiaries, if we are directly responsible or liable as obligor or guarantor, in each case, 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specifying such default and requiring us to cause such indebtedness to be discharged or cause such acceleration to be rescinded or annulled and shall state that such notice is a “Notice of Default” under such indenture;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0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or court appointment of a receiver, liquidator or trustee of NN or any significant subsidiary of NN;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When we use the term “significant subsidiary,” we refer to the meaning ascribed to such term in Rule 1-02 of Regulation S-X promulgated under the Securities Act.</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5" w:lineRule="exact"/>
        <w:rPr>
          <w:sz w:val="20"/>
          <w:szCs w:val="20"/>
          <w:color w:val="auto"/>
        </w:rPr>
      </w:pPr>
    </w:p>
    <w:p>
      <w:pPr>
        <w:ind w:left="900" w:right="120" w:hanging="325"/>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1"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or make-whole amount, have been cured or waived.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2"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any premium, or make-whole amount, or interest;</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86"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81"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67" w:lineRule="exact"/>
        <w:rPr>
          <w:rFonts w:ascii="Times New Roman" w:cs="Times New Roman" w:eastAsia="Times New Roman" w:hAnsi="Times New Roman"/>
          <w:sz w:val="18"/>
          <w:szCs w:val="18"/>
          <w:color w:val="auto"/>
        </w:rPr>
      </w:pPr>
    </w:p>
    <w:p>
      <w:pPr>
        <w:ind w:left="900" w:right="60" w:hanging="325"/>
        <w:spacing w:after="0" w:line="313"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 and</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holders’ rights of conversion with respect to any series of debt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indentures provide that other modifications and amendments may be made only with the consent of the affected holders of at least a majority in principal amount of all outstanding affected debt securities issued under that indenture. However, no such modification or amendment may, without the consent of the holders of the debt securities affected by the modification or amendment:</w:t>
      </w:r>
    </w:p>
    <w:p>
      <w:pPr>
        <w:spacing w:after="0" w:line="82" w:lineRule="exact"/>
        <w:rPr>
          <w:sz w:val="20"/>
          <w:szCs w:val="20"/>
          <w:color w:val="auto"/>
        </w:rPr>
      </w:pPr>
    </w:p>
    <w:p>
      <w:pPr>
        <w:ind w:left="900" w:right="20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w:t>
      </w:r>
    </w:p>
    <w:p>
      <w:pPr>
        <w:spacing w:after="0" w:line="67"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rate or amount of interest on or any premium, or make-whole amount, payable on redemption of any such debt security;</w:t>
      </w:r>
    </w:p>
    <w:p>
      <w:pPr>
        <w:spacing w:after="0" w:line="67"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of, or any premium, or make-whole amount, or interest on, any such debt security;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such debt security;</w:t>
      </w:r>
    </w:p>
    <w:p>
      <w:pPr>
        <w:spacing w:after="0" w:line="130" w:lineRule="exact"/>
        <w:rPr>
          <w:rFonts w:ascii="Times New Roman" w:cs="Times New Roman" w:eastAsia="Times New Roman" w:hAnsi="Times New Roman"/>
          <w:sz w:val="18"/>
          <w:szCs w:val="18"/>
          <w:color w:val="auto"/>
        </w:rPr>
      </w:pPr>
    </w:p>
    <w:p>
      <w:pPr>
        <w:jc w:val="both"/>
        <w:ind w:left="900" w:right="12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1"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2" w:lineRule="exact"/>
        <w:rPr>
          <w:sz w:val="20"/>
          <w:szCs w:val="20"/>
          <w:color w:val="auto"/>
        </w:rPr>
      </w:pPr>
    </w:p>
    <w:p>
      <w:pPr>
        <w:ind w:left="900" w:right="8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67" w:lineRule="exact"/>
        <w:rPr>
          <w:rFonts w:ascii="Times New Roman" w:cs="Times New Roman" w:eastAsia="Times New Roman" w:hAnsi="Times New Roman"/>
          <w:sz w:val="18"/>
          <w:szCs w:val="18"/>
          <w:color w:val="auto"/>
        </w:rPr>
      </w:pPr>
    </w:p>
    <w:p>
      <w:pPr>
        <w:jc w:val="both"/>
        <w:ind w:left="900" w:right="240" w:hanging="325"/>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81"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67" w:lineRule="exact"/>
        <w:rPr>
          <w:rFonts w:ascii="Times New Roman" w:cs="Times New Roman" w:eastAsia="Times New Roman" w:hAnsi="Times New Roman"/>
          <w:sz w:val="18"/>
          <w:szCs w:val="18"/>
          <w:color w:val="auto"/>
        </w:rPr>
      </w:pPr>
    </w:p>
    <w:p>
      <w:pPr>
        <w:ind w:left="5620" w:right="160" w:hanging="5045"/>
        <w:spacing w:after="0" w:line="454" w:lineRule="auto"/>
        <w:tabs>
          <w:tab w:leader="none" w:pos="8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owned by us or any other obligor upon the debt securities or by any affiliate of ours or of such other obligor shall be disregarded. 13</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86"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130" w:lineRule="exact"/>
        <w:rPr>
          <w:rFonts w:ascii="Times New Roman" w:cs="Times New Roman" w:eastAsia="Times New Roman" w:hAnsi="Times New Roman"/>
          <w:sz w:val="18"/>
          <w:szCs w:val="18"/>
          <w:color w:val="auto"/>
        </w:rPr>
      </w:pPr>
    </w:p>
    <w:p>
      <w:pPr>
        <w:jc w:val="both"/>
        <w:ind w:left="900" w:right="80" w:hanging="325"/>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such series that vote in favor of such request, demand, authorization, direction, notice, consent, waiver or other action shall be taken in account in determining whether such request, demand, authorization, direction, notice, consent, waiver or other action has been made, given or taken under such indenture.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22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NN and its subsidiaries. As a result of these subordination provisions, in the event of a distribution of assets upon insolvency, holders of subordinated debt securities may recover less, ratably, than our general creditors.</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455"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 Defeasance and Covenant Defeasance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67" w:lineRule="exact"/>
        <w:rPr>
          <w:sz w:val="20"/>
          <w:szCs w:val="20"/>
          <w:color w:val="auto"/>
        </w:rPr>
      </w:pPr>
    </w:p>
    <w:p>
      <w:pPr>
        <w:ind w:left="900" w:hanging="325"/>
        <w:spacing w:after="0" w:line="25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9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3"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130" w:lineRule="exact"/>
        <w:rPr>
          <w:rFonts w:ascii="Times New Roman" w:cs="Times New Roman" w:eastAsia="Times New Roman" w:hAnsi="Times New Roman"/>
          <w:sz w:val="18"/>
          <w:szCs w:val="18"/>
          <w:color w:val="auto"/>
        </w:rPr>
      </w:pPr>
    </w:p>
    <w:p>
      <w:pPr>
        <w:jc w:val="both"/>
        <w:ind w:left="900" w:right="80" w:hanging="325"/>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indentures only permit us to establish the trust described in the paragraph above if, among other things, it has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131" w:lineRule="exact"/>
        <w:rPr>
          <w:sz w:val="20"/>
          <w:szCs w:val="20"/>
          <w:color w:val="auto"/>
        </w:rPr>
      </w:pPr>
    </w:p>
    <w:p>
      <w:pPr>
        <w:ind w:left="900" w:right="30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67" w:lineRule="exact"/>
        <w:rPr>
          <w:rFonts w:ascii="Times New Roman" w:cs="Times New Roman" w:eastAsia="Times New Roman" w:hAnsi="Times New Roman"/>
          <w:sz w:val="18"/>
          <w:szCs w:val="18"/>
          <w:color w:val="auto"/>
        </w:rPr>
      </w:pPr>
    </w:p>
    <w:p>
      <w:pPr>
        <w:ind w:left="900" w:right="80" w:hanging="325"/>
        <w:spacing w:after="0" w:line="254"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w:t>
      </w:r>
    </w:p>
    <w:p>
      <w:pPr>
        <w:ind w:left="92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131" w:lineRule="exact"/>
        <w:rPr>
          <w:sz w:val="20"/>
          <w:szCs w:val="20"/>
          <w:color w:val="auto"/>
        </w:rPr>
      </w:pPr>
    </w:p>
    <w:p>
      <w:pPr>
        <w:ind w:left="900" w:right="58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that (1) we effect covenant defeasance with respect to any debt securities, and (2)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8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preferred stock will be set forth in the applicable prospectus supplement. The terms will include whether the debt securities are convertible into shares of common stock or preferred stock,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84"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in our sole discretion, subject to any limitations described in the applicable prospectus supplement relating to such debt securities, determine not to have any of such debt securities represented by one or more global securities and in such event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will issue individual debt securities in exchange for the global security or securities representing such debt securities. Individual debt securities so issued will be issued in denominations of $2,000 and integral multiples of $1,000.</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Recourse</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8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also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As of March 10, 2017, no shares of preferred stock or Series A preferred stock were issued and outstanding.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and provisions of our common stock. It may not contain all the information that is important to you. You can access complete information by referring to our certificate of incorporation and bylaws.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our certificate of incorporation, we have authority to issue 45,000,000 shares of common stock, par value $.01 per share. As of March 10, 2017, there were 27,302,846 shares of common stock issued and outstanding. All shares of common stock will, when issued, be duly authorized, fully paid and nonassessable. Thus, the full price for the outstanding shares of common stock will have been paid at issuance and any holder of our common stock will not be later required to pay us any additional money for such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Subject to preferential rights of any other class or series of preferred stock, holders of common stock may receive dividends pro rata out of assets that we can legally use to pay dividends, when, as and if they are declared by our board of directors.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Subject to the preferential rights of any other class or series of preferred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General Corporation Law of the State of Delaware regulating corporate takeovers. In general, Section 203,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82" w:lineRule="exact"/>
        <w:rPr>
          <w:sz w:val="20"/>
          <w:szCs w:val="20"/>
          <w:color w:val="auto"/>
        </w:rPr>
      </w:pPr>
    </w:p>
    <w:p>
      <w:pPr>
        <w:ind w:left="900" w:right="4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60" w:hanging="325"/>
        <w:spacing w:after="0" w:line="26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“business combination” as:</w:t>
      </w:r>
    </w:p>
    <w:p>
      <w:pPr>
        <w:spacing w:after="0" w:line="131"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of 10% or more of the assets of the corporation to or with the interested stockholder;</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which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an “interested stockholder” as any person that is:</w:t>
      </w:r>
    </w:p>
    <w:p>
      <w:pPr>
        <w:spacing w:after="0" w:line="131"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above.</w:t>
      </w:r>
    </w:p>
    <w:p>
      <w:pPr>
        <w:spacing w:after="0" w:line="225"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and Other Matters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is divided into three classes, each of which serves until the third annual meeting of shareholders after their election, with one class being elected each year. Subject to the preferential rights of any other class or series of preferred stock, any director, or the entire board of directors, may be removed from office at any time, with or without cause, by the affirmative vote of the holders of ta majority of the voting power of all the then outstanding shares of voting stock of the company, voting together as a single class. Our bylaws require that shareholders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meeting was 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shareholders of our company may be called only by: (i) the Chairman of the board of directors, (ii) by a majority of the board of directors, or (iii) the Chief Executive Officer of our Company. Our certificate of incorporation, as well as applicable provisions of the General Corporation Law of the State of Delaware, provide that no action required or permitted to be taken at any annual or special meeting of our shareholders may be taken without a meeting, unless the consent of two-thirds of the voting power of the then outstanding shares of stock of the company entitled to vote on the matter is obtained. These provisions may diminish the likelihood that a potential acquiror would make an offer for our common stock or that there would otherwise be a change in control of our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20"/>
          </w:cols>
          <w:pgMar w:left="240" w:top="455"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no warrants outstanding. We may issue warrants for the purchase of preferred stock, common stock or debt securities. Warrants may be issued independently, together with any other securities offered by any prospectus supplement or through a dividend or other distribution to our stockholders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applicable warrant agreement, including, where applicable, the following:</w:t>
      </w:r>
    </w:p>
    <w:p>
      <w:pPr>
        <w:spacing w:after="0" w:line="82"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 and the aggregate number of warrants outstanding as of the most practicable date;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issue the warrants;</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preferred stock, common stock or debt securities that can be purchased upon exercise of the warrants and the procedures and conditions relating to the exercise of the warrants;</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issued and the number of warrants issued with each of those securities;</w:t>
      </w:r>
    </w:p>
    <w:p>
      <w:pPr>
        <w:spacing w:after="0" w:line="67"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preferred stock, common stock or debt securities, if any, will be separately transferable;</w:t>
      </w:r>
    </w:p>
    <w:p>
      <w:pPr>
        <w:spacing w:after="0" w:line="67"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share of preferred stock, common stock or debt securities that can be purchased upon exercise of such warrants may be purchased;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shall commence and the date on which such right shall expire;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represented by warrant certificates will be issued in registered or bearer form, and, if registered, where they may be transferred and registered;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any book-entry procedures;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applicable United States federal income tax consequences;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of the debt warrants, if any; and</w:t>
      </w:r>
    </w:p>
    <w:p>
      <w:pPr>
        <w:spacing w:after="0" w:line="130"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and additional rights, preferences, privileges, procedures and limitations relating to the transferability, exchange and exercise of such warrants.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supplement, the specific terms of any series of units may differ from the general description of terms presented below.</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shares of preferred stock, shares of common stock, warrants and debt securities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may describe:</w:t>
      </w:r>
    </w:p>
    <w:p>
      <w:pPr>
        <w:spacing w:after="0" w:line="131" w:lineRule="exact"/>
        <w:rPr>
          <w:sz w:val="20"/>
          <w:szCs w:val="20"/>
          <w:color w:val="auto"/>
        </w:rPr>
      </w:pPr>
    </w:p>
    <w:p>
      <w:pPr>
        <w:ind w:left="900" w:right="4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Preferred Stock,” “Description of Common Stock” and “Description of Warrants” will apply to the securities included in each unit, to the extent relevant.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in Series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financial and other specific terms of your series will be described in the applicable prospectus supplement.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 Agreements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900" w:right="4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900" w:right="2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900" w:right="620" w:hanging="325"/>
        <w:spacing w:after="0" w:line="313"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form only (i.e., book-entry).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900" w:right="16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900" w:right="180" w:hanging="325"/>
        <w:spacing w:after="0" w:line="289"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63" w:lineRule="exact"/>
        <w:rPr>
          <w:rFonts w:ascii="Times New Roman" w:cs="Times New Roman" w:eastAsia="Times New Roman" w:hAnsi="Times New Roman"/>
          <w:sz w:val="17"/>
          <w:szCs w:val="17"/>
          <w:color w:val="auto"/>
        </w:rPr>
      </w:pPr>
    </w:p>
    <w:p>
      <w:pPr>
        <w:ind w:left="900" w:hanging="325"/>
        <w:spacing w:after="0" w:line="25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in any one or more of the following methods from time to time:</w:t>
      </w:r>
    </w:p>
    <w:p>
      <w:pPr>
        <w:spacing w:after="0" w:line="131"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 directly to agents, or to investors through agents;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underwriting syndicates led by one or more managing underwriters, or through one or more underwriters acting alone, for resale to the public or investors;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such broker or dealer for its own account;</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(which may involve crosses) in which the broker or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not involving market makers or established trading markets, including direct sales or privately negotiated transactions;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distributions and/or secondary distributions;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delayed delivery contracts or by remarketing firms;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options, swaps or other derivatives that may or may not be listed on an exchange;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prices may represent a discount from the prevailing market prices.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offering may be on a best efforts or a firm commitment basis. If underwriters are used in the sale, the securities acquired by the underwriters will be for their own accounts. The underwriters may resell the securities in one or more transactions, including without limitation, negotiated transactions, at a fixed public offering price or at a varying price determined at the time of sale. The obligations, if any, of the underwriter to purchase any securities will be subject to certain conditions. We may offer the securities to the public through underwriting syndicates represented by managing underwriters or by underwriters without a syndicate. Subject to certain conditions, the underwriters will be obligated to purchase all of the securities if any are purchased, other than securities covered by any option to purchase additional securities. Any public offering price and any discounts or concessions allowed, reallowed or paid to dealers may be changed from time to time.</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a dealer is used in an offering of securities, we may sell the securities to the dealer, as principal. The dealer may then resell the securities to the public at varying prices to be determined by the dealer at the time of sale.</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sell securities directly to one or more purchasers without using underwriters, dealers or agents.</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sale of the securities, underwriters, dealers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or commissions they receive from us and any profit on the resale of securities they realize may be deemed to be underwriting discounts and commissions under the Securities Act. The applicable prospectus supplement will, where applicable:</w:t>
      </w:r>
    </w:p>
    <w:p>
      <w:pPr>
        <w:spacing w:after="0" w:line="93"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such underwriter or agent;</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any compensation in the form of discounts, concessions, commissions or otherwise received from us by each of such underwriter, dealer or agent and in the aggregate to all underwriters, dealers and agents;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amounts offered and any public offering price;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nature of the underwriter’s obligation to take the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option under which the underwriters may purchase additional securities from us;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quotation systems or securities exchanges on which the securities may be quoted or listed.</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related prospectus supplement, each series of securities will be a new issue with no established trading market, other than the common stock, which is listed on The NASDAQ Global Select Market under the symbol “NNBR”. Any common stock sold pursuant to a prospectus supplement will be listed on The NASDAQ Global Select Market, subject to applicable notices. We may elect to apply for quotation or listing of any other class or series of our securities, on a quotation system or an exchange but we are not obligated to do so.</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in accordance with Rule 104 of Regulation M. Short covering transactions involve purchases of the securities in the open market after the distribution is completed to cover short positions. Short covering transactions also may be effected through a partial or full over-allotment exercise granted to them by us.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are not obligated to conduct any of these activities and if commenced, the underwriters may discontinue any of the activities at any time. Therefore, no assurance can be given as to the liquidity of, or the trading market for, any other class or series of our securities.</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Global Select Market may engage in passive market making transactions in the securities on the NASDAQ Global Select Market in accordance with</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Rule 103 of Regulation M under the Exchange Act during the business day prior to the pricing of the offering and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may sell the securities in exchange in whole or part for consideration other than cash. This consideration may consist of services or products, whether tangible or intangible, and including services or products we may use in our business; outstanding debt or equity securities of our company or one or more of its subsidiaries; debt or equity securities or assets of other companies, including in connection with investments, joint ventures or other strategic transactions, or acquisitions; release of claims or settlement of disputes; and satisfaction of obligations, including obligations to make payments to distributors or other suppliers and payment of interest on outstanding obligations. We may sell the securities as part of a transaction in which outstanding debt or equity securities of our company or one or more of our subsidiaries are surrendered, converted, exercised, canceled or transferred.</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at any time.</w:t>
      </w:r>
    </w:p>
    <w:p>
      <w:pPr>
        <w:spacing w:after="0" w:line="176" w:lineRule="exact"/>
        <w:rPr>
          <w:sz w:val="20"/>
          <w:szCs w:val="20"/>
          <w:color w:val="auto"/>
        </w:rPr>
      </w:pPr>
    </w:p>
    <w:p>
      <w:pPr>
        <w:ind w:right="860"/>
        <w:spacing w:after="0" w:line="266" w:lineRule="auto"/>
        <w:rPr>
          <w:sz w:val="20"/>
          <w:szCs w:val="20"/>
          <w:color w:val="auto"/>
        </w:rPr>
      </w:pPr>
      <w:r>
        <w:rPr>
          <w:rFonts w:ascii="Times New Roman" w:cs="Times New Roman" w:eastAsia="Times New Roman" w:hAnsi="Times New Roman"/>
          <w:sz w:val="18"/>
          <w:szCs w:val="18"/>
          <w:color w:val="auto"/>
        </w:rPr>
        <w:t>Under agreements into which we may enter, underwriters, dealers and agents who participate in the distribution of the securities may be entitled to indemnification by us against certain civil liabilities, including liabilities under the Securities Act, or contribution from us to payments which the underwriters, dealers or agents may be required to make.</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Some of the underwriters, dealers and agents and their affiliates may engage in transactions with or perform services for us and our affiliates in the ordinary course of business. Underwriters have from time to time in the past, and may from time to time in the future, provide investment banking services to us for which they have in the past received, and in the future may receive, customary fees.</w:t>
      </w:r>
    </w:p>
    <w:p>
      <w:pPr>
        <w:spacing w:after="0" w:line="176"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If indicated in the applicable prospectus supplement, securities may also be offered or sold by a “remarketing firm” in connection with a remarketing arrangement contemplated by the terms of the securities. Remarketing firms may act as principals for their own accounts or as agents. The applicable prospectus supplement will identify any remarketing firm and the terms of its agreement, if any, with us. It will also describe the remarketing firms compensation. Remarketing firms may be deemed to be underwriters in connection with the remarketing of the securities.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indicated in the applicable prospectus supplement, we will authorize underwriters, dealers or other persons acting as our agents to solicit offers by particular institutions to purchase securities from us at the public offering price set forth in such prospectus supplement pursuant to delayed delivery contracts providing for payment and delivery on such future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delayed delivery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(1) the purchase of the securities shall not at the time of delivery be prohibited under the laws of any jurisdiction in the United States to which the purchaser is subject, and (2) if the securities are being sold to underwriters, we shall have sold to the underwriters the total principal amount of the securities less the principal amount thereof covered by the delayed delivery contracts. The underwriters and such other agents will not have any responsibility in respect of the validity or performance of such delayed delivery contracts.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it, which means that we can disclose important information to you by referring you to these documents. Our SEC file number is 000-23486.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prior to termination to the offering of the securities described in this prospectus except as to any portion of any future report or document that is deemed furnished and not filed under such provisions:</w:t>
      </w:r>
    </w:p>
    <w:p>
      <w:pPr>
        <w:spacing w:after="0" w:line="93"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2016, filed with the Commission on March 16, 2017.</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Commission on October 27, 2014 and December 30, 2015.</w:t>
      </w:r>
    </w:p>
    <w:p>
      <w:pPr>
        <w:spacing w:after="0" w:line="130"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 Mockingbird Lane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Johnson City, Tennessee 37604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(423) 434-8300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Matthew S. Heiter, Esq, Senior Vice President and General Counsel</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Exchange Act, and in accordance with the Exchange Act,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 Our telephone number is (423) 434-8300. Our website is located at </w:t>
      </w:r>
      <w:r>
        <w:rPr>
          <w:rFonts w:ascii="Times New Roman" w:cs="Times New Roman" w:eastAsia="Times New Roman" w:hAnsi="Times New Roman"/>
          <w:sz w:val="18"/>
          <w:szCs w:val="18"/>
          <w:i w:val="1"/>
          <w:iCs w:val="1"/>
          <w:color w:val="auto"/>
        </w:rPr>
        <w:t>www.nninc.com</w:t>
      </w:r>
      <w:r>
        <w:rPr>
          <w:rFonts w:ascii="Times New Roman" w:cs="Times New Roman" w:eastAsia="Times New Roman" w:hAnsi="Times New Roman"/>
          <w:sz w:val="18"/>
          <w:szCs w:val="18"/>
          <w:color w:val="auto"/>
        </w:rPr>
        <w:t>. Information contained on our website, other than the documents that we file with the SEC that are incorporated by reference in this prospectus, is not incorporated by reference into this prospectus and, therefore, is not part of this prospectus or any accompanying prospectus supplement.</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Autocam Corporation as of December 31, 2013 and 2012, and for each of the years in the three-year period ended December 31, 2013 incorporated in this Prospectus by reference from NN’s Amendment to Current Report on Form 8-K filed with the SEC on October 27, 2014, have been audited by Deloitte &amp; Touche LLP, independent auditors, as stated in their report which is incorporated herein by reference. Such consolidated financial statements have been so incorporated in reliance upon the report of such firm given upon their authority as experts in accounting and auditing.</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Precision Engineered Products Holdings, Inc. at December 31, 2014 and 2013, and for each of the three years in the period ended December 31, 2014, incorporated by reference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financial statements of Wuxi Weifu Autocam Precision Machinery Company, Ltd. as of and for the year ended December 31, 2016 incorporated in this Prospectus by reference from NN’s Annual Report on Form 10-K filed with the SEC on March 16, 2017, have been audited by Deloitte Touche Tohmatsu Certified Public Accountants LLP, an independent registered public accounting firm, as stated in their report which is incorporated herein by reference. Such financial statements have been so incorporated by reference in reliance upon the report of such firm given upon their authority as experts in accounting and auditing.</w:t>
      </w:r>
    </w:p>
    <w:p>
      <w:pPr>
        <w:spacing w:after="0" w:line="28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legal matters, including the legality of the securities offered, will be passed upon for us by Bass, Berry &amp; Sims PLC, Memphis, Tennessee.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9"/>
          <w:szCs w:val="29"/>
          <w:b w:val="1"/>
          <w:bCs w:val="1"/>
          <w:color w:val="auto"/>
        </w:rPr>
        <w:t>$400,000,000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1023620</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1237615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1315085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expenses in connection with the issuance and distribution of the securities being registered will be borne by NN, Inc. and are set forth in the following table. All amounts except the registration fee are estimated.</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fee</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41,526.08</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trustee fees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depend on the securities offered and the number of issuances and cannot be estimated at this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Section 102(b)(7) of the General Corporation Law of the State of Delaware (“DGCL”), which is applicable to the company, allows a corporation to include in its certificate of incorporation a provision that limits or eliminates the personal liability of directors of a corporation or its stockholders for monetary damages for a breach of a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Section 145 of the DGCL authorizes a corporation to indemnify any person who was or is a party or is threatened to be made a party to any threatened, pending or completed action, suit or proceeding, other than an action by or in the right of the corporation, because such person is or was a director, officer, employee or agent of the corporation or is or was serving at the request of the corporation as a director, officer, employee or agent of another corporation or other enterprise, against expenses, including attorneys’ fees, judgments, fines and amounts paid in settlement actually and reasonably incurred by him or her in connection with such suit or proceeding if he or she acted in good faith and in a manner he reasonably believed to be in or not opposed to the best interests of the corporation, and, with respect to any criminal action or proceeding, had no reason to believe his conduct was unlawful. Similar indemnity is authorized for such persons against expenses, including attorneys’ fees, actually and reasonably incurred in defense or settlement of any such pending, completed or threatened action or suit by or in the right of the corporation if such person acted in good faith and in a manner he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stockholders or disinterested directors that indemnification is proper because the indemnitee has met the applicable standard of conduct.</w:t>
      </w:r>
    </w:p>
    <w:p>
      <w:pPr>
        <w:spacing w:after="0" w:line="19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Section 145 of the DGCL also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The company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a director or officer of the company.</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company will indemnify its directors and executive officers to the fullest extent provided by the DGCL and that any repeal or modification of such provisions will be prospective only and will not adversely affect the rights provided by the certificate of incorporation and bylaws in effect at the time of the alleged occurrence of any action or omission to act that is the cause of any</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60"/>
          </w:cols>
          <w:pgMar w:left="240" w:top="455" w:right="2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proceeding against any agent of the company. In addition, our bylaws provide that the company is not required to indemnify any director or executive officer in connection with any proceeding initiated by such person unless the indemnification is expressly required to be made by law, the proceeding was authorized by the board of directors of the company, such indemnification is provided by the company, in its sole discretion, pursuant to the DGCL or any other applicable law. Our bylaws further provide that the company may modify the extent of indemnification of its directors and executive officers by individual contract.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on Form S-3 is set forth on the Exhibit Index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460" w:right="100" w:firstLine="4"/>
        <w:spacing w:after="0" w:line="255" w:lineRule="auto"/>
        <w:tabs>
          <w:tab w:leader="none" w:pos="72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1" w:lineRule="exact"/>
        <w:rPr>
          <w:rFonts w:ascii="Times New Roman" w:cs="Times New Roman" w:eastAsia="Times New Roman" w:hAnsi="Times New Roman"/>
          <w:sz w:val="18"/>
          <w:szCs w:val="18"/>
          <w:color w:val="auto"/>
        </w:rPr>
      </w:pPr>
    </w:p>
    <w:p>
      <w:pPr>
        <w:ind w:left="460" w:right="260" w:firstLine="4"/>
        <w:spacing w:after="0" w:line="282" w:lineRule="auto"/>
        <w:tabs>
          <w:tab w:leader="none" w:pos="77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460"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right="440" w:firstLine="8"/>
        <w:spacing w:after="0" w:line="266"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right="120" w:firstLine="8"/>
        <w:spacing w:after="0" w:line="282"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460" w:right="360" w:firstLine="4"/>
        <w:spacing w:after="0" w:line="282" w:lineRule="auto"/>
        <w:tabs>
          <w:tab w:leader="none" w:pos="67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460" w:firstLine="4"/>
        <w:spacing w:after="0" w:line="256" w:lineRule="auto"/>
        <w:tabs>
          <w:tab w:leader="none" w:pos="72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line="259" w:lineRule="auto"/>
        <w:rPr>
          <w:sz w:val="20"/>
          <w:szCs w:val="20"/>
          <w:color w:val="auto"/>
        </w:rPr>
      </w:pPr>
      <w:r>
        <w:rPr>
          <w:rFonts w:ascii="Times New Roman" w:cs="Times New Roman" w:eastAsia="Times New Roman" w:hAnsi="Times New Roman"/>
          <w:sz w:val="18"/>
          <w:szCs w:val="18"/>
          <w:color w:val="auto"/>
        </w:rPr>
        <w:t xml:space="preserve">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sz w:val="20"/>
          <w:szCs w:val="20"/>
          <w:color w:val="auto"/>
        </w:rPr>
      </w:pPr>
    </w:p>
    <w:p>
      <w:pPr>
        <w:jc w:val="both"/>
        <w:ind w:right="60" w:firstLine="8"/>
        <w:spacing w:after="0" w:line="261"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1" w:lineRule="exact"/>
        <w:rPr>
          <w:rFonts w:ascii="Times New Roman" w:cs="Times New Roman" w:eastAsia="Times New Roman" w:hAnsi="Times New Roman"/>
          <w:sz w:val="18"/>
          <w:szCs w:val="18"/>
          <w:color w:val="auto"/>
        </w:rPr>
      </w:pPr>
    </w:p>
    <w:p>
      <w:pPr>
        <w:ind w:left="680" w:hanging="216"/>
        <w:spacing w:after="0"/>
        <w:tabs>
          <w:tab w:leader="none" w:pos="6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460" w:right="100" w:firstLine="4"/>
        <w:spacing w:after="0" w:line="282" w:lineRule="auto"/>
        <w:tabs>
          <w:tab w:leader="none" w:pos="72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460" w:right="400" w:firstLine="4"/>
        <w:spacing w:after="0" w:line="282" w:lineRule="auto"/>
        <w:tabs>
          <w:tab w:leader="none" w:pos="77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right="240" w:firstLine="8"/>
        <w:spacing w:after="0" w:line="261"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w:t>
      </w:r>
    </w:p>
    <w:p>
      <w:pPr>
        <w:jc w:val="both"/>
        <w:ind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right="40" w:firstLine="8"/>
        <w:spacing w:after="0" w:line="255"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5" w:lineRule="exact"/>
        <w:rPr>
          <w:rFonts w:ascii="Times New Roman" w:cs="Times New Roman" w:eastAsia="Times New Roman" w:hAnsi="Times New Roman"/>
          <w:sz w:val="18"/>
          <w:szCs w:val="18"/>
          <w:color w:val="auto"/>
        </w:rPr>
      </w:pPr>
    </w:p>
    <w:p>
      <w:pPr>
        <w:jc w:val="both"/>
        <w:ind w:right="200" w:firstLine="8"/>
        <w:spacing w:after="0" w:line="266"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applicable,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Johnson City, State of Tennessee, on this 16th day of March, 2017.</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5"/>
                <w:szCs w:val="15"/>
                <w:color w:val="auto"/>
              </w:rPr>
              <w:t>ICHARD</w:t>
            </w:r>
            <w:r>
              <w:rPr>
                <w:rFonts w:ascii="Times New Roman" w:cs="Times New Roman" w:eastAsia="Times New Roman" w:hAnsi="Times New Roman"/>
                <w:sz w:val="18"/>
                <w:szCs w:val="18"/>
                <w:color w:val="auto"/>
              </w:rPr>
              <w:t xml:space="preserve"> D. H</w:t>
            </w:r>
            <w:r>
              <w:rPr>
                <w:rFonts w:ascii="Times New Roman" w:cs="Times New Roman" w:eastAsia="Times New Roman" w:hAnsi="Times New Roman"/>
                <w:sz w:val="15"/>
                <w:szCs w:val="15"/>
                <w:color w:val="auto"/>
              </w:rPr>
              <w:t>OLDER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D. Holder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4"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KNOW ALL MEN BY THESE PRESENTS, </w:t>
      </w:r>
      <w:r>
        <w:rPr>
          <w:rFonts w:ascii="Times New Roman" w:cs="Times New Roman" w:eastAsia="Times New Roman" w:hAnsi="Times New Roman"/>
          <w:sz w:val="18"/>
          <w:szCs w:val="18"/>
          <w:color w:val="auto"/>
        </w:rPr>
        <w:t>each person whose signature appears below hereby constitutes and appoints Richard D.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Thomas C. Burwell, Jr., Matthew S. Heiter and J. Robert Atkinson,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187" w:lineRule="exact"/>
        <w:rPr>
          <w:sz w:val="20"/>
          <w:szCs w:val="20"/>
          <w:color w:val="auto"/>
        </w:rPr>
      </w:pPr>
    </w:p>
    <w:p>
      <w:pPr>
        <w:ind w:right="140" w:firstLine="91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 and Signature</w:t>
            </w:r>
          </w:p>
        </w:tc>
        <w:tc>
          <w:tcPr>
            <w:tcW w:w="100" w:type="dxa"/>
            <w:vAlign w:val="bottom"/>
          </w:tcPr>
          <w:p>
            <w:pPr>
              <w:spacing w:after="0"/>
              <w:rPr>
                <w:sz w:val="16"/>
                <w:szCs w:val="16"/>
                <w:color w:val="auto"/>
              </w:rPr>
            </w:pPr>
          </w:p>
        </w:tc>
        <w:tc>
          <w:tcPr>
            <w:tcW w:w="530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Title</w:t>
            </w:r>
          </w:p>
        </w:tc>
        <w:tc>
          <w:tcPr>
            <w:tcW w:w="17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Date</w:t>
            </w:r>
          </w:p>
        </w:tc>
      </w:tr>
      <w:tr>
        <w:trPr>
          <w:trHeight w:val="196"/>
        </w:trPr>
        <w:tc>
          <w:tcPr>
            <w:tcW w:w="11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5"/>
                <w:szCs w:val="15"/>
                <w:color w:val="auto"/>
              </w:rPr>
              <w:t>ICHARD</w:t>
            </w:r>
            <w:r>
              <w:rPr>
                <w:rFonts w:ascii="Times New Roman" w:cs="Times New Roman" w:eastAsia="Times New Roman" w:hAnsi="Times New Roman"/>
                <w:sz w:val="18"/>
                <w:szCs w:val="18"/>
                <w:color w:val="auto"/>
              </w:rPr>
              <w:t xml:space="preserve"> D.</w:t>
            </w:r>
          </w:p>
        </w:tc>
        <w:tc>
          <w:tcPr>
            <w:tcW w:w="31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5"/>
                <w:szCs w:val="15"/>
                <w:color w:val="auto"/>
              </w:rPr>
              <w:t>OLDER</w:t>
            </w:r>
          </w:p>
        </w:tc>
        <w:tc>
          <w:tcPr>
            <w:tcW w:w="100" w:type="dxa"/>
            <w:vAlign w:val="bottom"/>
          </w:tcPr>
          <w:p>
            <w:pPr>
              <w:spacing w:after="0"/>
              <w:rPr>
                <w:sz w:val="17"/>
                <w:szCs w:val="17"/>
                <w:color w:val="auto"/>
              </w:rPr>
            </w:pPr>
          </w:p>
        </w:tc>
        <w:tc>
          <w:tcPr>
            <w:tcW w:w="508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Chief Executive Officer, President and Director (Principal Executive</w:t>
            </w:r>
          </w:p>
        </w:tc>
        <w:tc>
          <w:tcPr>
            <w:tcW w:w="220" w:type="dxa"/>
            <w:vAlign w:val="bottom"/>
          </w:tcPr>
          <w:p>
            <w:pPr>
              <w:spacing w:after="0"/>
              <w:rPr>
                <w:sz w:val="17"/>
                <w:szCs w:val="17"/>
                <w:color w:val="auto"/>
              </w:rPr>
            </w:pPr>
          </w:p>
        </w:tc>
        <w:tc>
          <w:tcPr>
            <w:tcW w:w="17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Richard D. Holder</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T</w:t>
            </w:r>
            <w:r>
              <w:rPr>
                <w:rFonts w:ascii="Times New Roman" w:cs="Times New Roman" w:eastAsia="Times New Roman" w:hAnsi="Times New Roman"/>
                <w:sz w:val="15"/>
                <w:szCs w:val="15"/>
                <w:color w:val="auto"/>
              </w:rPr>
              <w:t>HOMAS</w:t>
            </w:r>
            <w:r>
              <w:rPr>
                <w:rFonts w:ascii="Times New Roman" w:cs="Times New Roman" w:eastAsia="Times New Roman" w:hAnsi="Times New Roman"/>
                <w:sz w:val="18"/>
                <w:szCs w:val="18"/>
                <w:color w:val="auto"/>
              </w:rPr>
              <w:t xml:space="preserve"> C. B</w:t>
            </w:r>
            <w:r>
              <w:rPr>
                <w:rFonts w:ascii="Times New Roman" w:cs="Times New Roman" w:eastAsia="Times New Roman" w:hAnsi="Times New Roman"/>
                <w:sz w:val="15"/>
                <w:szCs w:val="15"/>
                <w:color w:val="auto"/>
              </w:rPr>
              <w:t>URWELL</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 Financial</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Thomas C. Burwell, Jr.</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&amp; Principal Accounting Officer)</w:t>
            </w: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G. R</w:t>
            </w:r>
            <w:r>
              <w:rPr>
                <w:rFonts w:ascii="Times New Roman" w:cs="Times New Roman" w:eastAsia="Times New Roman" w:hAnsi="Times New Roman"/>
                <w:sz w:val="15"/>
                <w:szCs w:val="15"/>
                <w:color w:val="auto"/>
              </w:rPr>
              <w:t>ONALD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5"/>
                <w:szCs w:val="15"/>
                <w:color w:val="auto"/>
              </w:rPr>
              <w:t>ORRIS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Chairman, 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 Ronald Morris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5"/>
                <w:szCs w:val="15"/>
                <w:color w:val="auto"/>
              </w:rPr>
              <w:t>OBERT</w:t>
            </w:r>
            <w:r>
              <w:rPr>
                <w:rFonts w:ascii="Times New Roman" w:cs="Times New Roman" w:eastAsia="Times New Roman" w:hAnsi="Times New Roman"/>
                <w:sz w:val="18"/>
                <w:szCs w:val="18"/>
                <w:color w:val="auto"/>
              </w:rPr>
              <w:t xml:space="preserve"> E. B</w:t>
            </w:r>
            <w:r>
              <w:rPr>
                <w:rFonts w:ascii="Times New Roman" w:cs="Times New Roman" w:eastAsia="Times New Roman" w:hAnsi="Times New Roman"/>
                <w:sz w:val="15"/>
                <w:szCs w:val="15"/>
                <w:color w:val="auto"/>
              </w:rPr>
              <w:t>RUNNER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Robert E. Brunner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W</w:t>
            </w:r>
            <w:r>
              <w:rPr>
                <w:rFonts w:ascii="Times New Roman" w:cs="Times New Roman" w:eastAsia="Times New Roman" w:hAnsi="Times New Roman"/>
                <w:sz w:val="15"/>
                <w:szCs w:val="15"/>
                <w:color w:val="auto"/>
              </w:rPr>
              <w:t>ILLIAM</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RIES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William Dries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5"/>
                <w:szCs w:val="15"/>
                <w:color w:val="auto"/>
              </w:rPr>
              <w:t>AVID</w:t>
            </w:r>
            <w:r>
              <w:rPr>
                <w:rFonts w:ascii="Times New Roman" w:cs="Times New Roman" w:eastAsia="Times New Roman" w:hAnsi="Times New Roman"/>
                <w:sz w:val="18"/>
                <w:szCs w:val="18"/>
                <w:color w:val="auto"/>
              </w:rPr>
              <w:t xml:space="preserve"> K. F</w:t>
            </w:r>
            <w:r>
              <w:rPr>
                <w:rFonts w:ascii="Times New Roman" w:cs="Times New Roman" w:eastAsia="Times New Roman" w:hAnsi="Times New Roman"/>
                <w:sz w:val="15"/>
                <w:szCs w:val="15"/>
                <w:color w:val="auto"/>
              </w:rPr>
              <w:t>LOYD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David K. Floyd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5"/>
                <w:szCs w:val="15"/>
                <w:color w:val="auto"/>
              </w:rPr>
              <w:t>AVID</w:t>
            </w:r>
            <w:r>
              <w:rPr>
                <w:rFonts w:ascii="Times New Roman" w:cs="Times New Roman" w:eastAsia="Times New Roman" w:hAnsi="Times New Roman"/>
                <w:sz w:val="18"/>
                <w:szCs w:val="18"/>
                <w:color w:val="auto"/>
              </w:rPr>
              <w:t xml:space="preserve"> L. P</w:t>
            </w:r>
            <w:r>
              <w:rPr>
                <w:rFonts w:ascii="Times New Roman" w:cs="Times New Roman" w:eastAsia="Times New Roman" w:hAnsi="Times New Roman"/>
                <w:sz w:val="15"/>
                <w:szCs w:val="15"/>
                <w:color w:val="auto"/>
              </w:rPr>
              <w:t>UGH</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David L. Pugh</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5"/>
                <w:szCs w:val="15"/>
                <w:color w:val="auto"/>
              </w:rPr>
              <w:t>TEVEN</w:t>
            </w:r>
            <w:r>
              <w:rPr>
                <w:rFonts w:ascii="Times New Roman" w:cs="Times New Roman" w:eastAsia="Times New Roman" w:hAnsi="Times New Roman"/>
                <w:sz w:val="18"/>
                <w:szCs w:val="18"/>
                <w:color w:val="auto"/>
              </w:rPr>
              <w:t xml:space="preserve"> T. W</w:t>
            </w:r>
            <w:r>
              <w:rPr>
                <w:rFonts w:ascii="Times New Roman" w:cs="Times New Roman" w:eastAsia="Times New Roman" w:hAnsi="Times New Roman"/>
                <w:sz w:val="15"/>
                <w:szCs w:val="15"/>
                <w:color w:val="auto"/>
              </w:rPr>
              <w:t>ARSHAW</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March 16, 2017</w:t>
            </w:r>
          </w:p>
        </w:tc>
      </w:tr>
      <w:tr>
        <w:trPr>
          <w:trHeight w:val="228"/>
        </w:trPr>
        <w:tc>
          <w:tcPr>
            <w:tcW w:w="4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Steven T. Warshaw</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0"/>
        </w:trPr>
        <w:tc>
          <w:tcPr>
            <w:tcW w:w="1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II-4</w:t>
            </w: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0680" w:type="dxa"/>
            <w:vAlign w:val="bottom"/>
            <w:gridSpan w:val="3"/>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680" w:type="dxa"/>
            <w:vAlign w:val="bottom"/>
            <w:gridSpan w:val="3"/>
          </w:tcPr>
          <w:p>
            <w:pPr>
              <w:ind w:left="5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7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1.1*</w:t>
            </w:r>
          </w:p>
        </w:tc>
        <w:tc>
          <w:tcPr>
            <w:tcW w:w="5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70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Restated Certificate of Incorporation of NN, Inc. (incorporated by reference to Exhibit 3.1 of NN, Inc.’s Registration Statement No. 333-</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89950 on Form S-3 filed June 6, 2002)</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4.2</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Certificate of Designation of Series A Junior Participating Preferred Stock of NN, Inc., as filed with the Secretary of the State of</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Delaware (incorporated by reference to Exhibit 3.1 to NN, Inc.’s Current Report on Form 8-K filed on December 18, 2008).</w:t>
            </w:r>
          </w:p>
        </w:tc>
      </w:tr>
      <w:tr>
        <w:trPr>
          <w:trHeight w:val="306"/>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4.3</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Amended and Restated By-Laws of NN, Inc. (incorporated by reference to Exhibit 3.1 to NN, Inc.’s Current Report on Form 8-K filed on</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November 20, 2015).</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Indenture for Senior Debt Securities</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Senior Debt Security (included in Exhibit 4.4 hereto)</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Subordinated Indenture for Subordinated Debt Securities</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Subordinated Debt Security (included in Exhibit 4.6 hereto)</w:t>
            </w:r>
          </w:p>
        </w:tc>
      </w:tr>
      <w:tr>
        <w:trPr>
          <w:trHeight w:val="324"/>
        </w:trPr>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4.8*</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Certificate of Designations for Preferred Stock</w:t>
            </w:r>
          </w:p>
        </w:tc>
      </w:tr>
      <w:tr>
        <w:trPr>
          <w:trHeight w:val="324"/>
        </w:trPr>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4.9*</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Preferred Stock Certificate</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Warrant Certificate</w:t>
            </w:r>
          </w:p>
        </w:tc>
      </w:tr>
      <w:tr>
        <w:trPr>
          <w:trHeight w:val="324"/>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Form of Unit Certificate</w:t>
            </w:r>
          </w:p>
        </w:tc>
      </w:tr>
      <w:tr>
        <w:trPr>
          <w:trHeight w:val="306"/>
        </w:trPr>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4.13</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specimen stock certificate representing the Company’s Common Stock, par value $0.01 per share (incorporated by reference to</w:t>
            </w:r>
          </w:p>
        </w:tc>
      </w:tr>
      <w:tr>
        <w:trPr>
          <w:trHeight w:val="234"/>
        </w:trPr>
        <w:tc>
          <w:tcPr>
            <w:tcW w:w="720" w:type="dxa"/>
            <w:vAlign w:val="bottom"/>
          </w:tcPr>
          <w:p>
            <w:pPr>
              <w:spacing w:after="0"/>
              <w:rPr>
                <w:sz w:val="20"/>
                <w:szCs w:val="20"/>
                <w:color w:val="auto"/>
              </w:rPr>
            </w:pP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Exhibit 4.1 of the Company’s Registration Statement No. 333-89950 on Form S-3 filed June 6, 2002)</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Legal Opinion of Bass, Berry &amp; Sims PLC</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12.1(1)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Calculation of Ratios of Earnings to Fixed Charges</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23.1(1)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23.2(1)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23.3(1)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23.4(1)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Consent of Deloitte Touche Tohmatsu Certified Public Accountants LLP</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23.5(1)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Consent of Bass, Berry &amp; Sims PLC (included in Exhibit 5.1 hereto)</w:t>
            </w:r>
          </w:p>
        </w:tc>
      </w:tr>
      <w:tr>
        <w:trPr>
          <w:trHeight w:val="324"/>
        </w:trPr>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8"/>
              </w:rPr>
              <w:t>24.1(1)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Power of Attorney (included on signature page hereto)</w:t>
            </w:r>
          </w:p>
        </w:tc>
      </w:tr>
      <w:tr>
        <w:trPr>
          <w:trHeight w:val="324"/>
        </w:trPr>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8"/>
              </w:rPr>
              <w:t>25.1*</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Statement of Eligibility of Trustee under the Trust Indenture Act of 1939 on Form T-1 with respect to the Senior Indenture</w:t>
            </w:r>
          </w:p>
        </w:tc>
      </w:tr>
      <w:tr>
        <w:trPr>
          <w:trHeight w:val="324"/>
        </w:trPr>
        <w:tc>
          <w:tcPr>
            <w:tcW w:w="7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98"/>
              </w:rPr>
              <w:t>25.2*</w:t>
            </w:r>
          </w:p>
        </w:tc>
        <w:tc>
          <w:tcPr>
            <w:tcW w:w="106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Statement of Eligibility of Trustee under the Trust Indenture Act of 1939 on Form T-1 with respect to the 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260" w:hanging="452"/>
        <w:spacing w:after="0" w:line="261"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document to be incorporated or deemed to be incorporated by reference in this registration statement, including a Current Report on Form 8-K.</w:t>
      </w: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400"/>
          </w:cols>
          <w:pgMar w:left="240" w:top="455" w:right="2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ind w:left="4780" w:hanging="596"/>
        <w:spacing w:after="0"/>
        <w:tabs>
          <w:tab w:leader="none" w:pos="47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2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tbl>
      <w:tblPr>
        <w:tblLayout w:type="fixed"/>
        <w:tblInd w:w="364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Dated as of</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201</w:t>
            </w:r>
          </w:p>
        </w:tc>
      </w:tr>
    </w:tbl>
    <w:p>
      <w:pPr>
        <w:spacing w:after="0" w:line="19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ectPr>
          <w:pgSz w:w="11900" w:h="16838" w:orient="portrait"/>
          <w:cols w:equalWidth="0" w:num="1">
            <w:col w:w="10220"/>
          </w:cols>
          <w:pgMar w:left="1440" w:top="117" w:right="23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1060" w:type="dxa"/>
            <w:vAlign w:val="bottom"/>
            <w:gridSpan w:val="2"/>
            <w:vMerge w:val="continue"/>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Acts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 etc., to Trustee and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to Holders; Waiver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Counterparts; Effect of Headings and Table of Contents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Severability Clause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Benefits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Governing Law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Legal Holidays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Limited Liability; Immunity of Stockholders, Directors, Officers and Agents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TWO – SECURITIES FORMS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Forms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Issuable in Global Form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THREE – THE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Denominations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Temporary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Registration of Transfer, Conversion and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Persons Deemed Owners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Cancellation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Computation of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CUSIP Numbers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 – SATISFACTION AND DISCHARGE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Application of Trust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FIVE – 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Events of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 or Coupons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Limitation on Suits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or Make-Whole Amount, if any, and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 by Holders of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Waiver of Past Defaults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Waiver of Usury, Stay or Extension Laws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Undertaking for Costs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 – THE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Defaults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Trustee Required; Eligibility; Conflicting Interests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Duties and Responsibilities of the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Disclosure of Names and Addresses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Reports by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Reports by Company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Consolidations and Mergers of Company and Sales, Leases and Conveyances Permitted Subject to Certain Conditions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Rights and Duties of Successor Corporation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Officers’ Certificate and Opinion of Counsel</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NINE – SUPPLEMENTAL INDENTURES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TEN –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Principal, Premium or Make-Whole Amount, if any; and Interest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Existence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10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ELEVEN – REDEMPTION OF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Selection by Trustee of Securities to Be Redeemed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Redemption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1106.</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Payable on Redemption Date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1107.</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360"/>
          </w:cols>
          <w:pgMar w:left="240" w:top="270" w:right="299"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TWELVE – SINKING FUNDS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1202.</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1203.</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Option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When Securities Presented for Repayment Become Due and Payable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Repaid in Part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1401.</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Applicability of Article; Company’s Option to Effect Defeasance or Covenant Defeasance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1402.</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Defeasance and Discharge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1403.</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Covenant Defeasance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1404.</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1405.</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Deposited Money and Government Obligations to Be Held in Trust; Other Miscellaneous Provisions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0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1501.</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1502.</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Call, Notice and Place of Meetings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1503.</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1504.</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Quorum; Action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1505.</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1506.</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SIXTEEN – CONVERSION OF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1601.</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Applicability of Article; Conversion Privilege and Conversion Price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1602.</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Conversion Privilege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1603.</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Fractions of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1604.</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of Conversion Price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1605.</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Adjustments of Conversion Price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1606.</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Certain Corporate Action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1607.</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 to Reserve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1608.</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on Conversion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1609.</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Covenants as to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1610.</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Cancellation of Converted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1611.</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Provisions in Case of Consolidation, Merger or Sale of Assets; Special Distributions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1612.</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Trustee Adjustment Disclaimer; Company Determination Final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1613.</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When No Adjustment Required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1614.</w:t>
            </w:r>
          </w:p>
        </w:tc>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Equivalent 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ectPr>
          <w:pgSz w:w="11900" w:h="16838" w:orient="portrait"/>
          <w:cols w:equalWidth="0" w:num="1">
            <w:col w:w="11360"/>
          </w:cols>
          <w:pgMar w:left="240" w:top="270" w:right="29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and tie between the Trust Indenture Act of 1939, as amended (the “Trust Indenture Act” or “TIA”) and the Indenture, dated as of , 201 .</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8240" w:type="dxa"/>
            <w:vAlign w:val="bottom"/>
          </w:tcPr>
          <w:p>
            <w:pPr>
              <w:spacing w:after="0"/>
              <w:rPr>
                <w:sz w:val="16"/>
                <w:szCs w:val="16"/>
                <w:color w:val="auto"/>
              </w:rPr>
            </w:pPr>
          </w:p>
        </w:tc>
        <w:tc>
          <w:tcPr>
            <w:tcW w:w="1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85"/>
        </w:trPr>
        <w:tc>
          <w:tcPr>
            <w:tcW w:w="17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 310(a)(1)</w:t>
            </w:r>
          </w:p>
        </w:tc>
        <w:tc>
          <w:tcPr>
            <w:tcW w:w="8240" w:type="dxa"/>
            <w:vAlign w:val="bottom"/>
          </w:tcPr>
          <w:p>
            <w:pPr>
              <w:spacing w:after="0"/>
              <w:rPr>
                <w:sz w:val="16"/>
                <w:szCs w:val="16"/>
                <w:color w:val="auto"/>
              </w:rPr>
            </w:pPr>
          </w:p>
        </w:tc>
        <w:tc>
          <w:tcPr>
            <w:tcW w:w="14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607</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607, 608</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312(c)</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313(a)</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314(a)</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315(b)</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316(a) (last sentence)</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w w:val="99"/>
              </w:rPr>
              <w:t>101(“Outstanding”)</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502, 512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317(a)(1)</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318(a)</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680" w:type="dxa"/>
            <w:vAlign w:val="bottom"/>
            <w:gridSpan w:val="2"/>
          </w:tcPr>
          <w:p>
            <w:pPr>
              <w:ind w:left="824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ectPr>
          <w:pgSz w:w="11900" w:h="16838" w:orient="portrait"/>
          <w:cols w:equalWidth="0" w:num="1">
            <w:col w:w="11420"/>
          </w:cols>
          <w:pgMar w:left="240" w:top="270" w:right="239" w:bottom="1440" w:gutter="0" w:footer="0" w:header="0"/>
        </w:sectPr>
      </w:pPr>
    </w:p>
    <w:bookmarkStart w:id="47" w:name="page48"/>
    <w:bookmarkEnd w:id="47"/>
    <w:p>
      <w:pPr>
        <w:ind w:right="60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is dated as of , 201 , between NN, INC., a corporation organized under the laws of the State of Delaware (hereinafter called the “Company”), having its principal office at 2000 Waters Edge Drive Johnson City, Tennessee 37604, and [ ], as Trustee hereunder (hereinafter called the “Trustee”), having a Corporate Trust Office at [ ].</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things necessary to make this Indenture a valid and legally binding agreement of the Company, in accordance with its terms, have been done.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 requires:</w:t>
      </w:r>
    </w:p>
    <w:p>
      <w:pPr>
        <w:spacing w:after="0" w:line="117"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117"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“Article” or a “Section” refers to an Article or Section, as the case may be, of this Indenture; and</w:t>
      </w:r>
    </w:p>
    <w:p>
      <w:pPr>
        <w:spacing w:after="0" w:line="117" w:lineRule="exact"/>
        <w:rPr>
          <w:rFonts w:ascii="Times New Roman" w:cs="Times New Roman" w:eastAsia="Times New Roman" w:hAnsi="Times New Roman"/>
          <w:sz w:val="18"/>
          <w:szCs w:val="18"/>
          <w:color w:val="auto"/>
        </w:rPr>
      </w:pPr>
    </w:p>
    <w:p>
      <w:pPr>
        <w:ind w:right="520" w:firstLine="8"/>
        <w:spacing w:after="0" w:line="282"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40" w:top="270" w:right="299" w:bottom="1440" w:gutter="0" w:footer="0" w:header="0"/>
        </w:sectPr>
      </w:pPr>
    </w:p>
    <w:bookmarkStart w:id="48" w:name="page49"/>
    <w:bookmarkEnd w:id="48"/>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means any Person authorized by the Trustee pursuant to Section 611 hereof to act on behalf of the Trustee to authenticate Securities of one or more Series.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Newspaper</w:t>
      </w:r>
      <w:r>
        <w:rPr>
          <w:rFonts w:ascii="Times New Roman" w:cs="Times New Roman" w:eastAsia="Times New Roman" w:hAnsi="Times New Roman"/>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Bearer Security</w:t>
      </w:r>
      <w:r>
        <w:rPr>
          <w:rFonts w:ascii="Times New Roman" w:cs="Times New Roman" w:eastAsia="Times New Roman" w:hAnsi="Times New Roman"/>
          <w:sz w:val="18"/>
          <w:szCs w:val="18"/>
          <w:color w:val="auto"/>
        </w:rPr>
        <w:t>” means any Security established pursuant to Section 201 which is payable to the bearer.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Luxembourg, société anonyme, or its successor.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closing price of a share of Common Stock of the Company as reported on the NASDAQ Global Select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thereunder.</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Depository</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xml:space="preserve"> “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has the meaning specified in Section 1611.</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has the meaning specified in Section 1601.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Corporate Trust Office</w:t>
      </w:r>
      <w:r>
        <w:rPr>
          <w:rFonts w:ascii="Times New Roman" w:cs="Times New Roman" w:eastAsia="Times New Roman" w:hAnsi="Times New Roman"/>
          <w:sz w:val="17"/>
          <w:szCs w:val="17"/>
          <w:color w:val="auto"/>
        </w:rPr>
        <w:t>” means the office of the Trustee at which, at any particular time, its corporate trust business shall be principally administered, which</w:t>
      </w:r>
    </w:p>
    <w:p>
      <w:pPr>
        <w:spacing w:after="0" w:line="39"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18"/>
          <w:szCs w:val="18"/>
          <w:color w:val="auto"/>
        </w:rPr>
        <w:t>office at the date hereof is located at [</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coupon</w:t>
      </w:r>
      <w:r>
        <w:rPr>
          <w:rFonts w:ascii="Times New Roman" w:cs="Times New Roman" w:eastAsia="Times New Roman" w:hAnsi="Times New Roman"/>
          <w:sz w:val="18"/>
          <w:szCs w:val="18"/>
          <w:color w:val="auto"/>
        </w:rPr>
        <w:t>” means any interest coupon appertaining to a Bearer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specified in Section 1403.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has the meaning specified in Section 1402.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has the meaning specified in Section 1611.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of payment is legal tender for the payment of public and private debts.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ECU</w:t>
      </w:r>
      <w:r>
        <w:rPr>
          <w:rFonts w:ascii="Times New Roman" w:cs="Times New Roman" w:eastAsia="Times New Roman" w:hAnsi="Times New Roman"/>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Morgan Guaranty Trust Company of New York, Brussels office, or its successor, as operator of the Euroclear System.</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Communities</w:t>
      </w:r>
      <w:r>
        <w:rPr>
          <w:rFonts w:ascii="Times New Roman" w:cs="Times New Roman" w:eastAsia="Times New Roman" w:hAnsi="Times New Roman"/>
          <w:sz w:val="18"/>
          <w:szCs w:val="18"/>
          <w:color w:val="auto"/>
        </w:rPr>
        <w:t>” means the European Economic Community, the European Coal and Steel Community and the European Atomic Energy Community.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Monetary System</w:t>
      </w:r>
      <w:r>
        <w:rPr>
          <w:rFonts w:ascii="Times New Roman" w:cs="Times New Roman" w:eastAsia="Times New Roman" w:hAnsi="Times New Roman"/>
          <w:sz w:val="18"/>
          <w:szCs w:val="18"/>
          <w:color w:val="auto"/>
        </w:rPr>
        <w:t>” means the European Monetary System established by the Resolution of December 5, 1978 of the Council of the European Communities.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Article Five.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00"/>
          </w:cols>
          <w:pgMar w:left="240" w:top="270" w:right="359" w:bottom="1440" w:gutter="0" w:footer="0" w:header="0"/>
        </w:sectPr>
      </w:pPr>
    </w:p>
    <w:bookmarkStart w:id="50" w:name="page51"/>
    <w:bookmarkEnd w:id="50"/>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Securities Exchange Act of 1934, as amended, as in force at the date as of which this Indenture was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Exchange Act is amended after such date, “Exchange Act” means to the extent required by any such amendment, the Exchange Act as so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except as otherwise provided herein, generally accepted accounting principles, as in effect from time to time, as used in the United States applied on a consistent basis.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Obligations</w:t>
      </w:r>
      <w:r>
        <w:rPr>
          <w:rFonts w:ascii="Times New Roman" w:cs="Times New Roman" w:eastAsia="Times New Roman" w:hAnsi="Times New Roman"/>
          <w:sz w:val="18"/>
          <w:szCs w:val="18"/>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shall mean interest payable after Maturity.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of the Distribution</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or who may be an employee of or other counsel for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Indenture,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117" w:lineRule="exact"/>
        <w:rPr>
          <w:rFonts w:ascii="Times New Roman" w:cs="Times New Roman" w:eastAsia="Times New Roman" w:hAnsi="Times New Roman"/>
          <w:sz w:val="18"/>
          <w:szCs w:val="18"/>
          <w:color w:val="auto"/>
        </w:rPr>
      </w:pPr>
    </w:p>
    <w:p>
      <w:pPr>
        <w:ind w:firstLine="8"/>
        <w:spacing w:after="0" w:line="258"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Securities are to be redeemed, notice of such redemption has been duly given pursuant to this Indenture or provision therefor satisfactory to the Trustee has been made;</w:t>
      </w:r>
    </w:p>
    <w:p>
      <w:pPr>
        <w:spacing w:after="0" w:line="75" w:lineRule="exact"/>
        <w:rPr>
          <w:rFonts w:ascii="Times New Roman" w:cs="Times New Roman" w:eastAsia="Times New Roman" w:hAnsi="Times New Roman"/>
          <w:sz w:val="18"/>
          <w:szCs w:val="18"/>
          <w:color w:val="auto"/>
        </w:rPr>
      </w:pPr>
    </w:p>
    <w:p>
      <w:pPr>
        <w:ind w:right="500" w:firstLine="8"/>
        <w:spacing w:after="0" w:line="282" w:lineRule="auto"/>
        <w:tabs>
          <w:tab w:leader="none" w:pos="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Sections 1402 and 1403, with respect to which the Company has effected Defeasance and/or Covenant Defeasance as provided in Article Fourteen; and</w:t>
      </w:r>
    </w:p>
    <w:p>
      <w:pPr>
        <w:spacing w:after="0" w:line="53" w:lineRule="exact"/>
        <w:rPr>
          <w:rFonts w:ascii="Times New Roman" w:cs="Times New Roman" w:eastAsia="Times New Roman" w:hAnsi="Times New Roman"/>
          <w:sz w:val="18"/>
          <w:szCs w:val="18"/>
          <w:color w:val="auto"/>
        </w:rPr>
      </w:pPr>
    </w:p>
    <w:p>
      <w:pPr>
        <w:ind w:right="160" w:firstLine="8"/>
        <w:spacing w:after="0" w:line="266" w:lineRule="auto"/>
        <w:tabs>
          <w:tab w:leader="none" w:pos="3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270" w:right="319" w:bottom="1440" w:gutter="0" w:footer="0" w:header="0"/>
        </w:sectPr>
      </w:pPr>
    </w:p>
    <w:bookmarkStart w:id="52" w:name="page53"/>
    <w:bookmarkEnd w:id="52"/>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w:t>
      </w:r>
    </w:p>
    <w:p>
      <w:pPr>
        <w:spacing w:after="0" w:line="3" w:lineRule="exact"/>
        <w:rPr>
          <w:sz w:val="20"/>
          <w:szCs w:val="20"/>
          <w:color w:val="auto"/>
        </w:rPr>
      </w:pPr>
    </w:p>
    <w:p>
      <w:pPr>
        <w:ind w:right="20" w:firstLine="8"/>
        <w:spacing w:after="0" w:line="251" w:lineRule="auto"/>
        <w:tabs>
          <w:tab w:leader="none" w:pos="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(and premium or Make-Whole Amount, if any) or interest on any Securities or coupons on behalf of the Company.</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Security</w:t>
      </w:r>
      <w:r>
        <w:rPr>
          <w:rFonts w:ascii="Times New Roman" w:cs="Times New Roman" w:eastAsia="Times New Roman" w:hAnsi="Times New Roman"/>
          <w:sz w:val="18"/>
          <w:szCs w:val="18"/>
          <w:color w:val="auto"/>
        </w:rPr>
        <w:t>” shall mean any Security which is registered in the Security Register.</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0" w:right="279" w:bottom="1440" w:gutter="0" w:footer="0" w:header="0"/>
        </w:sectPr>
      </w:pPr>
    </w:p>
    <w:bookmarkStart w:id="53" w:name="page54"/>
    <w:bookmarkEnd w:id="53"/>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the date fixed for such repayment by or pursuant to this Indenture.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Price</w:t>
      </w:r>
      <w:r>
        <w:rPr>
          <w:rFonts w:ascii="Times New Roman" w:cs="Times New Roman" w:eastAsia="Times New Roman" w:hAnsi="Times New Roman"/>
          <w:sz w:val="18"/>
          <w:szCs w:val="18"/>
          <w:color w:val="auto"/>
        </w:rPr>
        <w:t>” means, when used with respect to any Security to be repaid at the option of the Holder, the price at which it is to be repaid by or pursuant to this Indenture.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Record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w:t>
      </w:r>
      <w:r>
        <w:rPr>
          <w:rFonts w:ascii="Times New Roman" w:cs="Times New Roman" w:eastAsia="Times New Roman" w:hAnsi="Times New Roman"/>
          <w:sz w:val="17"/>
          <w:szCs w:val="17"/>
          <w:color w:val="auto"/>
        </w:rPr>
        <w:t xml:space="preserve"> “ and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xml:space="preserve">” has the meaning stated in the first recital of this Indenture and, more particularly, means any Security or Securities authenticated and delivered under this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Securities means all securities denoted as part of the same series authorized by or pursuant to a particular Board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Term Rights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which is a “significant subsidiary” (as defined in Article I, Rule 1-02 of Regulation S-X, promulgated under the Securities Act of 1933, as amended) of the Company.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Registered Securities of or within any series means a date fixed by the Company pursuant to Section 307.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NASDAQ Global Select Market is open for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means the Trust Indenture Act of 1939, as amended and as in force at the date as of which this Indenture was executed, except as provided in Section 905.</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54" w:name="page55"/>
    <w:bookmarkEnd w:id="5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there is more than one such Person, “Trustee” as used with respect to the Securities of any series shall mean only the Trustee with respect to Securities of that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Distribution</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to Maturity</w:t>
      </w:r>
      <w:r>
        <w:rPr>
          <w:rFonts w:ascii="Times New Roman" w:cs="Times New Roman" w:eastAsia="Times New Roman" w:hAnsi="Times New Roman"/>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(including certificates delivered pursuant to Section 1008) shall include:</w:t>
      </w:r>
    </w:p>
    <w:p>
      <w:pPr>
        <w:spacing w:after="0" w:line="54" w:lineRule="exact"/>
        <w:rPr>
          <w:sz w:val="20"/>
          <w:szCs w:val="20"/>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condition or covenant and the definitions herein relating thereto;</w:t>
      </w:r>
    </w:p>
    <w:p>
      <w:pPr>
        <w:spacing w:after="0" w:line="117"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right="640" w:firstLine="8"/>
        <w:spacing w:after="0" w:line="282"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55" w:name="page56"/>
    <w:bookmarkEnd w:id="55"/>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3"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80" w:lineRule="exact"/>
        <w:rPr>
          <w:rFonts w:ascii="Times New Roman" w:cs="Times New Roman" w:eastAsia="Times New Roman" w:hAnsi="Times New Roman"/>
          <w:sz w:val="18"/>
          <w:szCs w:val="18"/>
          <w:color w:val="auto"/>
        </w:rPr>
      </w:pPr>
    </w:p>
    <w:p>
      <w:pPr>
        <w:ind w:right="160" w:firstLine="8"/>
        <w:spacing w:after="0" w:line="258"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75"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53" w:lineRule="exact"/>
        <w:rPr>
          <w:rFonts w:ascii="Times New Roman" w:cs="Times New Roman" w:eastAsia="Times New Roman" w:hAnsi="Times New Roman"/>
          <w:sz w:val="18"/>
          <w:szCs w:val="18"/>
          <w:color w:val="auto"/>
        </w:rPr>
      </w:pPr>
    </w:p>
    <w:p>
      <w:pPr>
        <w:ind w:right="60" w:firstLine="8"/>
        <w:spacing w:after="0" w:line="255"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77" w:lineRule="exact"/>
        <w:rPr>
          <w:rFonts w:ascii="Times New Roman" w:cs="Times New Roman" w:eastAsia="Times New Roman" w:hAnsi="Times New Roman"/>
          <w:sz w:val="18"/>
          <w:szCs w:val="18"/>
          <w:color w:val="auto"/>
        </w:rPr>
      </w:pPr>
    </w:p>
    <w:p>
      <w:pPr>
        <w:ind w:right="100" w:firstLine="8"/>
        <w:spacing w:after="0" w:line="256"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56" w:name="page57"/>
    <w:bookmarkEnd w:id="5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80" w:lineRule="exact"/>
        <w:rPr>
          <w:sz w:val="20"/>
          <w:szCs w:val="20"/>
          <w:color w:val="auto"/>
        </w:rPr>
      </w:pPr>
    </w:p>
    <w:p>
      <w:pPr>
        <w:ind w:right="20" w:firstLine="8"/>
        <w:spacing w:after="0" w:line="261"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Company</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Trustee by any Holder or by the Company shall be sufficient for every purpose hereunder if made, given, furnished or filed in writing to or with the</w:t>
      </w:r>
    </w:p>
    <w:p>
      <w:pPr>
        <w:spacing w:after="0" w:line="27" w:lineRule="exact"/>
        <w:rPr>
          <w:sz w:val="20"/>
          <w:szCs w:val="20"/>
          <w:color w:val="auto"/>
        </w:rPr>
      </w:pPr>
    </w:p>
    <w:p>
      <w:pPr>
        <w:spacing w:after="0"/>
        <w:tabs>
          <w:tab w:leader="none" w:pos="1340" w:val="left"/>
          <w:tab w:leader="none" w:pos="9080" w:val="left"/>
        </w:tabs>
        <w:rPr>
          <w:sz w:val="20"/>
          <w:szCs w:val="20"/>
          <w:color w:val="auto"/>
        </w:rPr>
      </w:pPr>
      <w:r>
        <w:rPr>
          <w:rFonts w:ascii="Times New Roman" w:cs="Times New Roman" w:eastAsia="Times New Roman" w:hAnsi="Times New Roman"/>
          <w:sz w:val="18"/>
          <w:szCs w:val="18"/>
          <w:color w:val="auto"/>
        </w:rPr>
        <w:t>Trustee at [</w:t>
      </w:r>
      <w:r>
        <w:rPr>
          <w:sz w:val="20"/>
          <w:szCs w:val="20"/>
          <w:color w:val="auto"/>
        </w:rPr>
        <w:tab/>
      </w:r>
      <w:r>
        <w:rPr>
          <w:rFonts w:ascii="Times New Roman" w:cs="Times New Roman" w:eastAsia="Times New Roman" w:hAnsi="Times New Roman"/>
          <w:sz w:val="18"/>
          <w:szCs w:val="18"/>
          <w:color w:val="auto"/>
        </w:rPr>
        <w:t>] or at any other address previously furnished in writing to the Company by the Trustee, Attention: [</w:t>
      </w:r>
      <w:r>
        <w:rPr>
          <w:sz w:val="20"/>
          <w:szCs w:val="20"/>
          <w:color w:val="auto"/>
        </w:rPr>
        <w:tab/>
      </w:r>
      <w:r>
        <w:rPr>
          <w:rFonts w:ascii="Times New Roman" w:cs="Times New Roman" w:eastAsia="Times New Roman" w:hAnsi="Times New Roman"/>
          <w:sz w:val="17"/>
          <w:szCs w:val="17"/>
          <w:color w:val="auto"/>
        </w:rPr>
        <w:t>]; or</w:t>
      </w:r>
    </w:p>
    <w:p>
      <w:pPr>
        <w:spacing w:after="0" w:line="99" w:lineRule="exact"/>
        <w:rPr>
          <w:sz w:val="20"/>
          <w:szCs w:val="20"/>
          <w:color w:val="auto"/>
        </w:rPr>
      </w:pPr>
    </w:p>
    <w:p>
      <w:pPr>
        <w:ind w:right="40" w:firstLine="8"/>
        <w:spacing w:after="0" w:line="261"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w:t>
      </w:r>
    </w:p>
    <w:p>
      <w:pPr>
        <w:spacing w:after="0"/>
        <w:tabs>
          <w:tab w:leader="none" w:pos="7400" w:val="left"/>
        </w:tabs>
        <w:rPr>
          <w:sz w:val="20"/>
          <w:szCs w:val="20"/>
          <w:color w:val="auto"/>
        </w:rPr>
      </w:pPr>
      <w:r>
        <w:rPr>
          <w:rFonts w:ascii="Times New Roman" w:cs="Times New Roman" w:eastAsia="Times New Roman" w:hAnsi="Times New Roman"/>
          <w:sz w:val="18"/>
          <w:szCs w:val="18"/>
          <w:color w:val="auto"/>
        </w:rPr>
        <w:t>at any other address previously furnished in writing to the Trustee by the Company, Attention: [</w:t>
      </w:r>
      <w:r>
        <w:rPr>
          <w:sz w:val="20"/>
          <w:szCs w:val="20"/>
          <w:color w:val="auto"/>
        </w:rPr>
        <w:tab/>
      </w:r>
      <w:r>
        <w:rPr>
          <w:rFonts w:ascii="Times New Roman" w:cs="Times New Roman" w:eastAsia="Times New Roman" w:hAnsi="Times New Roman"/>
          <w:sz w:val="18"/>
          <w:szCs w:val="18"/>
          <w:color w:val="auto"/>
        </w:rPr>
        <w:t>]; 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either the Trustee or the Company, by the other party or by any Holder, shall be sufficient for every purpose hereunder if given by facsimile transmission,</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receipt confirmed by telephone followed by an original copy delivered by guaranteed overnight courier; if to the Trustee at facsimile number [ ]; and if to the Company at facsimile number [ ].</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Counterparts; Effect of Headings and Table of Contents</w:t>
      </w:r>
      <w:r>
        <w:rPr>
          <w:rFonts w:ascii="Times New Roman" w:cs="Times New Roman" w:eastAsia="Times New Roman" w:hAnsi="Times New Roman"/>
          <w:sz w:val="18"/>
          <w:szCs w:val="18"/>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Limited Liability; Immunity of Stockholders, Directors, Officers and Agents of the Company</w:t>
      </w:r>
      <w:r>
        <w:rPr>
          <w:rFonts w:ascii="Times New Roman" w:cs="Times New Roman" w:eastAsia="Times New Roman" w:hAnsi="Times New Roman"/>
          <w:sz w:val="18"/>
          <w:szCs w:val="18"/>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0" w:right="259" w:bottom="1440" w:gutter="0" w:footer="0" w:header="0"/>
        </w:sectPr>
      </w:pPr>
    </w:p>
    <w:bookmarkStart w:id="58" w:name="page59"/>
    <w:bookmarkEnd w:id="5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TWO – SECURITIES FORMS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of Securities</w:t>
      </w:r>
      <w:r>
        <w:rPr>
          <w:rFonts w:ascii="Times New Roman" w:cs="Times New Roman" w:eastAsia="Times New Roman" w:hAnsi="Times New Roman"/>
          <w:sz w:val="18"/>
          <w:szCs w:val="18"/>
          <w:color w:val="auto"/>
        </w:rPr>
        <w:t xml:space="preserve">. The Registered Securities, if any, of each series and the Bearer Securities, if any, of each series and related coupons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Subject to Section 611, the Trustee’s certificate of authentication shall be in substantially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ectPr>
          <w:pgSz w:w="11900" w:h="16838" w:orient="portrait"/>
          <w:cols w:equalWidth="0" w:num="1">
            <w:col w:w="11400"/>
          </w:cols>
          <w:pgMar w:left="240" w:top="270" w:right="259" w:bottom="1440" w:gutter="0" w:footer="0" w:header="0"/>
        </w:sectPr>
      </w:pPr>
    </w:p>
    <w:p>
      <w:pPr>
        <w:spacing w:after="0" w:line="25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45" w:lineRule="exact"/>
        <w:rPr>
          <w:sz w:val="20"/>
          <w:szCs w:val="20"/>
          <w:color w:val="auto"/>
        </w:rPr>
      </w:pPr>
    </w:p>
    <w:p>
      <w:pPr>
        <w:sectPr>
          <w:pgSz w:w="11900" w:h="16838" w:orient="portrait"/>
          <w:cols w:equalWidth="0" w:num="2">
            <w:col w:w="6640" w:space="280"/>
            <w:col w:w="4480"/>
          </w:cols>
          <w:pgMar w:left="240" w:top="270" w:right="259" w:bottom="1440" w:gutter="0" w:footer="0" w:header="0"/>
          <w:type w:val="continuous"/>
        </w:sectPr>
      </w:pPr>
    </w:p>
    <w:p>
      <w:pPr>
        <w:spacing w:after="0" w:line="7"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Securities Issuable in Global Form</w:t>
      </w:r>
      <w:r>
        <w:rPr>
          <w:rFonts w:ascii="Times New Roman" w:cs="Times New Roman" w:eastAsia="Times New Roman" w:hAnsi="Times New Roman"/>
          <w:sz w:val="18"/>
          <w:szCs w:val="18"/>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0" w:right="259" w:bottom="1440" w:gutter="0" w:footer="0" w:header="0"/>
          <w:type w:val="continuous"/>
        </w:sectPr>
      </w:pPr>
    </w:p>
    <w:bookmarkStart w:id="59" w:name="page60"/>
    <w:bookmarkEnd w:id="5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Global Security authenticated and delivered hereunder shall bear a legend in substantially the following form:</w:t>
      </w:r>
    </w:p>
    <w:p>
      <w:pPr>
        <w:spacing w:after="0" w:line="1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THREE – THE SECURITIES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68" w:lineRule="exact"/>
        <w:rPr>
          <w:sz w:val="20"/>
          <w:szCs w:val="20"/>
          <w:color w:val="auto"/>
        </w:rPr>
      </w:pPr>
    </w:p>
    <w:p>
      <w:pPr>
        <w:ind w:right="780" w:firstLine="8"/>
        <w:spacing w:after="0" w:line="282"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including “CUSIP” numbers (which shall distinguish the Securities of such series from all other series of Securities);</w:t>
      </w:r>
    </w:p>
    <w:p>
      <w:pPr>
        <w:spacing w:after="0" w:line="53" w:lineRule="exact"/>
        <w:rPr>
          <w:rFonts w:ascii="Times New Roman" w:cs="Times New Roman" w:eastAsia="Times New Roman" w:hAnsi="Times New Roman"/>
          <w:sz w:val="18"/>
          <w:szCs w:val="18"/>
          <w:color w:val="auto"/>
        </w:rPr>
      </w:pPr>
    </w:p>
    <w:p>
      <w:pPr>
        <w:ind w:right="280" w:firstLine="8"/>
        <w:spacing w:after="0" w:line="266"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68" w:lineRule="exact"/>
        <w:rPr>
          <w:rFonts w:ascii="Times New Roman" w:cs="Times New Roman" w:eastAsia="Times New Roman" w:hAnsi="Times New Roman"/>
          <w:sz w:val="18"/>
          <w:szCs w:val="18"/>
          <w:color w:val="auto"/>
        </w:rPr>
      </w:pPr>
    </w:p>
    <w:p>
      <w:pPr>
        <w:jc w:val="both"/>
        <w:ind w:right="540" w:firstLine="8"/>
        <w:spacing w:after="0" w:line="266"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60" w:name="page61"/>
    <w:bookmarkEnd w:id="60"/>
    <w:p>
      <w:pPr>
        <w:ind w:left="-8" w:right="680" w:firstLine="8"/>
        <w:spacing w:after="0" w:line="282" w:lineRule="auto"/>
        <w:tabs>
          <w:tab w:leader="none" w:pos="2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53"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on which the principal of such Securities will be payable;</w:t>
      </w:r>
    </w:p>
    <w:p>
      <w:pPr>
        <w:spacing w:after="0" w:line="117" w:lineRule="exact"/>
        <w:rPr>
          <w:rFonts w:ascii="Times New Roman" w:cs="Times New Roman" w:eastAsia="Times New Roman" w:hAnsi="Times New Roman"/>
          <w:sz w:val="18"/>
          <w:szCs w:val="18"/>
          <w:color w:val="auto"/>
        </w:rPr>
      </w:pPr>
    </w:p>
    <w:p>
      <w:pPr>
        <w:ind w:left="-8" w:right="520" w:firstLine="8"/>
        <w:spacing w:after="0" w:line="282" w:lineRule="auto"/>
        <w:tabs>
          <w:tab w:leader="none" w:pos="2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or the method by which such rate or rates shall be determined, at which such Securities will bear interest, if any;</w:t>
      </w:r>
    </w:p>
    <w:p>
      <w:pPr>
        <w:spacing w:after="0" w:line="53" w:lineRule="exact"/>
        <w:rPr>
          <w:rFonts w:ascii="Times New Roman" w:cs="Times New Roman" w:eastAsia="Times New Roman" w:hAnsi="Times New Roman"/>
          <w:sz w:val="18"/>
          <w:szCs w:val="18"/>
          <w:color w:val="auto"/>
        </w:rPr>
      </w:pPr>
    </w:p>
    <w:p>
      <w:pPr>
        <w:ind w:left="-8" w:right="100" w:firstLine="8"/>
        <w:spacing w:after="0" w:line="266" w:lineRule="auto"/>
        <w:tabs>
          <w:tab w:leader="none" w:pos="2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68" w:lineRule="exact"/>
        <w:rPr>
          <w:rFonts w:ascii="Times New Roman" w:cs="Times New Roman" w:eastAsia="Times New Roman" w:hAnsi="Times New Roman"/>
          <w:sz w:val="18"/>
          <w:szCs w:val="18"/>
          <w:color w:val="auto"/>
        </w:rPr>
      </w:pPr>
    </w:p>
    <w:p>
      <w:pPr>
        <w:ind w:left="-8" w:firstLine="8"/>
        <w:spacing w:after="0" w:line="282" w:lineRule="auto"/>
        <w:tabs>
          <w:tab w:leader="none" w:pos="2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if any, or method for determining the Make-Whole Amount, if any, payable with respect to such Securities, and the terms upon which such amount, if any, will be payable;</w:t>
      </w:r>
    </w:p>
    <w:p>
      <w:pPr>
        <w:spacing w:after="0" w:line="53" w:lineRule="exact"/>
        <w:rPr>
          <w:rFonts w:ascii="Times New Roman" w:cs="Times New Roman" w:eastAsia="Times New Roman" w:hAnsi="Times New Roman"/>
          <w:sz w:val="18"/>
          <w:szCs w:val="18"/>
          <w:color w:val="auto"/>
        </w:rPr>
      </w:pPr>
    </w:p>
    <w:p>
      <w:pPr>
        <w:ind w:left="-8" w:right="40" w:firstLine="8"/>
        <w:spacing w:after="0" w:line="266" w:lineRule="auto"/>
        <w:tabs>
          <w:tab w:leader="none" w:pos="2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68" w:lineRule="exact"/>
        <w:rPr>
          <w:rFonts w:ascii="Times New Roman" w:cs="Times New Roman" w:eastAsia="Times New Roman" w:hAnsi="Times New Roman"/>
          <w:sz w:val="18"/>
          <w:szCs w:val="18"/>
          <w:color w:val="auto"/>
        </w:rPr>
      </w:pPr>
    </w:p>
    <w:p>
      <w:pPr>
        <w:ind w:left="-8" w:right="140" w:firstLine="8"/>
        <w:spacing w:after="0" w:line="282" w:lineRule="auto"/>
        <w:tabs>
          <w:tab w:leader="none" w:pos="3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53"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33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68" w:lineRule="exact"/>
        <w:rPr>
          <w:rFonts w:ascii="Times New Roman" w:cs="Times New Roman" w:eastAsia="Times New Roman" w:hAnsi="Times New Roman"/>
          <w:sz w:val="18"/>
          <w:szCs w:val="18"/>
          <w:color w:val="auto"/>
        </w:rPr>
      </w:pPr>
    </w:p>
    <w:p>
      <w:pPr>
        <w:ind w:left="-8" w:firstLine="8"/>
        <w:spacing w:after="0" w:line="266" w:lineRule="auto"/>
        <w:tabs>
          <w:tab w:leader="none" w:pos="3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68" w:lineRule="exact"/>
        <w:rPr>
          <w:rFonts w:ascii="Times New Roman" w:cs="Times New Roman" w:eastAsia="Times New Roman" w:hAnsi="Times New Roman"/>
          <w:sz w:val="18"/>
          <w:szCs w:val="18"/>
          <w:color w:val="auto"/>
        </w:rPr>
      </w:pPr>
    </w:p>
    <w:p>
      <w:pPr>
        <w:ind w:left="-8" w:right="200" w:firstLine="8"/>
        <w:spacing w:after="0" w:line="261" w:lineRule="auto"/>
        <w:tabs>
          <w:tab w:leader="none" w:pos="3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71" w:lineRule="exact"/>
        <w:rPr>
          <w:rFonts w:ascii="Times New Roman" w:cs="Times New Roman" w:eastAsia="Times New Roman" w:hAnsi="Times New Roman"/>
          <w:sz w:val="18"/>
          <w:szCs w:val="18"/>
          <w:color w:val="auto"/>
        </w:rPr>
      </w:pPr>
    </w:p>
    <w:p>
      <w:pPr>
        <w:ind w:left="-8" w:right="80" w:firstLine="8"/>
        <w:spacing w:after="0" w:line="256" w:lineRule="auto"/>
        <w:tabs>
          <w:tab w:leader="none" w:pos="3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7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117" w:lineRule="exact"/>
        <w:rPr>
          <w:rFonts w:ascii="Times New Roman" w:cs="Times New Roman" w:eastAsia="Times New Roman" w:hAnsi="Times New Roman"/>
          <w:sz w:val="18"/>
          <w:szCs w:val="18"/>
          <w:color w:val="auto"/>
        </w:rPr>
      </w:pPr>
    </w:p>
    <w:p>
      <w:pPr>
        <w:ind w:left="-8" w:right="100" w:firstLine="8"/>
        <w:spacing w:after="0" w:line="282" w:lineRule="auto"/>
        <w:tabs>
          <w:tab w:leader="none" w:pos="3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92"/>
          </w:cols>
          <w:pgMar w:left="248" w:top="270" w:right="259" w:bottom="1440" w:gutter="0" w:footer="0" w:header="0"/>
        </w:sectPr>
      </w:pPr>
    </w:p>
    <w:bookmarkStart w:id="61" w:name="page62"/>
    <w:bookmarkEnd w:id="61"/>
    <w:p>
      <w:pPr>
        <w:ind w:right="880" w:firstLine="8"/>
        <w:spacing w:after="0" w:line="282" w:lineRule="auto"/>
        <w:tabs>
          <w:tab w:leader="none" w:pos="3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53" w:lineRule="exact"/>
        <w:rPr>
          <w:rFonts w:ascii="Times New Roman" w:cs="Times New Roman" w:eastAsia="Times New Roman" w:hAnsi="Times New Roman"/>
          <w:sz w:val="18"/>
          <w:szCs w:val="18"/>
          <w:color w:val="auto"/>
        </w:rPr>
      </w:pPr>
    </w:p>
    <w:p>
      <w:pPr>
        <w:ind w:right="120" w:firstLine="8"/>
        <w:spacing w:after="0" w:line="255" w:lineRule="auto"/>
        <w:tabs>
          <w:tab w:leader="none" w:pos="3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77" w:lineRule="exact"/>
        <w:rPr>
          <w:rFonts w:ascii="Times New Roman" w:cs="Times New Roman" w:eastAsia="Times New Roman" w:hAnsi="Times New Roman"/>
          <w:sz w:val="18"/>
          <w:szCs w:val="18"/>
          <w:color w:val="auto"/>
        </w:rPr>
      </w:pPr>
    </w:p>
    <w:p>
      <w:pPr>
        <w:ind w:right="360" w:firstLine="8"/>
        <w:spacing w:after="0" w:line="282" w:lineRule="auto"/>
        <w:tabs>
          <w:tab w:leader="none" w:pos="3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53" w:lineRule="exact"/>
        <w:rPr>
          <w:rFonts w:ascii="Times New Roman" w:cs="Times New Roman" w:eastAsia="Times New Roman" w:hAnsi="Times New Roman"/>
          <w:sz w:val="18"/>
          <w:szCs w:val="18"/>
          <w:color w:val="auto"/>
        </w:rPr>
      </w:pPr>
    </w:p>
    <w:p>
      <w:pPr>
        <w:ind w:right="20" w:firstLine="8"/>
        <w:spacing w:after="0" w:line="256" w:lineRule="auto"/>
        <w:tabs>
          <w:tab w:leader="none" w:pos="3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that the manner of determining such Person or making such payment shall be acceptable to the Trustee (as not imposing on it any undue administrative burden or risk of liability);</w:t>
      </w:r>
    </w:p>
    <w:p>
      <w:pPr>
        <w:spacing w:after="0" w:line="7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of Article Fourteen hereof to the Securities of the series;</w:t>
      </w:r>
    </w:p>
    <w:p>
      <w:pPr>
        <w:spacing w:after="0" w:line="117" w:lineRule="exact"/>
        <w:rPr>
          <w:rFonts w:ascii="Times New Roman" w:cs="Times New Roman" w:eastAsia="Times New Roman" w:hAnsi="Times New Roman"/>
          <w:sz w:val="18"/>
          <w:szCs w:val="18"/>
          <w:color w:val="auto"/>
        </w:rPr>
      </w:pPr>
    </w:p>
    <w:p>
      <w:pPr>
        <w:ind w:right="120" w:firstLine="8"/>
        <w:spacing w:after="0" w:line="261" w:lineRule="auto"/>
        <w:tabs>
          <w:tab w:leader="none" w:pos="3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71" w:lineRule="exact"/>
        <w:rPr>
          <w:rFonts w:ascii="Times New Roman" w:cs="Times New Roman" w:eastAsia="Times New Roman" w:hAnsi="Times New Roman"/>
          <w:sz w:val="18"/>
          <w:szCs w:val="18"/>
          <w:color w:val="auto"/>
        </w:rPr>
      </w:pPr>
    </w:p>
    <w:p>
      <w:pPr>
        <w:ind w:firstLine="8"/>
        <w:spacing w:after="0" w:line="266" w:lineRule="auto"/>
        <w:tabs>
          <w:tab w:leader="none" w:pos="3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68" w:lineRule="exact"/>
        <w:rPr>
          <w:rFonts w:ascii="Times New Roman" w:cs="Times New Roman" w:eastAsia="Times New Roman" w:hAnsi="Times New Roman"/>
          <w:sz w:val="18"/>
          <w:szCs w:val="18"/>
          <w:color w:val="auto"/>
        </w:rPr>
      </w:pPr>
    </w:p>
    <w:p>
      <w:pPr>
        <w:ind w:right="100" w:firstLine="8"/>
        <w:spacing w:after="0" w:line="282" w:lineRule="auto"/>
        <w:tabs>
          <w:tab w:leader="none" w:pos="3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70" w:right="279" w:bottom="1440" w:gutter="0" w:footer="0" w:header="0"/>
        </w:sectPr>
      </w:pPr>
    </w:p>
    <w:bookmarkStart w:id="62" w:name="page63"/>
    <w:bookmarkEnd w:id="62"/>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connection with its original issuance, no Bearer Security shall be mailed or otherwise delivered to any location in the United States;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89"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w:t>
      </w:r>
    </w:p>
    <w:p>
      <w:pPr>
        <w:spacing w:after="0" w:line="117" w:lineRule="exact"/>
        <w:rPr>
          <w:sz w:val="20"/>
          <w:szCs w:val="20"/>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such Securities and any coupons have been established in conformity with the provisions of this Indenture;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Securities and any coupons have been established in conformity with the provisions of this Indenture; and</w:t>
      </w:r>
    </w:p>
    <w:p>
      <w:pPr>
        <w:spacing w:after="0" w:line="117" w:lineRule="exact"/>
        <w:rPr>
          <w:rFonts w:ascii="Times New Roman" w:cs="Times New Roman" w:eastAsia="Times New Roman" w:hAnsi="Times New Roman"/>
          <w:sz w:val="18"/>
          <w:szCs w:val="18"/>
          <w:color w:val="auto"/>
        </w:rPr>
      </w:pPr>
    </w:p>
    <w:p>
      <w:pPr>
        <w:ind w:right="40" w:firstLine="8"/>
        <w:spacing w:after="0" w:line="266" w:lineRule="auto"/>
        <w:tabs>
          <w:tab w:leader="none" w:pos="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0" w:right="259" w:bottom="1440" w:gutter="0" w:footer="0" w:header="0"/>
        </w:sectPr>
      </w:pPr>
    </w:p>
    <w:bookmarkStart w:id="63" w:name="page64"/>
    <w:bookmarkEnd w:id="63"/>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68" w:lineRule="exact"/>
        <w:rPr>
          <w:sz w:val="20"/>
          <w:szCs w:val="20"/>
          <w:color w:val="auto"/>
        </w:rPr>
      </w:pPr>
    </w:p>
    <w:p>
      <w:pPr>
        <w:ind w:right="80" w:firstLine="8"/>
        <w:spacing w:after="0" w:line="266" w:lineRule="auto"/>
        <w:tabs>
          <w:tab w:leader="none" w:pos="2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Each Registered Security shall be dated the date of its authentication and each Bearer Security shall be dated as of the date specified as contemplated by Section 301.</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8"/>
        <w:spacing w:after="0" w:line="256"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64" w:name="page65"/>
    <w:bookmarkEnd w:id="64"/>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same series of authorized denominations;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definitive Bearer Security shall be delivered in exchange for a temporary Registered Security;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72" w:lineRule="exact"/>
        <w:rPr>
          <w:sz w:val="20"/>
          <w:szCs w:val="20"/>
          <w:color w:val="auto"/>
        </w:rPr>
      </w:pPr>
    </w:p>
    <w:p>
      <w:pPr>
        <w:ind w:right="60" w:firstLine="8"/>
        <w:spacing w:after="0" w:line="258"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 as may be established pursuant to Section 301;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definitive Bearer Securities shall be delivered in exchange for a portion of a temporary Global Security only in compliance with the requirements of Section 303.</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0" w:right="259" w:bottom="1440" w:gutter="0" w:footer="0" w:header="0"/>
        </w:sectPr>
      </w:pPr>
    </w:p>
    <w:bookmarkStart w:id="65" w:name="page66"/>
    <w:bookmarkEnd w:id="65"/>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upon delivery by Euroclear and Clearstream to the Trustee of a certificate or certificates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Conversion and Exchange</w:t>
      </w:r>
      <w:r>
        <w:rPr>
          <w:rFonts w:ascii="Times New Roman" w:cs="Times New Roman" w:eastAsia="Times New Roman" w:hAnsi="Times New Roman"/>
          <w:sz w:val="18"/>
          <w:szCs w:val="18"/>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8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66" w:name="page67"/>
    <w:bookmarkEnd w:id="6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w:t>
      </w:r>
    </w:p>
    <w:p>
      <w:pPr>
        <w:spacing w:after="0" w:line="1" w:lineRule="exact"/>
        <w:rPr>
          <w:sz w:val="20"/>
          <w:szCs w:val="20"/>
          <w:color w:val="auto"/>
        </w:rPr>
      </w:pPr>
    </w:p>
    <w:p>
      <w:pPr>
        <w:ind w:right="120" w:firstLine="8"/>
        <w:spacing w:after="0" w:line="250"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w:t>
      </w:r>
    </w:p>
    <w:p>
      <w:pPr>
        <w:spacing w:after="0" w:line="1" w:lineRule="exact"/>
        <w:rPr>
          <w:rFonts w:ascii="Times New Roman" w:cs="Times New Roman" w:eastAsia="Times New Roman" w:hAnsi="Times New Roman"/>
          <w:sz w:val="18"/>
          <w:szCs w:val="18"/>
          <w:color w:val="auto"/>
        </w:rPr>
      </w:pPr>
    </w:p>
    <w:p>
      <w:pPr>
        <w:ind w:right="60" w:firstLine="8"/>
        <w:spacing w:after="0" w:line="251"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Bearer Security delivered in exchange for a portion of a permanent Global Security shall be mailed or otherwise delivered to any location in the United States. If 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67" w:name="page68"/>
    <w:bookmarkEnd w:id="6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8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there shall be delivered to the Company and to the Trustee (i) evidence to their satisfaction of the destruction, loss or theft of any Security or coupon, and</w:t>
      </w:r>
    </w:p>
    <w:p>
      <w:pPr>
        <w:spacing w:after="0" w:line="27" w:lineRule="exact"/>
        <w:rPr>
          <w:sz w:val="20"/>
          <w:szCs w:val="20"/>
          <w:color w:val="auto"/>
        </w:rPr>
      </w:pPr>
    </w:p>
    <w:p>
      <w:pPr>
        <w:jc w:val="both"/>
        <w:ind w:right="40" w:firstLine="8"/>
        <w:spacing w:after="0" w:line="252"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0" w:right="259" w:bottom="1440" w:gutter="0" w:footer="0" w:header="0"/>
        </w:sectPr>
      </w:pPr>
    </w:p>
    <w:bookmarkStart w:id="68" w:name="page69"/>
    <w:bookmarkEnd w:id="6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0" w:right="259" w:bottom="1440" w:gutter="0" w:footer="0" w:header="0"/>
        </w:sectPr>
      </w:pPr>
    </w:p>
    <w:bookmarkStart w:id="69" w:name="page70"/>
    <w:bookmarkEnd w:id="6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72" w:lineRule="exact"/>
        <w:rPr>
          <w:sz w:val="20"/>
          <w:szCs w:val="20"/>
          <w:color w:val="auto"/>
        </w:rPr>
      </w:pPr>
    </w:p>
    <w:p>
      <w:pPr>
        <w:ind w:firstLine="8"/>
        <w:spacing w:after="0" w:line="251"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99"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70" w:name="page71"/>
    <w:bookmarkEnd w:id="70"/>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9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0" w:right="2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FOUR – SATISFACTION AND DISCHARGE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86" w:lineRule="exact"/>
        <w:rPr>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sz w:val="20"/>
          <w:szCs w:val="20"/>
          <w:color w:val="auto"/>
        </w:rPr>
      </w:pPr>
    </w:p>
    <w:p>
      <w:pPr>
        <w:ind w:firstLine="8"/>
        <w:spacing w:after="0" w:line="255" w:lineRule="auto"/>
        <w:tabs>
          <w:tab w:leader="none" w:pos="2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8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and, in the case of (i) or (ii) below, any coupons appertaining thereto not theretofore delivered to the Trustee for cancellation</w:t>
      </w:r>
    </w:p>
    <w:p>
      <w:pPr>
        <w:spacing w:after="0" w:line="131" w:lineRule="exact"/>
        <w:rPr>
          <w:sz w:val="20"/>
          <w:szCs w:val="20"/>
          <w:color w:val="auto"/>
        </w:rPr>
      </w:pPr>
    </w:p>
    <w:p>
      <w:pPr>
        <w:ind w:left="460" w:hanging="452"/>
        <w:spacing w:after="0"/>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right="80" w:firstLine="8"/>
        <w:spacing w:after="0" w:line="282" w:lineRule="auto"/>
        <w:tabs>
          <w:tab w:leader="none" w:pos="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89"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Application of Trust Funds</w:t>
      </w:r>
      <w:r>
        <w:rPr>
          <w:rFonts w:ascii="Times New Roman" w:cs="Times New Roman" w:eastAsia="Times New Roman" w:hAnsi="Times New Roman"/>
          <w:sz w:val="18"/>
          <w:szCs w:val="18"/>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70" w:right="2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FIVE – REMEDIES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68" w:lineRule="exact"/>
        <w:rPr>
          <w:sz w:val="20"/>
          <w:szCs w:val="20"/>
          <w:color w:val="auto"/>
        </w:rPr>
      </w:pPr>
    </w:p>
    <w:p>
      <w:pPr>
        <w:ind w:right="80" w:firstLine="8"/>
        <w:spacing w:after="0" w:line="28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53" w:lineRule="exact"/>
        <w:rPr>
          <w:rFonts w:ascii="Times New Roman" w:cs="Times New Roman" w:eastAsia="Times New Roman" w:hAnsi="Times New Roman"/>
          <w:sz w:val="18"/>
          <w:szCs w:val="18"/>
          <w:color w:val="auto"/>
        </w:rPr>
      </w:pPr>
    </w:p>
    <w:p>
      <w:pPr>
        <w:ind w:right="40" w:firstLine="8"/>
        <w:spacing w:after="0" w:line="28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or Make-Whole Amount, if any, on) any Security of that series when it becomes due and payable at its Maturity; or</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to the extent applicable to such series of Securities, when and as due by the terms of any Security of that series; or</w:t>
      </w:r>
    </w:p>
    <w:p>
      <w:pPr>
        <w:spacing w:after="0" w:line="53" w:lineRule="exact"/>
        <w:rPr>
          <w:rFonts w:ascii="Times New Roman" w:cs="Times New Roman" w:eastAsia="Times New Roman" w:hAnsi="Times New Roman"/>
          <w:sz w:val="18"/>
          <w:szCs w:val="18"/>
          <w:color w:val="auto"/>
        </w:rPr>
      </w:pPr>
    </w:p>
    <w:p>
      <w:pPr>
        <w:ind w:right="100" w:firstLine="8"/>
        <w:spacing w:after="0" w:line="256"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79"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9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pursuant to or within the meaning of any Bankruptcy Law:</w:t>
      </w:r>
    </w:p>
    <w:p>
      <w:pPr>
        <w:spacing w:after="0" w:line="117"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31" w:lineRule="exact"/>
        <w:rPr>
          <w:sz w:val="20"/>
          <w:szCs w:val="20"/>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for relief against the Company or any Significant Subsidiary in an involuntary case,</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appoints a Custodian of the Company or any Significant Subsidiary or for all or substantially all of either of its property, or</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orders the liquidation of the Company or any Significant Subsidiary, and the order or decree remains unstayed and in effect for 90 days; or</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0" w:right="239" w:bottom="1440" w:gutter="0" w:footer="0" w:header="0"/>
        </w:sectPr>
      </w:pPr>
    </w:p>
    <w:bookmarkStart w:id="73" w:name="page74"/>
    <w:bookmarkEnd w:id="73"/>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68" w:lineRule="exact"/>
        <w:rPr>
          <w:sz w:val="20"/>
          <w:szCs w:val="20"/>
          <w:color w:val="auto"/>
        </w:rPr>
      </w:pPr>
    </w:p>
    <w:p>
      <w:pPr>
        <w:ind w:right="40" w:firstLine="8"/>
        <w:spacing w:after="0" w:line="282" w:lineRule="auto"/>
        <w:tabs>
          <w:tab w:leader="none" w:pos="2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54" w:lineRule="exact"/>
        <w:rPr>
          <w:sz w:val="20"/>
          <w:szCs w:val="20"/>
          <w:color w:val="auto"/>
        </w:rPr>
      </w:pPr>
    </w:p>
    <w:p>
      <w:pPr>
        <w:ind w:left="300" w:hanging="292"/>
        <w:spacing w:after="0"/>
        <w:tabs>
          <w:tab w:leader="none" w:pos="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on all Outstanding Securities of that series and any related coupons,</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2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53" w:lineRule="exact"/>
        <w:rPr>
          <w:rFonts w:ascii="Times New Roman" w:cs="Times New Roman" w:eastAsia="Times New Roman" w:hAnsi="Times New Roman"/>
          <w:sz w:val="18"/>
          <w:szCs w:val="18"/>
          <w:color w:val="auto"/>
        </w:rPr>
      </w:pPr>
    </w:p>
    <w:p>
      <w:pPr>
        <w:ind w:right="400" w:firstLine="8"/>
        <w:spacing w:after="0" w:line="282" w:lineRule="auto"/>
        <w:tabs>
          <w:tab w:leader="none" w:pos="2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at the rate or rates borne by or provided for in such Securities,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54" w:lineRule="exact"/>
        <w:rPr>
          <w:sz w:val="20"/>
          <w:szCs w:val="20"/>
          <w:color w:val="auto"/>
        </w:rPr>
      </w:pPr>
    </w:p>
    <w:p>
      <w:pPr>
        <w:ind w:right="140" w:firstLine="8"/>
        <w:spacing w:after="0" w:line="266"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 The Company covenants that if:</w:t>
      </w:r>
    </w:p>
    <w:p>
      <w:pPr>
        <w:spacing w:after="0" w:line="117" w:lineRule="exact"/>
        <w:rPr>
          <w:sz w:val="20"/>
          <w:szCs w:val="20"/>
          <w:color w:val="auto"/>
        </w:rPr>
      </w:pPr>
    </w:p>
    <w:p>
      <w:pPr>
        <w:ind w:right="320" w:firstLine="8"/>
        <w:spacing w:after="0" w:line="282"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or Make-Whole Amount, if any, on) any Security of any series at its Maturity,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0" w:right="239" w:bottom="1440" w:gutter="0" w:footer="0" w:header="0"/>
        </w:sectPr>
      </w:pPr>
    </w:p>
    <w:bookmarkStart w:id="74" w:name="page75"/>
    <w:bookmarkEnd w:id="7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80" w:lineRule="exact"/>
        <w:rPr>
          <w:sz w:val="20"/>
          <w:szCs w:val="20"/>
          <w:color w:val="auto"/>
        </w:rPr>
      </w:pPr>
    </w:p>
    <w:p>
      <w:pPr>
        <w:ind w:right="20" w:firstLine="8"/>
        <w:spacing w:after="0" w:line="261" w:lineRule="auto"/>
        <w:tabs>
          <w:tab w:leader="none" w:pos="2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8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 or Coupons</w:t>
      </w:r>
      <w:r>
        <w:rPr>
          <w:rFonts w:ascii="Times New Roman" w:cs="Times New Roman" w:eastAsia="Times New Roman" w:hAnsi="Times New Roman"/>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270"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To the payment of all amounts due the Trustee and any predecessor Trustee under Section 606;</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w:t>
      </w:r>
    </w:p>
    <w:p>
      <w:pPr>
        <w:spacing w:after="0" w:line="117" w:lineRule="exact"/>
        <w:rPr>
          <w:rFonts w:ascii="Times New Roman" w:cs="Times New Roman" w:eastAsia="Times New Roman" w:hAnsi="Times New Roman"/>
          <w:sz w:val="18"/>
          <w:szCs w:val="18"/>
          <w:color w:val="auto"/>
        </w:rPr>
      </w:pPr>
    </w:p>
    <w:p>
      <w:pPr>
        <w:ind w:right="60" w:firstLine="8"/>
        <w:spacing w:after="0" w:line="282" w:lineRule="auto"/>
        <w:tabs>
          <w:tab w:leader="none" w:pos="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right="600" w:firstLine="8"/>
        <w:spacing w:after="0" w:line="282" w:lineRule="auto"/>
        <w:tabs>
          <w:tab w:leader="none" w:pos="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reasonably satisfactory to the Trustee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117" w:lineRule="exact"/>
        <w:rPr>
          <w:rFonts w:ascii="Times New Roman" w:cs="Times New Roman" w:eastAsia="Times New Roman" w:hAnsi="Times New Roman"/>
          <w:sz w:val="18"/>
          <w:szCs w:val="18"/>
          <w:color w:val="auto"/>
        </w:rPr>
      </w:pPr>
    </w:p>
    <w:p>
      <w:pPr>
        <w:ind w:right="480" w:firstLine="8"/>
        <w:spacing w:after="0" w:line="282" w:lineRule="auto"/>
        <w:tabs>
          <w:tab w:leader="none" w:pos="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Unconditional Right of Holders to Receive Principal, Premium or Make-Whole Amount, if any, and Interest</w:t>
      </w:r>
      <w:r>
        <w:rPr>
          <w:rFonts w:ascii="Times New Roman" w:cs="Times New Roman" w:eastAsia="Times New Roman" w:hAnsi="Times New Roman"/>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Rights and Remedies Cumulative</w:t>
      </w:r>
      <w:r>
        <w:rPr>
          <w:rFonts w:ascii="Times New Roman" w:cs="Times New Roman" w:eastAsia="Times New Roman" w:hAnsi="Times New Roman"/>
          <w:sz w:val="17"/>
          <w:szCs w:val="17"/>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0" w:right="259" w:bottom="1440" w:gutter="0" w:footer="0" w:header="0"/>
        </w:sectPr>
      </w:pPr>
    </w:p>
    <w:bookmarkStart w:id="76" w:name="page77"/>
    <w:bookmarkEnd w:id="76"/>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 of Securities</w:t>
      </w:r>
      <w:r>
        <w:rPr>
          <w:rFonts w:ascii="Times New Roman" w:cs="Times New Roman" w:eastAsia="Times New Roman" w:hAnsi="Times New Roman"/>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2" w:lineRule="exact"/>
        <w:rPr>
          <w:sz w:val="20"/>
          <w:szCs w:val="20"/>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117" w:lineRule="exact"/>
        <w:rPr>
          <w:rFonts w:ascii="Times New Roman" w:cs="Times New Roman" w:eastAsia="Times New Roman" w:hAnsi="Times New Roman"/>
          <w:sz w:val="18"/>
          <w:szCs w:val="18"/>
          <w:color w:val="auto"/>
        </w:rPr>
      </w:pPr>
    </w:p>
    <w:p>
      <w:pPr>
        <w:ind w:right="360" w:firstLine="8"/>
        <w:spacing w:after="0" w:line="282"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which might involve it in personal liability or be unduly prejudicial to the Holders of Securities of such series not joining therein.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Nothing in this Indenture shall impair the right of the Trustee in its discretion to take any action deemed proper by the Trustee and which is not inconsistent with such direction by Holders.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68" w:lineRule="exact"/>
        <w:rPr>
          <w:sz w:val="20"/>
          <w:szCs w:val="20"/>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Make-Whole Amount, if any) or interest on any Security of such series or any related coupons, or</w:t>
      </w:r>
    </w:p>
    <w:p>
      <w:pPr>
        <w:spacing w:after="0" w:line="117" w:lineRule="exact"/>
        <w:rPr>
          <w:rFonts w:ascii="Times New Roman" w:cs="Times New Roman" w:eastAsia="Times New Roman" w:hAnsi="Times New Roman"/>
          <w:sz w:val="18"/>
          <w:szCs w:val="18"/>
          <w:color w:val="auto"/>
        </w:rPr>
      </w:pPr>
    </w:p>
    <w:p>
      <w:pPr>
        <w:ind w:right="800" w:firstLine="8"/>
        <w:spacing w:after="0" w:line="282"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 or</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Waiver of Usury, Stay or Extension Laws</w:t>
      </w:r>
      <w:r>
        <w:rPr>
          <w:rFonts w:ascii="Times New Roman" w:cs="Times New Roman" w:eastAsia="Times New Roman" w:hAnsi="Times New Roman"/>
          <w:sz w:val="18"/>
          <w:szCs w:val="18"/>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0" w:right="2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SIX – THE TRUSTEE</w:t>
      </w:r>
    </w:p>
    <w:p>
      <w:pPr>
        <w:spacing w:after="0" w:line="22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Notice of Defaults</w:t>
      </w:r>
      <w:r>
        <w:rPr>
          <w:rFonts w:ascii="Times New Roman" w:cs="Times New Roman" w:eastAsia="Times New Roman" w:hAnsi="Times New Roman"/>
          <w:sz w:val="17"/>
          <w:szCs w:val="17"/>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Subject to the provisions of TIA Section 315(a) through 315(d):</w:t>
      </w:r>
    </w:p>
    <w:p>
      <w:pPr>
        <w:spacing w:after="0" w:line="117" w:lineRule="exact"/>
        <w:rPr>
          <w:sz w:val="20"/>
          <w:szCs w:val="20"/>
          <w:color w:val="auto"/>
        </w:rPr>
      </w:pPr>
    </w:p>
    <w:p>
      <w:pPr>
        <w:ind w:right="60" w:firstLine="8"/>
        <w:spacing w:after="0" w:line="266"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68"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w:t>
      </w:r>
    </w:p>
    <w:p>
      <w:pPr>
        <w:spacing w:after="0" w:line="27" w:lineRule="exact"/>
        <w:rPr>
          <w:rFonts w:ascii="Times New Roman" w:cs="Times New Roman" w:eastAsia="Times New Roman" w:hAnsi="Times New Roman"/>
          <w:sz w:val="18"/>
          <w:szCs w:val="18"/>
          <w:color w:val="auto"/>
        </w:rPr>
      </w:pPr>
    </w:p>
    <w:p>
      <w:pPr>
        <w:ind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omitting any action hereunder, the Trustee (unless other evidence be herein specifically prescribed) may, in the absence of bad faith on its part, rely upon an Officers’ Certificate;</w:t>
      </w:r>
    </w:p>
    <w:p>
      <w:pPr>
        <w:spacing w:after="0" w:line="71" w:lineRule="exact"/>
        <w:rPr>
          <w:rFonts w:ascii="Times New Roman" w:cs="Times New Roman" w:eastAsia="Times New Roman" w:hAnsi="Times New Roman"/>
          <w:sz w:val="18"/>
          <w:szCs w:val="18"/>
          <w:color w:val="auto"/>
        </w:rPr>
      </w:pPr>
    </w:p>
    <w:p>
      <w:pPr>
        <w:ind w:right="360" w:firstLine="8"/>
        <w:spacing w:after="0" w:line="282"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53" w:lineRule="exact"/>
        <w:rPr>
          <w:rFonts w:ascii="Times New Roman" w:cs="Times New Roman" w:eastAsia="Times New Roman" w:hAnsi="Times New Roman"/>
          <w:sz w:val="18"/>
          <w:szCs w:val="18"/>
          <w:color w:val="auto"/>
        </w:rPr>
      </w:pPr>
    </w:p>
    <w:p>
      <w:pPr>
        <w:ind w:right="240" w:firstLine="8"/>
        <w:spacing w:after="0" w:line="261"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71"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0" w:right="239" w:bottom="1440" w:gutter="0" w:footer="0" w:header="0"/>
        </w:sectPr>
      </w:pPr>
    </w:p>
    <w:bookmarkStart w:id="78" w:name="page79"/>
    <w:bookmarkEnd w:id="78"/>
    <w:p>
      <w:pPr>
        <w:ind w:right="80" w:firstLine="8"/>
        <w:spacing w:after="0" w:line="282" w:lineRule="auto"/>
        <w:tabs>
          <w:tab w:leader="none" w:pos="2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3"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right="400" w:firstLine="8"/>
        <w:spacing w:after="0" w:line="282" w:lineRule="auto"/>
        <w:tabs>
          <w:tab w:leader="none" w:pos="2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 or power available to the Trustee under this Indenture or any supplement hereto shall not be construed to be a mandatory duty or obligation;</w:t>
      </w:r>
    </w:p>
    <w:p>
      <w:pPr>
        <w:spacing w:after="0" w:line="53" w:lineRule="exact"/>
        <w:rPr>
          <w:rFonts w:ascii="Times New Roman" w:cs="Times New Roman" w:eastAsia="Times New Roman" w:hAnsi="Times New Roman"/>
          <w:sz w:val="18"/>
          <w:szCs w:val="18"/>
          <w:color w:val="auto"/>
        </w:rPr>
      </w:pPr>
    </w:p>
    <w:p>
      <w:pPr>
        <w:ind w:right="200" w:firstLine="8"/>
        <w:spacing w:after="0" w:line="266" w:lineRule="auto"/>
        <w:tabs>
          <w:tab w:leader="none" w:pos="3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68" w:lineRule="exact"/>
        <w:rPr>
          <w:rFonts w:ascii="Times New Roman" w:cs="Times New Roman" w:eastAsia="Times New Roman" w:hAnsi="Times New Roman"/>
          <w:sz w:val="18"/>
          <w:szCs w:val="18"/>
          <w:color w:val="auto"/>
        </w:rPr>
      </w:pPr>
    </w:p>
    <w:p>
      <w:pPr>
        <w:ind w:right="240" w:firstLine="8"/>
        <w:spacing w:after="0" w:line="282" w:lineRule="auto"/>
        <w:tabs>
          <w:tab w:leader="none" w:pos="3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53" w:lineRule="exact"/>
        <w:rPr>
          <w:rFonts w:ascii="Times New Roman" w:cs="Times New Roman" w:eastAsia="Times New Roman" w:hAnsi="Times New Roman"/>
          <w:sz w:val="18"/>
          <w:szCs w:val="18"/>
          <w:color w:val="auto"/>
        </w:rPr>
      </w:pPr>
    </w:p>
    <w:p>
      <w:pPr>
        <w:ind w:right="60" w:firstLine="8"/>
        <w:spacing w:after="0" w:line="266" w:lineRule="auto"/>
        <w:tabs>
          <w:tab w:leader="none" w:pos="3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68" w:lineRule="exact"/>
        <w:rPr>
          <w:rFonts w:ascii="Times New Roman" w:cs="Times New Roman" w:eastAsia="Times New Roman" w:hAnsi="Times New Roman"/>
          <w:sz w:val="18"/>
          <w:szCs w:val="18"/>
          <w:color w:val="auto"/>
        </w:rPr>
      </w:pPr>
    </w:p>
    <w:p>
      <w:pPr>
        <w:ind w:right="380" w:firstLine="8"/>
        <w:spacing w:after="0" w:line="266" w:lineRule="auto"/>
        <w:tabs>
          <w:tab w:leader="none" w:pos="34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Trustee Required; Eligibility; Conflicting Interests</w:t>
      </w:r>
      <w:r>
        <w:rPr>
          <w:rFonts w:ascii="Times New Roman" w:cs="Times New Roman" w:eastAsia="Times New Roman" w:hAnsi="Times New Roman"/>
          <w:sz w:val="18"/>
          <w:szCs w:val="18"/>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0" w:right="239" w:bottom="1440" w:gutter="0" w:footer="0" w:header="0"/>
        </w:sectPr>
      </w:pPr>
    </w:p>
    <w:bookmarkStart w:id="79" w:name="page80"/>
    <w:bookmarkEnd w:id="7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8"/>
        <w:spacing w:after="0" w:line="282" w:lineRule="auto"/>
        <w:tabs>
          <w:tab w:leader="none" w:pos="2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53" w:lineRule="exact"/>
        <w:rPr>
          <w:rFonts w:ascii="Times New Roman" w:cs="Times New Roman" w:eastAsia="Times New Roman" w:hAnsi="Times New Roman"/>
          <w:sz w:val="18"/>
          <w:szCs w:val="18"/>
          <w:color w:val="auto"/>
        </w:rPr>
      </w:pPr>
    </w:p>
    <w:p>
      <w:pPr>
        <w:jc w:val="both"/>
        <w:ind w:right="140" w:firstLine="8"/>
        <w:spacing w:after="0" w:line="266" w:lineRule="auto"/>
        <w:tabs>
          <w:tab w:leader="none" w:pos="2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68" w:lineRule="exact"/>
        <w:rPr>
          <w:rFonts w:ascii="Times New Roman" w:cs="Times New Roman" w:eastAsia="Times New Roman" w:hAnsi="Times New Roman"/>
          <w:sz w:val="18"/>
          <w:szCs w:val="18"/>
          <w:color w:val="auto"/>
        </w:rPr>
      </w:pPr>
    </w:p>
    <w:p>
      <w:pPr>
        <w:ind w:right="120" w:firstLine="8"/>
        <w:spacing w:after="0" w:line="261" w:lineRule="auto"/>
        <w:tabs>
          <w:tab w:leader="none" w:pos="2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8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17" w:lineRule="exact"/>
        <w:rPr>
          <w:sz w:val="20"/>
          <w:szCs w:val="20"/>
          <w:color w:val="auto"/>
        </w:rPr>
      </w:pPr>
    </w:p>
    <w:p>
      <w:pPr>
        <w:ind w:right="220" w:firstLine="8"/>
        <w:spacing w:after="0" w:line="282" w:lineRule="auto"/>
        <w:tabs>
          <w:tab w:leader="none" w:pos="2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53" w:lineRule="exact"/>
        <w:rPr>
          <w:rFonts w:ascii="Times New Roman" w:cs="Times New Roman" w:eastAsia="Times New Roman" w:hAnsi="Times New Roman"/>
          <w:sz w:val="18"/>
          <w:szCs w:val="18"/>
          <w:color w:val="auto"/>
        </w:rPr>
      </w:pPr>
    </w:p>
    <w:p>
      <w:pPr>
        <w:ind w:right="580" w:firstLine="8"/>
        <w:spacing w:after="0" w:line="282" w:lineRule="auto"/>
        <w:tabs>
          <w:tab w:leader="none" w:pos="2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53"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2" w:lineRule="exact"/>
        <w:rPr>
          <w:sz w:val="20"/>
          <w:szCs w:val="20"/>
          <w:color w:val="auto"/>
        </w:rPr>
      </w:pPr>
    </w:p>
    <w:p>
      <w:pPr>
        <w:ind w:right="40" w:firstLine="8"/>
        <w:spacing w:after="0" w:line="253" w:lineRule="auto"/>
        <w:tabs>
          <w:tab w:leader="none" w:pos="2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270" w:right="279" w:bottom="1440" w:gutter="0" w:footer="0" w:header="0"/>
        </w:sectPr>
      </w:pPr>
    </w:p>
    <w:bookmarkStart w:id="80" w:name="page81"/>
    <w:bookmarkEnd w:id="80"/>
    <w:p>
      <w:pPr>
        <w:jc w:val="both"/>
        <w:ind w:right="120" w:firstLine="8"/>
        <w:spacing w:after="0" w:line="266" w:lineRule="auto"/>
        <w:tabs>
          <w:tab w:leader="none" w:pos="2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8"/>
        <w:spacing w:after="0" w:line="255" w:lineRule="auto"/>
        <w:tabs>
          <w:tab w:leader="none" w:pos="2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81" w:lineRule="exact"/>
        <w:rPr>
          <w:rFonts w:ascii="Times New Roman" w:cs="Times New Roman" w:eastAsia="Times New Roman" w:hAnsi="Times New Roman"/>
          <w:sz w:val="18"/>
          <w:szCs w:val="18"/>
          <w:color w:val="auto"/>
        </w:rPr>
      </w:pPr>
    </w:p>
    <w:p>
      <w:pPr>
        <w:ind w:right="20" w:firstLine="8"/>
        <w:spacing w:after="0" w:line="268" w:lineRule="auto"/>
        <w:tabs>
          <w:tab w:leader="none" w:pos="25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74" w:lineRule="exact"/>
        <w:rPr>
          <w:rFonts w:ascii="Times New Roman" w:cs="Times New Roman" w:eastAsia="Times New Roman" w:hAnsi="Times New Roman"/>
          <w:sz w:val="17"/>
          <w:szCs w:val="17"/>
          <w:color w:val="auto"/>
        </w:rPr>
      </w:pPr>
    </w:p>
    <w:p>
      <w:pPr>
        <w:ind w:right="140" w:firstLine="8"/>
        <w:spacing w:after="0" w:line="282" w:lineRule="auto"/>
        <w:tabs>
          <w:tab w:leader="none" w:pos="2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0" w:right="239" w:bottom="1440" w:gutter="0" w:footer="0" w:header="0"/>
        </w:sectPr>
      </w:pPr>
    </w:p>
    <w:bookmarkStart w:id="81" w:name="page82"/>
    <w:bookmarkEnd w:id="81"/>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270"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452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 Trustee</w:t>
            </w:r>
          </w:p>
        </w:tc>
        <w:tc>
          <w:tcPr>
            <w:tcW w:w="370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52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spacing w:after="0"/>
              <w:rPr>
                <w:sz w:val="24"/>
                <w:szCs w:val="24"/>
                <w:color w:val="auto"/>
              </w:rPr>
            </w:pPr>
          </w:p>
        </w:tc>
      </w:tr>
      <w:tr>
        <w:trPr>
          <w:trHeight w:val="228"/>
        </w:trPr>
        <w:tc>
          <w:tcPr>
            <w:tcW w:w="3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r>
        <w:trPr>
          <w:trHeight w:val="427"/>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52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spacing w:after="0"/>
              <w:rPr>
                <w:sz w:val="24"/>
                <w:szCs w:val="24"/>
                <w:color w:val="auto"/>
              </w:rPr>
            </w:pPr>
          </w:p>
        </w:tc>
      </w:tr>
      <w:tr>
        <w:trPr>
          <w:trHeight w:val="228"/>
        </w:trPr>
        <w:tc>
          <w:tcPr>
            <w:tcW w:w="3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Certain Duties and Responsibilities of the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With respect to the Securities of any series, except during the continuance of an Event of Default with respect to the Securities of such series:</w:t>
      </w:r>
    </w:p>
    <w:p>
      <w:pPr>
        <w:spacing w:after="0" w:line="117" w:lineRule="exact"/>
        <w:rPr>
          <w:sz w:val="20"/>
          <w:szCs w:val="20"/>
          <w:color w:val="auto"/>
        </w:rPr>
      </w:pPr>
    </w:p>
    <w:p>
      <w:pPr>
        <w:ind w:right="180" w:firstLine="8"/>
        <w:spacing w:after="0" w:line="282" w:lineRule="auto"/>
        <w:tabs>
          <w:tab w:leader="none" w:pos="2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right="120" w:firstLine="8"/>
        <w:spacing w:after="0" w:line="261" w:lineRule="auto"/>
        <w:tabs>
          <w:tab w:leader="none" w:pos="2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72" w:lineRule="exact"/>
        <w:rPr>
          <w:sz w:val="20"/>
          <w:szCs w:val="20"/>
          <w:color w:val="auto"/>
        </w:rPr>
      </w:pPr>
    </w:p>
    <w:p>
      <w:pPr>
        <w:ind w:right="20" w:firstLine="8"/>
        <w:spacing w:after="0" w:line="266"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68" w:lineRule="exact"/>
        <w:rPr>
          <w:rFonts w:ascii="Times New Roman" w:cs="Times New Roman" w:eastAsia="Times New Roman" w:hAnsi="Times New Roman"/>
          <w:sz w:val="18"/>
          <w:szCs w:val="18"/>
          <w:color w:val="auto"/>
        </w:rPr>
      </w:pPr>
    </w:p>
    <w:p>
      <w:pPr>
        <w:ind w:right="320" w:firstLine="8"/>
        <w:spacing w:after="0" w:line="282" w:lineRule="auto"/>
        <w:tabs>
          <w:tab w:leader="none" w:pos="24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67" w:lineRule="exact"/>
        <w:rPr>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117" w:lineRule="exact"/>
        <w:rPr>
          <w:rFonts w:ascii="Times New Roman" w:cs="Times New Roman" w:eastAsia="Times New Roman" w:hAnsi="Times New Roman"/>
          <w:sz w:val="18"/>
          <w:szCs w:val="18"/>
          <w:color w:val="auto"/>
        </w:rPr>
      </w:pPr>
    </w:p>
    <w:p>
      <w:pPr>
        <w:ind w:right="620" w:firstLine="8"/>
        <w:spacing w:after="0" w:line="282"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68" w:lineRule="exact"/>
        <w:rPr>
          <w:rFonts w:ascii="Times New Roman" w:cs="Times New Roman" w:eastAsia="Times New Roman" w:hAnsi="Times New Roman"/>
          <w:sz w:val="18"/>
          <w:szCs w:val="18"/>
          <w:color w:val="auto"/>
        </w:rPr>
      </w:pPr>
    </w:p>
    <w:p>
      <w:pPr>
        <w:ind w:right="80" w:firstLine="8"/>
        <w:spacing w:after="0" w:line="258"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76" w:lineRule="exact"/>
        <w:rPr>
          <w:sz w:val="20"/>
          <w:szCs w:val="20"/>
          <w:color w:val="auto"/>
        </w:rPr>
      </w:pPr>
    </w:p>
    <w:p>
      <w:pPr>
        <w:ind w:right="180" w:firstLine="8"/>
        <w:spacing w:after="0" w:line="282" w:lineRule="auto"/>
        <w:tabs>
          <w:tab w:leader="none" w:pos="2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53" w:lineRule="exact"/>
        <w:rPr>
          <w:rFonts w:ascii="Times New Roman" w:cs="Times New Roman" w:eastAsia="Times New Roman" w:hAnsi="Times New Roman"/>
          <w:sz w:val="18"/>
          <w:szCs w:val="18"/>
          <w:color w:val="auto"/>
        </w:rPr>
      </w:pPr>
    </w:p>
    <w:p>
      <w:pPr>
        <w:ind w:right="460" w:firstLine="8"/>
        <w:spacing w:after="0" w:line="282" w:lineRule="auto"/>
        <w:tabs>
          <w:tab w:leader="none" w:pos="2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0" w:right="2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SEVEN – HOLDERS’ LISTS AND REPORTS BY TRUSTEE AND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Disclosure of Names and Addresses of Holders</w:t>
      </w:r>
      <w:r>
        <w:rPr>
          <w:rFonts w:ascii="Times New Roman" w:cs="Times New Roman" w:eastAsia="Times New Roman" w:hAnsi="Times New Roman"/>
          <w:sz w:val="18"/>
          <w:szCs w:val="18"/>
          <w:color w:val="auto"/>
        </w:rPr>
        <w:t>. Every Holder of Securities or coupons, by receiving and holding the same, agrees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Trustee that neither the Company nor the Trustee nor any Authenticating Agent nor any Paying Agent nor any Security Registrar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accountable by reason of the disclosure of any information as to the names and addresses of the Holders of Securities in accordance with 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312, regardless of the source from which such information was derived, and that the Trustee shall not be held accountable by reason of mailing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pursuant to a request made under TIA Section 312(b).</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 201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 The Company will:</w:t>
      </w:r>
    </w:p>
    <w:p>
      <w:pPr>
        <w:spacing w:after="0" w:line="117" w:lineRule="exact"/>
        <w:rPr>
          <w:sz w:val="20"/>
          <w:szCs w:val="20"/>
          <w:color w:val="auto"/>
        </w:rPr>
      </w:pPr>
    </w:p>
    <w:p>
      <w:pPr>
        <w:ind w:firstLine="8"/>
        <w:spacing w:after="0" w:line="255"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77" w:lineRule="exact"/>
        <w:rPr>
          <w:rFonts w:ascii="Times New Roman" w:cs="Times New Roman" w:eastAsia="Times New Roman" w:hAnsi="Times New Roman"/>
          <w:sz w:val="18"/>
          <w:szCs w:val="18"/>
          <w:color w:val="auto"/>
        </w:rPr>
      </w:pPr>
    </w:p>
    <w:p>
      <w:pPr>
        <w:ind w:right="100" w:firstLine="8"/>
        <w:spacing w:after="0" w:line="266"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68" w:lineRule="exact"/>
        <w:rPr>
          <w:rFonts w:ascii="Times New Roman" w:cs="Times New Roman" w:eastAsia="Times New Roman" w:hAnsi="Times New Roman"/>
          <w:sz w:val="18"/>
          <w:szCs w:val="18"/>
          <w:color w:val="auto"/>
        </w:rPr>
      </w:pPr>
    </w:p>
    <w:p>
      <w:pPr>
        <w:ind w:right="80" w:firstLine="8"/>
        <w:spacing w:after="0" w:line="266"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 Trustee:</w:t>
      </w:r>
    </w:p>
    <w:p>
      <w:pPr>
        <w:spacing w:after="0" w:line="117" w:lineRule="exact"/>
        <w:rPr>
          <w:sz w:val="20"/>
          <w:szCs w:val="20"/>
          <w:color w:val="auto"/>
        </w:rPr>
      </w:pPr>
    </w:p>
    <w:p>
      <w:pPr>
        <w:ind w:right="40" w:firstLine="8"/>
        <w:spacing w:after="0" w:line="261" w:lineRule="auto"/>
        <w:tabs>
          <w:tab w:leader="none" w:pos="2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71" w:lineRule="exact"/>
        <w:rPr>
          <w:rFonts w:ascii="Times New Roman" w:cs="Times New Roman" w:eastAsia="Times New Roman" w:hAnsi="Times New Roman"/>
          <w:sz w:val="18"/>
          <w:szCs w:val="18"/>
          <w:color w:val="auto"/>
        </w:rPr>
      </w:pPr>
    </w:p>
    <w:p>
      <w:pPr>
        <w:ind w:right="220" w:firstLine="8"/>
        <w:spacing w:after="0" w:line="282"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the Trustee is the Security Registrar, no such list shall be required to be furnished.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0"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 EIGHT CONSOLIDATION, MERGER, SALE, LEASE OR CONVEYANCE</w:t>
      </w: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Consolidations and Mergers of Company and Sales, Leases and Conveyances Permitted Subject to Certain Conditions</w:t>
      </w:r>
      <w:r>
        <w:rPr>
          <w:rFonts w:ascii="Times New Roman" w:cs="Times New Roman" w:eastAsia="Times New Roman" w:hAnsi="Times New Roman"/>
          <w:sz w:val="18"/>
          <w:szCs w:val="18"/>
          <w:color w:val="auto"/>
        </w:rPr>
        <w:t>. The Company may consolidate with, or sell, lease or convey all or substantially all of its assets to, or merge with or into any other corporation, provided that in any such case,</w:t>
      </w:r>
    </w:p>
    <w:p>
      <w:pPr>
        <w:ind w:right="20" w:firstLine="8"/>
        <w:spacing w:after="0" w:line="251"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9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and Duties of Successor Corporation</w:t>
      </w:r>
      <w:r>
        <w:rPr>
          <w:rFonts w:ascii="Times New Roman" w:cs="Times New Roman" w:eastAsia="Times New Roman" w:hAnsi="Times New Roman"/>
          <w:sz w:val="18"/>
          <w:szCs w:val="18"/>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 In case of any such consolidation, merger, sale, lease or conveyance, such changes in phraseology and form (but not in substance) may be made in the Securities thereafter to be issued as may be appropriate.</w:t>
      </w:r>
    </w:p>
    <w:p>
      <w:pPr>
        <w:spacing w:after="0" w:line="19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Officers’ Certificate and Opinion of Counsel</w:t>
      </w:r>
      <w:r>
        <w:rPr>
          <w:rFonts w:ascii="Times New Roman" w:cs="Times New Roman" w:eastAsia="Times New Roman" w:hAnsi="Times New Roman"/>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NINE – SUPPLEMENTAL INDENTURES</w:t>
      </w:r>
    </w:p>
    <w:p>
      <w:pPr>
        <w:spacing w:after="0" w:line="22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68" w:lineRule="exact"/>
        <w:rPr>
          <w:sz w:val="20"/>
          <w:szCs w:val="20"/>
          <w:color w:val="auto"/>
        </w:rPr>
      </w:pPr>
    </w:p>
    <w:p>
      <w:pPr>
        <w:ind w:firstLine="8"/>
        <w:spacing w:after="0" w:line="282"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or</w:t>
      </w:r>
    </w:p>
    <w:p>
      <w:pPr>
        <w:spacing w:after="0" w:line="53" w:lineRule="exact"/>
        <w:rPr>
          <w:rFonts w:ascii="Times New Roman" w:cs="Times New Roman" w:eastAsia="Times New Roman" w:hAnsi="Times New Roman"/>
          <w:sz w:val="18"/>
          <w:szCs w:val="18"/>
          <w:color w:val="auto"/>
        </w:rPr>
      </w:pPr>
    </w:p>
    <w:p>
      <w:pPr>
        <w:ind w:right="240" w:firstLine="8"/>
        <w:spacing w:after="0" w:line="266"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68" w:lineRule="exact"/>
        <w:rPr>
          <w:rFonts w:ascii="Times New Roman" w:cs="Times New Roman" w:eastAsia="Times New Roman" w:hAnsi="Times New Roman"/>
          <w:sz w:val="18"/>
          <w:szCs w:val="18"/>
          <w:color w:val="auto"/>
        </w:rPr>
      </w:pPr>
    </w:p>
    <w:p>
      <w:pPr>
        <w:ind w:right="340" w:firstLine="8"/>
        <w:spacing w:after="0" w:line="266"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respect of 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0" w:right="239" w:bottom="1440" w:gutter="0" w:footer="0" w:header="0"/>
        </w:sectPr>
      </w:pPr>
    </w:p>
    <w:bookmarkStart w:id="85" w:name="page86"/>
    <w:bookmarkEnd w:id="85"/>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72" w:lineRule="exact"/>
        <w:rPr>
          <w:sz w:val="20"/>
          <w:szCs w:val="20"/>
          <w:color w:val="auto"/>
        </w:rPr>
      </w:pPr>
    </w:p>
    <w:p>
      <w:pPr>
        <w:ind w:right="120" w:firstLine="8"/>
        <w:spacing w:after="0" w:line="258"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any series or any related coupons in any material respect; or</w:t>
      </w:r>
    </w:p>
    <w:p>
      <w:pPr>
        <w:spacing w:after="0" w:line="75" w:lineRule="exact"/>
        <w:rPr>
          <w:rFonts w:ascii="Times New Roman" w:cs="Times New Roman" w:eastAsia="Times New Roman" w:hAnsi="Times New Roman"/>
          <w:sz w:val="18"/>
          <w:szCs w:val="18"/>
          <w:color w:val="auto"/>
        </w:rPr>
      </w:pPr>
    </w:p>
    <w:p>
      <w:pPr>
        <w:ind w:right="120" w:firstLine="8"/>
        <w:spacing w:after="0" w:line="282"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and any related coupons as permitted or contemplated by Sections 201 and 301; or</w:t>
      </w:r>
    </w:p>
    <w:p>
      <w:pPr>
        <w:spacing w:after="0" w:line="117"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68" w:lineRule="exact"/>
        <w:rPr>
          <w:rFonts w:ascii="Times New Roman" w:cs="Times New Roman" w:eastAsia="Times New Roman" w:hAnsi="Times New Roman"/>
          <w:sz w:val="18"/>
          <w:szCs w:val="18"/>
          <w:color w:val="auto"/>
        </w:rPr>
      </w:pPr>
    </w:p>
    <w:p>
      <w:pPr>
        <w:ind w:right="160" w:firstLine="8"/>
        <w:spacing w:after="0" w:line="289" w:lineRule="auto"/>
        <w:tabs>
          <w:tab w:leader="none" w:pos="25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such provisions shall not adversely affect the interests of the Holders of Securities of any series or any related coupons in any material respect; or</w:t>
      </w:r>
    </w:p>
    <w:p>
      <w:pPr>
        <w:spacing w:after="0" w:line="50" w:lineRule="exact"/>
        <w:rPr>
          <w:rFonts w:ascii="Times New Roman" w:cs="Times New Roman" w:eastAsia="Times New Roman" w:hAnsi="Times New Roman"/>
          <w:sz w:val="17"/>
          <w:szCs w:val="17"/>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this Indenture to such extent as shall be necessary to permit or facilitate the Defeasance and discharge of any</w:t>
      </w:r>
    </w:p>
    <w:p>
      <w:pPr>
        <w:spacing w:after="0" w:line="27" w:lineRule="exact"/>
        <w:rPr>
          <w:rFonts w:ascii="Times New Roman" w:cs="Times New Roman" w:eastAsia="Times New Roman" w:hAnsi="Times New Roman"/>
          <w:sz w:val="18"/>
          <w:szCs w:val="18"/>
          <w:color w:val="auto"/>
        </w:rPr>
      </w:pPr>
    </w:p>
    <w:p>
      <w:pPr>
        <w:ind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series of Securities pursuant to Sections 401, 1402 and 1403;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Holders’ rights of conversion with respect to any series of Securities pursuant to Article Sixteen.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w:t>
      </w:r>
    </w:p>
    <w:p>
      <w:pPr>
        <w:spacing w:after="0" w:line="80" w:lineRule="exact"/>
        <w:rPr>
          <w:sz w:val="20"/>
          <w:szCs w:val="20"/>
          <w:color w:val="auto"/>
        </w:rPr>
      </w:pPr>
    </w:p>
    <w:p>
      <w:pPr>
        <w:ind w:right="20" w:firstLine="8"/>
        <w:spacing w:after="0" w:line="254" w:lineRule="auto"/>
        <w:tabs>
          <w:tab w:leader="none" w:pos="2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270" w:right="279" w:bottom="1440" w:gutter="0" w:footer="0" w:header="0"/>
        </w:sectPr>
      </w:pPr>
    </w:p>
    <w:bookmarkStart w:id="86" w:name="page87"/>
    <w:bookmarkEnd w:id="86"/>
    <w:p>
      <w:pPr>
        <w:ind w:right="60" w:firstLine="8"/>
        <w:spacing w:after="0" w:line="289" w:lineRule="auto"/>
        <w:tabs>
          <w:tab w:leader="none" w:pos="25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50" w:lineRule="exact"/>
        <w:rPr>
          <w:rFonts w:ascii="Times New Roman" w:cs="Times New Roman" w:eastAsia="Times New Roman" w:hAnsi="Times New Roman"/>
          <w:sz w:val="17"/>
          <w:szCs w:val="17"/>
          <w:color w:val="auto"/>
        </w:rPr>
      </w:pPr>
    </w:p>
    <w:p>
      <w:pPr>
        <w:ind w:right="120" w:firstLine="8"/>
        <w:spacing w:after="0" w:line="258" w:lineRule="auto"/>
        <w:tabs>
          <w:tab w:leader="none" w:pos="2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TEN – COVENANTS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Principal, Premium or Make-Whole Amount, if any; and Interest</w:t>
      </w:r>
      <w:r>
        <w:rPr>
          <w:rFonts w:ascii="Times New Roman" w:cs="Times New Roman" w:eastAsia="Times New Roman" w:hAnsi="Times New Roman"/>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270" w:right="259" w:bottom="1440" w:gutter="0" w:footer="0" w:header="0"/>
        </w:sectPr>
      </w:pPr>
    </w:p>
    <w:bookmarkStart w:id="87" w:name="page88"/>
    <w:bookmarkEnd w:id="8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270" w:right="259" w:bottom="1440" w:gutter="0" w:footer="0" w:header="0"/>
        </w:sectPr>
      </w:pPr>
    </w:p>
    <w:bookmarkStart w:id="88" w:name="page89"/>
    <w:bookmarkEnd w:id="88"/>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54" w:lineRule="exact"/>
        <w:rPr>
          <w:sz w:val="20"/>
          <w:szCs w:val="20"/>
          <w:color w:val="auto"/>
        </w:rPr>
      </w:pPr>
    </w:p>
    <w:p>
      <w:pPr>
        <w:ind w:right="180" w:firstLine="8"/>
        <w:spacing w:after="0" w:line="282"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53" w:lineRule="exact"/>
        <w:rPr>
          <w:rFonts w:ascii="Times New Roman" w:cs="Times New Roman" w:eastAsia="Times New Roman" w:hAnsi="Times New Roman"/>
          <w:sz w:val="18"/>
          <w:szCs w:val="18"/>
          <w:color w:val="auto"/>
        </w:rPr>
      </w:pPr>
    </w:p>
    <w:p>
      <w:pPr>
        <w:ind w:right="380" w:firstLine="8"/>
        <w:spacing w:after="0" w:line="282"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53" w:lineRule="exact"/>
        <w:rPr>
          <w:rFonts w:ascii="Times New Roman" w:cs="Times New Roman" w:eastAsia="Times New Roman" w:hAnsi="Times New Roman"/>
          <w:sz w:val="18"/>
          <w:szCs w:val="18"/>
          <w:color w:val="auto"/>
        </w:rPr>
      </w:pPr>
    </w:p>
    <w:p>
      <w:pPr>
        <w:ind w:right="320" w:firstLine="8"/>
        <w:spacing w:after="0" w:line="282"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270" w:right="259" w:bottom="1440" w:gutter="0" w:footer="0" w:header="0"/>
        </w:sectPr>
      </w:pPr>
    </w:p>
    <w:bookmarkStart w:id="89" w:name="page90"/>
    <w:bookmarkEnd w:id="89"/>
    <w:p>
      <w:pPr>
        <w:ind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1004.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Subject to Article Eight, the Company will do or cause to be done all things necessary to preserve and keep in full force and effect its corporate existence, all material rights (by articles of incorporation, by-laws and statute) and material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ELEVEN – REDEMPTION OF SECURITIES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117" w:lineRule="exact"/>
        <w:rPr>
          <w:sz w:val="20"/>
          <w:szCs w:val="20"/>
          <w:color w:val="auto"/>
        </w:rPr>
      </w:pPr>
    </w:p>
    <w:p>
      <w:pPr>
        <w:ind w:left="260" w:hanging="252"/>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accrued interest to the Redemption Date payable as provided in Section 1106, if any,</w:t>
      </w:r>
    </w:p>
    <w:p>
      <w:pPr>
        <w:spacing w:after="0" w:line="117" w:lineRule="exact"/>
        <w:rPr>
          <w:rFonts w:ascii="Times New Roman" w:cs="Times New Roman" w:eastAsia="Times New Roman" w:hAnsi="Times New Roman"/>
          <w:sz w:val="18"/>
          <w:szCs w:val="18"/>
          <w:color w:val="auto"/>
        </w:rPr>
      </w:pPr>
    </w:p>
    <w:p>
      <w:pPr>
        <w:ind w:right="160" w:firstLine="8"/>
        <w:spacing w:after="0" w:line="282"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270" w:right="259" w:bottom="1440" w:gutter="0" w:footer="0" w:header="0"/>
        </w:sectPr>
      </w:pPr>
    </w:p>
    <w:bookmarkStart w:id="90" w:name="page91"/>
    <w:bookmarkEnd w:id="90"/>
    <w:p>
      <w:pPr>
        <w:jc w:val="both"/>
        <w:ind w:right="540" w:firstLine="8"/>
        <w:spacing w:after="0" w:line="266"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68"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68"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117" w:lineRule="exact"/>
        <w:rPr>
          <w:rFonts w:ascii="Times New Roman" w:cs="Times New Roman" w:eastAsia="Times New Roman" w:hAnsi="Times New Roman"/>
          <w:sz w:val="18"/>
          <w:szCs w:val="18"/>
          <w:color w:val="auto"/>
        </w:rPr>
      </w:pPr>
    </w:p>
    <w:p>
      <w:pPr>
        <w:jc w:val="both"/>
        <w:ind w:right="340" w:firstLine="8"/>
        <w:spacing w:after="0" w:line="266"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68"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6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such Security, if any, and</w:t>
      </w:r>
    </w:p>
    <w:p>
      <w:pPr>
        <w:spacing w:after="0" w:line="117" w:lineRule="exact"/>
        <w:rPr>
          <w:rFonts w:ascii="Times New Roman" w:cs="Times New Roman" w:eastAsia="Times New Roman" w:hAnsi="Times New Roman"/>
          <w:sz w:val="18"/>
          <w:szCs w:val="18"/>
          <w:color w:val="auto"/>
        </w:rPr>
      </w:pPr>
    </w:p>
    <w:p>
      <w:pPr>
        <w:ind w:right="20" w:firstLine="8"/>
        <w:spacing w:after="0" w:line="266" w:lineRule="auto"/>
        <w:tabs>
          <w:tab w:leader="none" w:pos="3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88" w:lineRule="exact"/>
        <w:rPr>
          <w:sz w:val="20"/>
          <w:szCs w:val="20"/>
          <w:color w:val="auto"/>
        </w:rPr>
      </w:pPr>
    </w:p>
    <w:p>
      <w:pPr>
        <w:jc w:val="both"/>
        <w:ind w:right="220"/>
        <w:spacing w:after="0" w:line="313" w:lineRule="auto"/>
        <w:rPr>
          <w:sz w:val="20"/>
          <w:szCs w:val="20"/>
          <w:color w:val="auto"/>
        </w:rPr>
      </w:pPr>
      <w:r>
        <w:rPr>
          <w:rFonts w:ascii="Times New Roman" w:cs="Times New Roman" w:eastAsia="Times New Roman" w:hAnsi="Times New Roman"/>
          <w:sz w:val="17"/>
          <w:szCs w:val="17"/>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Bearer Securities whose Stated Maturity is on or prior to the Redemption Date shall be payable only at an office or agency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70" w:right="239" w:bottom="1440" w:gutter="0" w:footer="0" w:header="0"/>
        </w:sectPr>
      </w:pPr>
    </w:p>
    <w:bookmarkStart w:id="91" w:name="page92"/>
    <w:bookmarkEnd w:id="9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located outside the United States (except as otherwise provided in Section 1002) and, unless otherwise specified as contemplated by Section 301, only upon presentation and surrender of coupons for such interest;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TWELVE – SINKING FUNDS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70" w:right="239" w:bottom="1440" w:gutter="0" w:footer="0" w:header="0"/>
        </w:sectPr>
      </w:pPr>
    </w:p>
    <w:bookmarkStart w:id="92" w:name="page93"/>
    <w:bookmarkEnd w:id="9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Repayment of Securities</w:t>
      </w:r>
      <w:r>
        <w:rPr>
          <w:rFonts w:ascii="Times New Roman" w:cs="Times New Roman" w:eastAsia="Times New Roman" w:hAnsi="Times New Roman"/>
          <w:sz w:val="18"/>
          <w:szCs w:val="18"/>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0" w:right="239" w:bottom="1440" w:gutter="0" w:footer="0" w:header="0"/>
        </w:sectPr>
      </w:pPr>
    </w:p>
    <w:bookmarkStart w:id="93" w:name="page94"/>
    <w:bookmarkEnd w:id="9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When Securities Presented for Repayment Become Due and Payable</w:t>
      </w:r>
      <w:r>
        <w:rPr>
          <w:rFonts w:ascii="Times New Roman" w:cs="Times New Roman" w:eastAsia="Times New Roman" w:hAnsi="Times New Roman"/>
          <w:sz w:val="18"/>
          <w:szCs w:val="18"/>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Securities Repaid in Part</w:t>
      </w:r>
      <w:r>
        <w:rPr>
          <w:rFonts w:ascii="Times New Roman" w:cs="Times New Roman" w:eastAsia="Times New Roman" w:hAnsi="Times New Roman"/>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Applicability of Article; Company’s Option to Effect Defeasance or Covenant Defeasance</w:t>
      </w:r>
      <w:r>
        <w:rPr>
          <w:rFonts w:ascii="Times New Roman" w:cs="Times New Roman" w:eastAsia="Times New Roman" w:hAnsi="Times New Roman"/>
          <w:sz w:val="18"/>
          <w:szCs w:val="18"/>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270" w:right="239" w:bottom="1440" w:gutter="0" w:footer="0" w:header="0"/>
        </w:sectPr>
      </w:pPr>
    </w:p>
    <w:bookmarkStart w:id="94" w:name="page95"/>
    <w:bookmarkEnd w:id="9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w:t>
      </w:r>
    </w:p>
    <w:p>
      <w:pPr>
        <w:spacing w:after="0" w:line="3" w:lineRule="exact"/>
        <w:rPr>
          <w:sz w:val="20"/>
          <w:szCs w:val="20"/>
          <w:color w:val="auto"/>
        </w:rPr>
      </w:pPr>
    </w:p>
    <w:p>
      <w:pPr>
        <w:ind w:right="120" w:firstLine="8"/>
        <w:spacing w:after="0" w:line="261" w:lineRule="auto"/>
        <w:tabs>
          <w:tab w:leader="none" w:pos="2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9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application of Section 1402 or Section 1403 to any Outstanding Securities of or within a series and any coupons appertaining thereto:</w:t>
      </w:r>
    </w:p>
    <w:p>
      <w:pPr>
        <w:spacing w:after="0" w:line="54" w:lineRule="exact"/>
        <w:rPr>
          <w:sz w:val="20"/>
          <w:szCs w:val="20"/>
          <w:color w:val="auto"/>
        </w:rPr>
      </w:pPr>
    </w:p>
    <w:p>
      <w:pPr>
        <w:ind w:right="240" w:firstLine="8"/>
        <w:spacing w:after="0" w:line="257" w:lineRule="auto"/>
        <w:tabs>
          <w:tab w:leader="none" w:pos="2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w:t>
      </w:r>
    </w:p>
    <w:p>
      <w:pPr>
        <w:spacing w:after="0" w:line="1" w:lineRule="exact"/>
        <w:rPr>
          <w:rFonts w:ascii="Times New Roman" w:cs="Times New Roman" w:eastAsia="Times New Roman" w:hAnsi="Times New Roman"/>
          <w:sz w:val="18"/>
          <w:szCs w:val="18"/>
          <w:color w:val="auto"/>
        </w:rPr>
      </w:pPr>
    </w:p>
    <w:p>
      <w:pPr>
        <w:ind w:right="3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70" w:right="239" w:bottom="1440" w:gutter="0" w:footer="0" w:header="0"/>
        </w:sectPr>
      </w:pPr>
    </w:p>
    <w:bookmarkStart w:id="95" w:name="page96"/>
    <w:bookmarkEnd w:id="9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81" w:lineRule="exact"/>
        <w:rPr>
          <w:sz w:val="20"/>
          <w:szCs w:val="20"/>
          <w:color w:val="auto"/>
        </w:rPr>
      </w:pPr>
    </w:p>
    <w:p>
      <w:pPr>
        <w:ind w:right="340" w:firstLine="8"/>
        <w:spacing w:after="0" w:line="282" w:lineRule="auto"/>
        <w:tabs>
          <w:tab w:leader="none" w:pos="2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firstLine="8"/>
        <w:spacing w:after="0" w:line="261" w:lineRule="auto"/>
        <w:tabs>
          <w:tab w:leader="none" w:pos="24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71" w:lineRule="exact"/>
        <w:rPr>
          <w:rFonts w:ascii="Times New Roman" w:cs="Times New Roman" w:eastAsia="Times New Roman" w:hAnsi="Times New Roman"/>
          <w:sz w:val="18"/>
          <w:szCs w:val="18"/>
          <w:color w:val="auto"/>
        </w:rPr>
      </w:pPr>
    </w:p>
    <w:p>
      <w:pPr>
        <w:ind w:right="300" w:firstLine="8"/>
        <w:spacing w:after="0" w:line="256" w:lineRule="auto"/>
        <w:tabs>
          <w:tab w:leader="none" w:pos="2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79" w:lineRule="exact"/>
        <w:rPr>
          <w:rFonts w:ascii="Times New Roman" w:cs="Times New Roman" w:eastAsia="Times New Roman" w:hAnsi="Times New Roman"/>
          <w:sz w:val="18"/>
          <w:szCs w:val="18"/>
          <w:color w:val="auto"/>
        </w:rPr>
      </w:pPr>
    </w:p>
    <w:p>
      <w:pPr>
        <w:ind w:firstLine="8"/>
        <w:spacing w:after="0" w:line="261" w:lineRule="auto"/>
        <w:tabs>
          <w:tab w:leader="none" w:pos="24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right="80" w:firstLine="8"/>
        <w:spacing w:after="0" w:line="258" w:lineRule="auto"/>
        <w:tabs>
          <w:tab w:leader="none" w:pos="22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75" w:lineRule="exact"/>
        <w:rPr>
          <w:rFonts w:ascii="Times New Roman" w:cs="Times New Roman" w:eastAsia="Times New Roman" w:hAnsi="Times New Roman"/>
          <w:sz w:val="18"/>
          <w:szCs w:val="18"/>
          <w:color w:val="auto"/>
        </w:rPr>
      </w:pPr>
    </w:p>
    <w:p>
      <w:pPr>
        <w:ind w:right="320" w:firstLine="8"/>
        <w:spacing w:after="0" w:line="282" w:lineRule="auto"/>
        <w:tabs>
          <w:tab w:leader="none" w:pos="2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payable to the Trustee pursuant to this Indenture shall be paid or provided for to the reasonable satisfaction of the Trustee.</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Deposited Money and Government Obligations to Be Held in Trust; Other Miscellaneous Provisions</w:t>
      </w:r>
      <w:r>
        <w:rPr>
          <w:rFonts w:ascii="Times New Roman" w:cs="Times New Roman" w:eastAsia="Times New Roman" w:hAnsi="Times New Roman"/>
          <w:sz w:val="18"/>
          <w:szCs w:val="18"/>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270" w:right="259" w:bottom="1440" w:gutter="0" w:footer="0" w:header="0"/>
        </w:sectPr>
      </w:pPr>
    </w:p>
    <w:bookmarkStart w:id="96" w:name="page97"/>
    <w:bookmarkEnd w:id="9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Call, Notice and Place of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80" w:firstLine="8"/>
        <w:spacing w:after="0" w:line="261" w:lineRule="auto"/>
        <w:tabs>
          <w:tab w:leader="none" w:pos="24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71" w:lineRule="exact"/>
        <w:rPr>
          <w:rFonts w:ascii="Times New Roman" w:cs="Times New Roman" w:eastAsia="Times New Roman" w:hAnsi="Times New Roman"/>
          <w:sz w:val="18"/>
          <w:szCs w:val="18"/>
          <w:color w:val="auto"/>
        </w:rPr>
      </w:pPr>
    </w:p>
    <w:p>
      <w:pPr>
        <w:ind w:right="80" w:firstLine="8"/>
        <w:spacing w:after="0" w:line="256" w:lineRule="auto"/>
        <w:tabs>
          <w:tab w:leader="none" w:pos="2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270" w:right="259" w:bottom="1440" w:gutter="0" w:footer="0" w:header="0"/>
        </w:sectPr>
      </w:pPr>
    </w:p>
    <w:bookmarkStart w:id="97" w:name="page98"/>
    <w:bookmarkEnd w:id="9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1503. </w:t>
      </w:r>
      <w:r>
        <w:rPr>
          <w:rFonts w:ascii="Times New Roman" w:cs="Times New Roman" w:eastAsia="Times New Roman" w:hAnsi="Times New Roman"/>
          <w:sz w:val="18"/>
          <w:szCs w:val="18"/>
          <w:u w:val="single" w:color="auto"/>
          <w:color w:val="auto"/>
        </w:rPr>
        <w:t>Persons Entitled to Vote at Meetings</w:t>
      </w:r>
      <w:r>
        <w:rPr>
          <w:rFonts w:ascii="Times New Roman" w:cs="Times New Roman" w:eastAsia="Times New Roman" w:hAnsi="Times New Roman"/>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 xml:space="preserve">. 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2" w:lineRule="exact"/>
        <w:rPr>
          <w:sz w:val="20"/>
          <w:szCs w:val="20"/>
          <w:color w:val="auto"/>
        </w:rPr>
      </w:pPr>
    </w:p>
    <w:p>
      <w:pPr>
        <w:ind w:left="220" w:hanging="212"/>
        <w:spacing w:after="0"/>
        <w:tabs>
          <w:tab w:leader="none" w:pos="2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117"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26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8"/>
        <w:spacing w:after="0" w:line="261" w:lineRule="auto"/>
        <w:tabs>
          <w:tab w:leader="none" w:pos="2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270" w:right="299" w:bottom="1440" w:gutter="0" w:footer="0" w:header="0"/>
        </w:sectPr>
      </w:pPr>
    </w:p>
    <w:bookmarkStart w:id="98" w:name="page99"/>
    <w:bookmarkEnd w:id="9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72" w:lineRule="exact"/>
        <w:rPr>
          <w:sz w:val="20"/>
          <w:szCs w:val="20"/>
          <w:color w:val="auto"/>
        </w:rPr>
      </w:pPr>
    </w:p>
    <w:p>
      <w:pPr>
        <w:jc w:val="both"/>
        <w:ind w:right="80" w:firstLine="8"/>
        <w:spacing w:after="0" w:line="261"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71" w:lineRule="exact"/>
        <w:rPr>
          <w:rFonts w:ascii="Times New Roman" w:cs="Times New Roman" w:eastAsia="Times New Roman" w:hAnsi="Times New Roman"/>
          <w:sz w:val="18"/>
          <w:szCs w:val="18"/>
          <w:color w:val="auto"/>
        </w:rPr>
      </w:pPr>
    </w:p>
    <w:p>
      <w:pPr>
        <w:jc w:val="both"/>
        <w:ind w:right="500" w:firstLine="8"/>
        <w:spacing w:after="0" w:line="261" w:lineRule="auto"/>
        <w:tabs>
          <w:tab w:leader="none" w:pos="24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71"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SIXTEEN – CONVERSION OF SECURITIES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Applicability of Article; Conversion Privilege and Conversion Price</w:t>
      </w:r>
      <w:r>
        <w:rPr>
          <w:rFonts w:ascii="Times New Roman" w:cs="Times New Roman" w:eastAsia="Times New Roman" w:hAnsi="Times New Roman"/>
          <w:sz w:val="18"/>
          <w:szCs w:val="18"/>
          <w:color w:val="auto"/>
        </w:rPr>
        <w:t>.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270" w:right="239" w:bottom="1440" w:gutter="0" w:footer="0" w:header="0"/>
        </w:sectPr>
      </w:pPr>
    </w:p>
    <w:bookmarkStart w:id="99" w:name="page100"/>
    <w:bookmarkEnd w:id="9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price at which shares of Common Stock shall be delivered upon conversion (herein called the “Conversion Price”) of Securities of any series shall be specified in such Securities. The Conversion Price shall be adjusted in certain instances as provided in Section 1604. 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w:t>
      </w:r>
    </w:p>
    <w:p>
      <w:pPr>
        <w:spacing w:after="0" w:line="13" w:lineRule="exact"/>
        <w:rPr>
          <w:sz w:val="20"/>
          <w:szCs w:val="20"/>
          <w:color w:val="auto"/>
        </w:rPr>
      </w:pPr>
    </w:p>
    <w:p>
      <w:pPr>
        <w:ind w:right="460" w:firstLine="8"/>
        <w:spacing w:after="0" w:line="261" w:lineRule="auto"/>
        <w:tabs>
          <w:tab w:leader="none" w:pos="2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payment or delivery of such evidences of indebtedness or assets no later than the date of payment or delivery thereof to holders of Common Stock receiving such distribution.</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Exercise of Conversion Privilege</w:t>
      </w:r>
      <w:r>
        <w:rPr>
          <w:rFonts w:ascii="Times New Roman" w:cs="Times New Roman" w:eastAsia="Times New Roman" w:hAnsi="Times New Roman"/>
          <w:sz w:val="18"/>
          <w:szCs w:val="18"/>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270" w:right="239" w:bottom="1440" w:gutter="0" w:footer="0" w:header="0"/>
        </w:sectPr>
      </w:pPr>
    </w:p>
    <w:bookmarkStart w:id="100" w:name="page101"/>
    <w:bookmarkEnd w:id="100"/>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1603. </w:t>
      </w:r>
      <w:r>
        <w:rPr>
          <w:rFonts w:ascii="Times New Roman" w:cs="Times New Roman" w:eastAsia="Times New Roman" w:hAnsi="Times New Roman"/>
          <w:sz w:val="18"/>
          <w:szCs w:val="18"/>
          <w:u w:val="single" w:color="auto"/>
          <w:color w:val="auto"/>
        </w:rPr>
        <w:t>Fractions of Shares</w:t>
      </w:r>
      <w:r>
        <w:rPr>
          <w:rFonts w:ascii="Times New Roman" w:cs="Times New Roman" w:eastAsia="Times New Roman" w:hAnsi="Times New Roman"/>
          <w:sz w:val="18"/>
          <w:szCs w:val="18"/>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Adjustment of Conversion Price</w:t>
      </w:r>
      <w:r>
        <w:rPr>
          <w:rFonts w:ascii="Times New Roman" w:cs="Times New Roman" w:eastAsia="Times New Roman" w:hAnsi="Times New Roman"/>
          <w:sz w:val="18"/>
          <w:szCs w:val="18"/>
          <w:color w:val="auto"/>
        </w:rPr>
        <w:t>. The Conversion Price shall be subject to adjustment from time to time as follows:</w:t>
      </w:r>
    </w:p>
    <w:p>
      <w:pPr>
        <w:spacing w:after="0" w:line="117" w:lineRule="exact"/>
        <w:rPr>
          <w:sz w:val="20"/>
          <w:szCs w:val="20"/>
          <w:color w:val="auto"/>
        </w:rPr>
      </w:pPr>
    </w:p>
    <w:p>
      <w:pPr>
        <w:ind w:right="40" w:firstLine="8"/>
        <w:spacing w:after="0" w:line="254"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78"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w:t>
      </w:r>
    </w:p>
    <w:p>
      <w:pPr>
        <w:spacing w:after="0" w:line="10"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1604) of the Common Stock of the Company on the Rights Record Date.</w:t>
      </w:r>
    </w:p>
    <w:p>
      <w:pPr>
        <w:spacing w:after="0" w:line="98" w:lineRule="exact"/>
        <w:rPr>
          <w:rFonts w:ascii="Times New Roman" w:cs="Times New Roman" w:eastAsia="Times New Roman" w:hAnsi="Times New Roman"/>
          <w:sz w:val="18"/>
          <w:szCs w:val="18"/>
          <w:color w:val="auto"/>
        </w:rPr>
      </w:pPr>
    </w:p>
    <w:p>
      <w:pPr>
        <w:ind w:right="20" w:firstLine="8"/>
        <w:spacing w:after="0" w:line="256" w:lineRule="auto"/>
        <w:tabs>
          <w:tab w:leader="none" w:pos="2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70" w:right="239" w:bottom="1440" w:gutter="0" w:footer="0" w:header="0"/>
        </w:sectPr>
      </w:pPr>
    </w:p>
    <w:bookmarkStart w:id="101" w:name="page102"/>
    <w:bookmarkEnd w:id="101"/>
    <w:p>
      <w:pPr>
        <w:ind w:right="20" w:firstLine="8"/>
        <w:spacing w:after="0" w:line="252"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86" w:lineRule="exact"/>
        <w:rPr>
          <w:rFonts w:ascii="Times New Roman" w:cs="Times New Roman" w:eastAsia="Times New Roman" w:hAnsi="Times New Roman"/>
          <w:sz w:val="18"/>
          <w:szCs w:val="18"/>
          <w:color w:val="auto"/>
        </w:rPr>
      </w:pPr>
    </w:p>
    <w:p>
      <w:pPr>
        <w:ind w:right="300" w:firstLine="8"/>
        <w:spacing w:after="0" w:line="258"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be required to, make such reductions in the Conversion Price, in addition to those required by paragraphs (1), (2), (3),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75"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84" w:lineRule="exact"/>
        <w:rPr>
          <w:rFonts w:ascii="Times New Roman" w:cs="Times New Roman" w:eastAsia="Times New Roman" w:hAnsi="Times New Roman"/>
          <w:sz w:val="18"/>
          <w:szCs w:val="18"/>
          <w:color w:val="auto"/>
        </w:rPr>
      </w:pPr>
    </w:p>
    <w:p>
      <w:pPr>
        <w:ind w:right="380" w:firstLine="8"/>
        <w:spacing w:after="0" w:line="266"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68" w:lineRule="exact"/>
        <w:rPr>
          <w:rFonts w:ascii="Times New Roman" w:cs="Times New Roman" w:eastAsia="Times New Roman" w:hAnsi="Times New Roman"/>
          <w:sz w:val="18"/>
          <w:szCs w:val="18"/>
          <w:color w:val="auto"/>
        </w:rPr>
      </w:pPr>
    </w:p>
    <w:p>
      <w:pPr>
        <w:ind w:right="140" w:firstLine="8"/>
        <w:spacing w:after="0" w:line="261" w:lineRule="auto"/>
        <w:tabs>
          <w:tab w:leader="none" w:pos="2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Price shall be required unless such adjustment would require an increase or decrease of at least 1% in the Conversion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270" w:right="239" w:bottom="1440" w:gutter="0" w:footer="0" w:header="0"/>
        </w:sectPr>
      </w:pPr>
    </w:p>
    <w:bookmarkStart w:id="102" w:name="page103"/>
    <w:bookmarkEnd w:id="102"/>
    <w:p>
      <w:pPr>
        <w:ind w:firstLine="8"/>
        <w:spacing w:after="0" w:line="258" w:lineRule="auto"/>
        <w:tabs>
          <w:tab w:leader="none" w:pos="2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75" w:lineRule="exact"/>
        <w:rPr>
          <w:rFonts w:ascii="Times New Roman" w:cs="Times New Roman" w:eastAsia="Times New Roman" w:hAnsi="Times New Roman"/>
          <w:sz w:val="18"/>
          <w:szCs w:val="18"/>
          <w:color w:val="auto"/>
        </w:rPr>
      </w:pPr>
    </w:p>
    <w:p>
      <w:pPr>
        <w:ind w:right="240" w:firstLine="8"/>
        <w:spacing w:after="0" w:line="261" w:lineRule="auto"/>
        <w:tabs>
          <w:tab w:leader="none" w:pos="34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1604,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Article Sixteen requires adjustments to the Conversion Price under more than one of paragraphs (1), (2), (3) or (4) of this</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u w:val="single" w:color="auto"/>
          <w:color w:val="auto"/>
        </w:rPr>
        <w:t>Notice of Adjustments of Conversion Price</w:t>
      </w:r>
      <w:r>
        <w:rPr>
          <w:rFonts w:ascii="Times New Roman" w:cs="Times New Roman" w:eastAsia="Times New Roman" w:hAnsi="Times New Roman"/>
          <w:sz w:val="18"/>
          <w:szCs w:val="18"/>
          <w:color w:val="auto"/>
        </w:rPr>
        <w:t>. Whenever the Conversion Price is adjusted as herein provided:</w:t>
      </w:r>
    </w:p>
    <w:p>
      <w:pPr>
        <w:spacing w:after="0" w:line="117" w:lineRule="exact"/>
        <w:rPr>
          <w:sz w:val="20"/>
          <w:szCs w:val="20"/>
          <w:color w:val="auto"/>
        </w:rPr>
      </w:pPr>
    </w:p>
    <w:p>
      <w:pPr>
        <w:ind w:right="200" w:firstLine="8"/>
        <w:spacing w:after="0" w:line="261" w:lineRule="auto"/>
        <w:tabs>
          <w:tab w:leader="none" w:pos="2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71" w:lineRule="exact"/>
        <w:rPr>
          <w:rFonts w:ascii="Times New Roman" w:cs="Times New Roman" w:eastAsia="Times New Roman" w:hAnsi="Times New Roman"/>
          <w:sz w:val="18"/>
          <w:szCs w:val="18"/>
          <w:color w:val="auto"/>
        </w:rPr>
      </w:pPr>
    </w:p>
    <w:p>
      <w:pPr>
        <w:ind w:right="180" w:firstLine="8"/>
        <w:spacing w:after="0" w:line="313" w:lineRule="auto"/>
        <w:tabs>
          <w:tab w:leader="none" w:pos="25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Notice of Certain Corporate Action</w:t>
      </w:r>
      <w:r>
        <w:rPr>
          <w:rFonts w:ascii="Times New Roman" w:cs="Times New Roman" w:eastAsia="Times New Roman" w:hAnsi="Times New Roman"/>
          <w:sz w:val="18"/>
          <w:szCs w:val="18"/>
          <w:color w:val="auto"/>
        </w:rPr>
        <w:t>. In case:</w:t>
      </w:r>
    </w:p>
    <w:p>
      <w:pPr>
        <w:spacing w:after="0" w:line="117" w:lineRule="exact"/>
        <w:rPr>
          <w:sz w:val="20"/>
          <w:szCs w:val="20"/>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any action that would require a Conversion Price adjustment pursuant to Section 1604 or Section 1611; or</w:t>
      </w:r>
    </w:p>
    <w:p>
      <w:pPr>
        <w:spacing w:after="0" w:line="117" w:lineRule="exact"/>
        <w:rPr>
          <w:rFonts w:ascii="Times New Roman" w:cs="Times New Roman" w:eastAsia="Times New Roman" w:hAnsi="Times New Roman"/>
          <w:sz w:val="18"/>
          <w:szCs w:val="18"/>
          <w:color w:val="auto"/>
        </w:rPr>
      </w:pPr>
    </w:p>
    <w:p>
      <w:pPr>
        <w:ind w:right="20" w:firstLine="8"/>
        <w:spacing w:after="0" w:line="266" w:lineRule="auto"/>
        <w:tabs>
          <w:tab w:leader="none" w:pos="2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68" w:lineRule="exact"/>
        <w:rPr>
          <w:rFonts w:ascii="Times New Roman" w:cs="Times New Roman" w:eastAsia="Times New Roman" w:hAnsi="Times New Roman"/>
          <w:sz w:val="18"/>
          <w:szCs w:val="18"/>
          <w:color w:val="auto"/>
        </w:rPr>
      </w:pPr>
    </w:p>
    <w:p>
      <w:pPr>
        <w:ind w:right="120" w:firstLine="8"/>
        <w:spacing w:after="0" w:line="256" w:lineRule="auto"/>
        <w:tabs>
          <w:tab w:leader="none" w:pos="2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270" w:right="239" w:bottom="1440" w:gutter="0" w:footer="0" w:header="0"/>
        </w:sectPr>
      </w:pPr>
    </w:p>
    <w:bookmarkStart w:id="103" w:name="page104"/>
    <w:bookmarkEnd w:id="103"/>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Company to Reserve Common Stock</w:t>
      </w:r>
      <w:r>
        <w:rPr>
          <w:rFonts w:ascii="Times New Roman" w:cs="Times New Roman" w:eastAsia="Times New Roman" w:hAnsi="Times New Roman"/>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Taxes on Conversion</w:t>
      </w:r>
      <w:r>
        <w:rPr>
          <w:rFonts w:ascii="Times New Roman" w:cs="Times New Roman" w:eastAsia="Times New Roman" w:hAnsi="Times New Roman"/>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4"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Covenants as to Common Stock</w:t>
      </w:r>
      <w:r>
        <w:rPr>
          <w:rFonts w:ascii="Times New Roman" w:cs="Times New Roman" w:eastAsia="Times New Roman" w:hAnsi="Times New Roman"/>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Cancellation of Converted Securities</w:t>
      </w:r>
      <w:r>
        <w:rPr>
          <w:rFonts w:ascii="Times New Roman" w:cs="Times New Roman" w:eastAsia="Times New Roman" w:hAnsi="Times New Roman"/>
          <w:sz w:val="18"/>
          <w:szCs w:val="18"/>
          <w:color w:val="auto"/>
        </w:rPr>
        <w:t>. All Securities delivered for conversion shall be delivered to the Trustee to be cancelled by or at the direction of the Trustee, which shall dispose of the same as provided in Section 309.</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Provisions in Case of Consolidation, Merger or Sale of Assets; Special Distributions</w:t>
      </w:r>
      <w:r>
        <w:rPr>
          <w:rFonts w:ascii="Times New Roman" w:cs="Times New Roman" w:eastAsia="Times New Roman" w:hAnsi="Times New Roman"/>
          <w:sz w:val="18"/>
          <w:szCs w:val="18"/>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1601,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81" w:lineRule="exact"/>
        <w:rPr>
          <w:sz w:val="20"/>
          <w:szCs w:val="20"/>
          <w:color w:val="auto"/>
        </w:rPr>
      </w:pPr>
    </w:p>
    <w:p>
      <w:pPr>
        <w:ind w:right="120" w:firstLine="8"/>
        <w:spacing w:after="0" w:line="266" w:lineRule="auto"/>
        <w:tabs>
          <w:tab w:leader="none" w:pos="2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68"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exercise his rights of election, if any, as to the kind or amount of securities, cash and other property receivable upon such consolidation, merger, sale, transfer or lease (provided that if the kind or amount of securities,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60"/>
          </w:cols>
          <w:pgMar w:left="240" w:top="270" w:right="299" w:bottom="1440" w:gutter="0" w:footer="0" w:header="0"/>
        </w:sectPr>
      </w:pPr>
    </w:p>
    <w:bookmarkStart w:id="104" w:name="page105"/>
    <w:bookmarkEnd w:id="10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1611 shall similarly apply to successive consolidations, mergers, sales, transfers or leases.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makes a distribution to all holders of its Common Stock that constitutes an Unadjusted Distribution pursuant to the last sentence of paragraph</w:t>
      </w:r>
    </w:p>
    <w:p>
      <w:pPr>
        <w:spacing w:after="0" w:line="27" w:lineRule="exact"/>
        <w:rPr>
          <w:sz w:val="20"/>
          <w:szCs w:val="20"/>
          <w:color w:val="auto"/>
        </w:rPr>
      </w:pPr>
    </w:p>
    <w:p>
      <w:pPr>
        <w:ind w:right="60" w:firstLine="8"/>
        <w:spacing w:after="0" w:line="253" w:lineRule="auto"/>
        <w:tabs>
          <w:tab w:leader="none" w:pos="2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1612. </w:t>
      </w:r>
      <w:r>
        <w:rPr>
          <w:rFonts w:ascii="Times New Roman" w:cs="Times New Roman" w:eastAsia="Times New Roman" w:hAnsi="Times New Roman"/>
          <w:sz w:val="18"/>
          <w:szCs w:val="18"/>
          <w:u w:val="single" w:color="auto"/>
          <w:color w:val="auto"/>
        </w:rPr>
        <w:t>Trustee Adjustment Disclaimer; Company Determination Final</w:t>
      </w:r>
      <w:r>
        <w:rPr>
          <w:rFonts w:ascii="Times New Roman" w:cs="Times New Roman" w:eastAsia="Times New Roman" w:hAnsi="Times New Roman"/>
          <w:sz w:val="18"/>
          <w:szCs w:val="18"/>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1613. </w:t>
      </w:r>
      <w:r>
        <w:rPr>
          <w:rFonts w:ascii="Times New Roman" w:cs="Times New Roman" w:eastAsia="Times New Roman" w:hAnsi="Times New Roman"/>
          <w:sz w:val="18"/>
          <w:szCs w:val="18"/>
          <w:u w:val="single" w:color="auto"/>
          <w:color w:val="auto"/>
        </w:rPr>
        <w:t>When No Adjustment Required</w:t>
      </w:r>
      <w:r>
        <w:rPr>
          <w:rFonts w:ascii="Times New Roman" w:cs="Times New Roman" w:eastAsia="Times New Roman" w:hAnsi="Times New Roman"/>
          <w:sz w:val="18"/>
          <w:szCs w:val="18"/>
          <w:color w:val="auto"/>
        </w:rPr>
        <w:t>. Except as expressly set forth in Section 1604,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0" w:lineRule="exact"/>
        <w:rPr>
          <w:sz w:val="20"/>
          <w:szCs w:val="20"/>
          <w:color w:val="auto"/>
        </w:rPr>
      </w:pPr>
    </w:p>
    <w:p>
      <w:pPr>
        <w:jc w:val="both"/>
        <w:ind w:right="40" w:firstLine="8"/>
        <w:spacing w:after="0" w:line="289" w:lineRule="auto"/>
        <w:tabs>
          <w:tab w:leader="none" w:pos="25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5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SECTION 1614. </w:t>
      </w:r>
      <w:r>
        <w:rPr>
          <w:rFonts w:ascii="Times New Roman" w:cs="Times New Roman" w:eastAsia="Times New Roman" w:hAnsi="Times New Roman"/>
          <w:sz w:val="18"/>
          <w:szCs w:val="18"/>
          <w:u w:val="single" w:color="auto"/>
          <w:color w:val="auto"/>
        </w:rPr>
        <w:t>Equivalent Adjustments</w:t>
      </w:r>
      <w:r>
        <w:rPr>
          <w:rFonts w:ascii="Times New Roman" w:cs="Times New Roman" w:eastAsia="Times New Roman" w:hAnsi="Times New Roman"/>
          <w:sz w:val="18"/>
          <w:szCs w:val="18"/>
          <w:color w:val="auto"/>
        </w:rPr>
        <w:t>. In the event that, as a result of an adjustment made pursuant to Section 1604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270" w:right="279" w:bottom="1440" w:gutter="0" w:footer="0" w:header="0"/>
        </w:sectPr>
      </w:pPr>
    </w:p>
    <w:bookmarkStart w:id="105" w:name="page106"/>
    <w:bookmarkEnd w:id="105"/>
    <w:p>
      <w:pPr>
        <w:ind w:left="51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NN, INC.</w:t>
      </w:r>
    </w:p>
    <w:p>
      <w:pPr>
        <w:spacing w:after="0" w:line="212"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Borders>
              <w:bottom w:val="single" w:sz="8" w:color="auto"/>
            </w:tcBorders>
            <w:gridSpan w:val="2"/>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8"/>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288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2880" w:type="dxa"/>
            <w:vAlign w:val="bottom"/>
          </w:tcPr>
          <w:p>
            <w:pPr>
              <w:spacing w:after="0"/>
              <w:rPr>
                <w:sz w:val="20"/>
                <w:szCs w:val="20"/>
                <w:color w:val="auto"/>
              </w:rPr>
            </w:pPr>
          </w:p>
        </w:tc>
      </w:tr>
      <w:tr>
        <w:trPr>
          <w:trHeight w:val="41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 Trustee</w:t>
            </w:r>
          </w:p>
        </w:tc>
        <w:tc>
          <w:tcPr>
            <w:tcW w:w="2880" w:type="dxa"/>
            <w:vAlign w:val="bottom"/>
          </w:tcPr>
          <w:p>
            <w:pPr>
              <w:spacing w:after="0"/>
              <w:rPr>
                <w:sz w:val="20"/>
                <w:szCs w:val="20"/>
                <w:color w:val="auto"/>
              </w:rPr>
            </w:pPr>
          </w:p>
        </w:tc>
      </w:tr>
      <w:tr>
        <w:trPr>
          <w:trHeight w:val="405"/>
        </w:trPr>
        <w:tc>
          <w:tcPr>
            <w:tcW w:w="1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Borders>
              <w:bottom w:val="single" w:sz="8" w:color="auto"/>
            </w:tcBorders>
            <w:gridSpan w:val="4"/>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680" w:type="dxa"/>
            <w:vAlign w:val="bottom"/>
            <w:tcBorders>
              <w:bottom w:val="single" w:sz="8" w:color="auto"/>
            </w:tcBorders>
            <w:gridSpan w:val="4"/>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8"/>
        </w:trPr>
        <w:tc>
          <w:tcPr>
            <w:tcW w:w="14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w:t>
            </w:r>
          </w:p>
        </w:tc>
        <w:tc>
          <w:tcPr>
            <w:tcW w:w="288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Title:</w:t>
            </w:r>
          </w:p>
        </w:tc>
        <w:tc>
          <w:tcPr>
            <w:tcW w:w="2880" w:type="dxa"/>
            <w:vAlign w:val="bottom"/>
          </w:tcPr>
          <w:p>
            <w:pPr>
              <w:spacing w:after="0"/>
              <w:rPr>
                <w:sz w:val="20"/>
                <w:szCs w:val="20"/>
                <w:color w:val="auto"/>
              </w:rPr>
            </w:pPr>
          </w:p>
        </w:tc>
      </w:tr>
    </w:tbl>
    <w:p>
      <w:pPr>
        <w:spacing w:after="0" w:line="1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820"/>
          </w:cols>
          <w:pgMar w:left="240" w:top="270" w:right="83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REDEEMABLE OR NON-REDEEMABLE SENIOR SECURITY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the Holder of this Security (as indicated below) is The Depository Trust Company (“DTC”) or a nominee of DTC, this Security is a Global Security and the following two legends apply:</w:t>
      </w:r>
    </w:p>
    <w:p>
      <w:pPr>
        <w:spacing w:after="0" w:line="15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If this Security is an Original Issue Discount Security, insert</w:t>
      </w:r>
      <w:r>
        <w:rPr>
          <w:rFonts w:ascii="Times New Roman" w:cs="Times New Roman" w:eastAsia="Times New Roman" w:hAnsi="Times New Roman"/>
          <w:sz w:val="18"/>
          <w:szCs w:val="18"/>
          <w:color w:val="auto"/>
        </w:rPr>
        <w:t xml:space="preserve"> — FOR PURPOSES OF SECTION 1273 and 1275 OF THE UNITED STATES INTERNAL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REVENUE CODE, THE AMOUNT OF ORIGINAL ISSUE DISCOUNT ON THIS SECURITY IS</w:t>
            </w:r>
          </w:p>
        </w:tc>
        <w:tc>
          <w:tcPr>
            <w:tcW w:w="500" w:type="dxa"/>
            <w:vAlign w:val="bottom"/>
          </w:tcPr>
          <w:p>
            <w:pPr>
              <w:spacing w:after="0"/>
              <w:rPr>
                <w:sz w:val="17"/>
                <w:szCs w:val="17"/>
                <w:color w:val="auto"/>
              </w:rPr>
            </w:pPr>
          </w:p>
        </w:tc>
        <w:tc>
          <w:tcPr>
            <w:tcW w:w="3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OF ITS PRINCIPAL AMOUNT, THE</w:t>
            </w:r>
          </w:p>
        </w:tc>
        <w:tc>
          <w:tcPr>
            <w:tcW w:w="0" w:type="dxa"/>
            <w:vAlign w:val="bottom"/>
          </w:tcPr>
          <w:p>
            <w:pPr>
              <w:spacing w:after="0"/>
              <w:rPr>
                <w:sz w:val="1"/>
                <w:szCs w:val="1"/>
                <w:color w:val="auto"/>
              </w:rPr>
            </w:pPr>
          </w:p>
        </w:tc>
      </w:tr>
      <w:tr>
        <w:trPr>
          <w:trHeight w:val="216"/>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ISSUE DATE IS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20</w:t>
            </w: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AND THE YIELD TO MATURITY IS</w:t>
            </w:r>
          </w:p>
        </w:tc>
        <w:tc>
          <w:tcPr>
            <w:tcW w:w="50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THE METHOD USED TO DETERMINE THE AMOUNT OF</w:t>
            </w:r>
          </w:p>
        </w:tc>
        <w:tc>
          <w:tcPr>
            <w:tcW w:w="0" w:type="dxa"/>
            <w:vAlign w:val="bottom"/>
          </w:tcPr>
          <w:p>
            <w:pPr>
              <w:spacing w:after="0"/>
              <w:rPr>
                <w:sz w:val="1"/>
                <w:szCs w:val="1"/>
                <w:color w:val="auto"/>
              </w:rPr>
            </w:pPr>
          </w:p>
        </w:tc>
      </w:tr>
      <w:tr>
        <w:trPr>
          <w:trHeight w:val="216"/>
        </w:trPr>
        <w:tc>
          <w:tcPr>
            <w:tcW w:w="7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ORIGINAL ISSUE DISCOUNT APPLICABLE TO THE SHORT ACCRUAL PERIOD OF</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w:t>
            </w:r>
          </w:p>
        </w:tc>
        <w:tc>
          <w:tcPr>
            <w:tcW w:w="184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w w:val="87"/>
              </w:rPr>
              <w:t>, 20,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w:t>
            </w:r>
          </w:p>
        </w:tc>
        <w:tc>
          <w:tcPr>
            <w:tcW w:w="59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 OF THE PRINCIPAL AMOUNT OF THIS SECURITY.]</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9"/>
              </w:rPr>
              <w:t>NN, INC.</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99"/>
              </w:rPr>
              <w:t>[Designation of Series]</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7"/>
              </w:rPr>
              <w:t>No.</w:t>
            </w: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CUSIP No.</w:t>
            </w: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 a Massachusetts corporation (herein referred to as the “Company,” which term includes any successor corporation under the Indenture referred to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 the reverse hereof), for value received, hereby promises to pay to</w:t>
            </w:r>
          </w:p>
        </w:tc>
        <w:tc>
          <w:tcPr>
            <w:tcW w:w="38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or registered assigns the principal sum of</w:t>
            </w:r>
          </w:p>
        </w:tc>
        <w:tc>
          <w:tcPr>
            <w:tcW w:w="1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Dollars</w:t>
            </w:r>
          </w:p>
        </w:tc>
      </w:tr>
      <w:tr>
        <w:trPr>
          <w:trHeight w:val="194"/>
        </w:trPr>
        <w:tc>
          <w:tcPr>
            <w:tcW w:w="10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on</w:t>
            </w:r>
          </w:p>
        </w:tc>
        <w:tc>
          <w:tcPr>
            <w:tcW w:w="10160" w:type="dxa"/>
            <w:vAlign w:val="bottom"/>
            <w:gridSpan w:val="7"/>
          </w:tcPr>
          <w:p>
            <w:pPr>
              <w:ind w:left="60"/>
              <w:spacing w:after="0" w:line="194" w:lineRule="exact"/>
              <w:rPr>
                <w:sz w:val="20"/>
                <w:szCs w:val="20"/>
                <w:color w:val="auto"/>
              </w:rPr>
            </w:pPr>
            <w:r>
              <w:rPr>
                <w:rFonts w:ascii="Times New Roman" w:cs="Times New Roman" w:eastAsia="Times New Roman" w:hAnsi="Times New Roman"/>
                <w:sz w:val="18"/>
                <w:szCs w:val="18"/>
                <w:color w:val="auto"/>
                <w:w w:val="99"/>
              </w:rPr>
              <w:t>(the “Stated Maturity Date”) [or insert date fixed for earlier redemption (the “Redemption Date,” and together with the Stated Maturity Date</w:t>
            </w:r>
          </w:p>
        </w:tc>
      </w:tr>
      <w:tr>
        <w:trPr>
          <w:trHeight w:val="20"/>
        </w:trPr>
        <w:tc>
          <w:tcPr>
            <w:tcW w:w="12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37"/>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 respect to principal repayable on such date, the “Maturity Date.”)]</w:t>
            </w: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92"/>
        </w:trPr>
        <w:tc>
          <w:tcPr>
            <w:tcW w:w="7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If the Security is to bear interest prior to Maturity, insert — and to pay interest thereon from or from</w:t>
            </w:r>
          </w:p>
        </w:tc>
        <w:tc>
          <w:tcPr>
            <w:tcW w:w="3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most recent Interest Payment Date to</w:t>
            </w:r>
          </w:p>
        </w:tc>
      </w:tr>
      <w:tr>
        <w:trPr>
          <w:trHeight w:val="20"/>
        </w:trPr>
        <w:tc>
          <w:tcPr>
            <w:tcW w:w="120" w:type="dxa"/>
            <w:vAlign w:val="bottom"/>
          </w:tcPr>
          <w:p>
            <w:pPr>
              <w:spacing w:after="0" w:line="20" w:lineRule="exact"/>
              <w:rPr>
                <w:sz w:val="1"/>
                <w:szCs w:val="1"/>
                <w:color w:val="auto"/>
              </w:rPr>
            </w:pPr>
          </w:p>
        </w:tc>
        <w:tc>
          <w:tcPr>
            <w:tcW w:w="4040" w:type="dxa"/>
            <w:vAlign w:val="bottom"/>
            <w:gridSpan w:val="3"/>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r>
      <w:tr>
        <w:trPr>
          <w:trHeight w:val="218"/>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which interest has been paid or duly provided for, semi-annually on</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w:t>
            </w:r>
          </w:p>
        </w:tc>
        <w:tc>
          <w:tcPr>
            <w:tcW w:w="49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 each year (each, an “Interest Payment Date”),</w:t>
            </w:r>
          </w:p>
        </w:tc>
      </w:tr>
      <w:tr>
        <w:trPr>
          <w:trHeight w:val="2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commencing ,</w:t>
            </w:r>
          </w:p>
        </w:tc>
        <w:tc>
          <w:tcPr>
            <w:tcW w:w="2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at the rate of</w:t>
            </w:r>
          </w:p>
        </w:tc>
        <w:tc>
          <w:tcPr>
            <w:tcW w:w="77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 per annum, until the principal hereof is paid or duly provided for. The interest so payable,</w:t>
            </w:r>
          </w:p>
        </w:tc>
      </w:tr>
    </w:tbl>
    <w:p>
      <w:pPr>
        <w:ind w:right="60" w:firstLine="900"/>
        <w:spacing w:after="0" w:line="250" w:lineRule="auto"/>
        <w:rPr>
          <w:sz w:val="20"/>
          <w:szCs w:val="20"/>
          <w:color w:val="auto"/>
        </w:rPr>
      </w:pPr>
      <w:r>
        <w:rPr>
          <w:rFonts w:ascii="Times New Roman" w:cs="Times New Roman" w:eastAsia="Times New Roman" w:hAnsi="Times New Roman"/>
          <w:sz w:val="18"/>
          <w:szCs w:val="18"/>
          <w:color w:val="auto"/>
        </w:rPr>
        <w:t>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w:t>
      </w:r>
    </w:p>
    <w:tbl>
      <w:tblPr>
        <w:tblLayout w:type="fixed"/>
        <w:tblInd w:w="0" w:type="dxa"/>
        <w:tblCellMar>
          <w:top w:w="0" w:type="dxa"/>
          <w:left w:w="0" w:type="dxa"/>
          <w:bottom w:w="0" w:type="dxa"/>
          <w:right w:w="0" w:type="dxa"/>
        </w:tblCellMar>
      </w:tblPr>
      <w:tr>
        <w:trPr>
          <w:trHeight w:val="199"/>
        </w:trPr>
        <w:tc>
          <w:tcPr>
            <w:tcW w:w="1500" w:type="dxa"/>
            <w:vAlign w:val="bottom"/>
          </w:tcPr>
          <w:p>
            <w:pPr>
              <w:ind w:left="900"/>
              <w:spacing w:after="0" w:line="199" w:lineRule="exact"/>
              <w:rPr>
                <w:sz w:val="20"/>
                <w:szCs w:val="20"/>
                <w:color w:val="auto"/>
              </w:rPr>
            </w:pPr>
            <w:r>
              <w:rPr>
                <w:rFonts w:ascii="Times New Roman" w:cs="Times New Roman" w:eastAsia="Times New Roman" w:hAnsi="Times New Roman"/>
                <w:sz w:val="18"/>
                <w:szCs w:val="18"/>
                <w:color w:val="auto"/>
              </w:rPr>
              <w:t>or</w:t>
            </w:r>
          </w:p>
        </w:tc>
        <w:tc>
          <w:tcPr>
            <w:tcW w:w="2260" w:type="dxa"/>
            <w:vAlign w:val="bottom"/>
          </w:tcPr>
          <w:p>
            <w:pPr>
              <w:ind w:left="540"/>
              <w:spacing w:after="0" w:line="199" w:lineRule="exact"/>
              <w:rPr>
                <w:sz w:val="20"/>
                <w:szCs w:val="20"/>
                <w:color w:val="auto"/>
              </w:rPr>
            </w:pPr>
            <w:r>
              <w:rPr>
                <w:rFonts w:ascii="Times New Roman" w:cs="Times New Roman" w:eastAsia="Times New Roman" w:hAnsi="Times New Roman"/>
                <w:sz w:val="18"/>
                <w:szCs w:val="18"/>
                <w:color w:val="auto"/>
              </w:rPr>
              <w:t>(whether or not a</w:t>
            </w:r>
          </w:p>
        </w:tc>
        <w:tc>
          <w:tcPr>
            <w:tcW w:w="7480" w:type="dxa"/>
            <w:vAlign w:val="bottom"/>
            <w:gridSpan w:val="5"/>
          </w:tcPr>
          <w:p>
            <w:pPr>
              <w:ind w:left="460"/>
              <w:spacing w:after="0" w:line="199" w:lineRule="exact"/>
              <w:rPr>
                <w:sz w:val="20"/>
                <w:szCs w:val="20"/>
                <w:color w:val="auto"/>
              </w:rPr>
            </w:pPr>
            <w:r>
              <w:rPr>
                <w:rFonts w:ascii="Times New Roman" w:cs="Times New Roman" w:eastAsia="Times New Roman" w:hAnsi="Times New Roman"/>
                <w:sz w:val="18"/>
                <w:szCs w:val="18"/>
                <w:color w:val="auto"/>
              </w:rPr>
              <w:t>Business Day), as the case may be, next preceding such Interest Payment Date [at the office or</w:t>
            </w:r>
          </w:p>
        </w:tc>
      </w:tr>
      <w:tr>
        <w:trPr>
          <w:trHeight w:val="194"/>
        </w:trPr>
        <w:tc>
          <w:tcPr>
            <w:tcW w:w="1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agency of the</w:t>
            </w:r>
          </w:p>
        </w:tc>
        <w:tc>
          <w:tcPr>
            <w:tcW w:w="9740" w:type="dxa"/>
            <w:vAlign w:val="bottom"/>
            <w:gridSpan w:val="6"/>
          </w:tcPr>
          <w:p>
            <w:pPr>
              <w:ind w:left="420"/>
              <w:spacing w:after="0" w:line="194" w:lineRule="exact"/>
              <w:rPr>
                <w:sz w:val="20"/>
                <w:szCs w:val="20"/>
                <w:color w:val="auto"/>
              </w:rPr>
            </w:pPr>
            <w:r>
              <w:rPr>
                <w:rFonts w:ascii="Times New Roman" w:cs="Times New Roman" w:eastAsia="Times New Roman" w:hAnsi="Times New Roman"/>
                <w:sz w:val="18"/>
                <w:szCs w:val="18"/>
                <w:color w:val="auto"/>
                <w:w w:val="99"/>
              </w:rPr>
              <w:t>Company maintained for such purpose; provided, however, that such interest may be paid, at the Company’s option, by mailing a</w:t>
            </w:r>
          </w:p>
        </w:tc>
      </w:tr>
      <w:tr>
        <w:trPr>
          <w:trHeight w:val="20"/>
        </w:trPr>
        <w:tc>
          <w:tcPr>
            <w:tcW w:w="1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020" w:hanging="5565"/>
        <w:spacing w:after="0" w:line="454" w:lineRule="auto"/>
        <w:rPr>
          <w:sz w:val="20"/>
          <w:szCs w:val="20"/>
          <w:color w:val="auto"/>
        </w:rPr>
      </w:pPr>
      <w:r>
        <w:rPr>
          <w:rFonts w:ascii="Times New Roman" w:cs="Times New Roman" w:eastAsia="Times New Roman" w:hAnsi="Times New Roman"/>
          <w:sz w:val="18"/>
          <w:szCs w:val="18"/>
          <w:color w:val="auto"/>
        </w:rPr>
        <w:t>check to such Holder at its registered address or by transfer of funds to an account maintained by such A-1</w:t>
      </w:r>
    </w:p>
    <w:p>
      <w:pPr>
        <w:sectPr>
          <w:pgSz w:w="11900" w:h="16838" w:orient="portrait"/>
          <w:cols w:equalWidth="0" w:num="1">
            <w:col w:w="11380"/>
          </w:cols>
          <w:pgMar w:left="240" w:top="270" w:right="279" w:bottom="1440" w:gutter="0" w:footer="0" w:header="0"/>
        </w:sectPr>
      </w:pPr>
    </w:p>
    <w:bookmarkStart w:id="107" w:name="page108"/>
    <w:bookmarkEnd w:id="107"/>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8" w:lineRule="exact"/>
        <w:rPr>
          <w:sz w:val="20"/>
          <w:szCs w:val="20"/>
          <w:color w:val="auto"/>
        </w:rPr>
      </w:pPr>
    </w:p>
    <w:p>
      <w:pPr>
        <w:ind w:right="280" w:firstLine="8"/>
        <w:spacing w:after="0" w:line="276" w:lineRule="auto"/>
        <w:tabs>
          <w:tab w:leader="none" w:pos="10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If the Security is not to bear interest prior to Maturity, insert</w:t>
      </w:r>
      <w:r>
        <w:rPr>
          <w:rFonts w:ascii="Times New Roman" w:cs="Times New Roman" w:eastAsia="Times New Roman" w:hAnsi="Times New Roman"/>
          <w:sz w:val="17"/>
          <w:szCs w:val="17"/>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w:t>
      </w:r>
    </w:p>
    <w:p>
      <w:pPr>
        <w:spacing w:after="0" w:line="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agency of the Company maintained for that purpose in , in such coin or currency of the United States of America as at the time of payment is legal tender for the payment of public and private debts.</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spacing w:after="0" w:line="252" w:lineRule="auto"/>
        <w:rPr>
          <w:sz w:val="20"/>
          <w:szCs w:val="20"/>
          <w:color w:val="auto"/>
        </w:rPr>
      </w:pPr>
      <w:r>
        <w:rPr>
          <w:rFonts w:ascii="Times New Roman" w:cs="Times New Roman" w:eastAsia="Times New Roman" w:hAnsi="Times New Roman"/>
          <w:sz w:val="18"/>
          <w:szCs w:val="18"/>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89" w:lineRule="exact"/>
        <w:rPr>
          <w:sz w:val="20"/>
          <w:szCs w:val="20"/>
          <w:color w:val="auto"/>
        </w:rPr>
      </w:pPr>
    </w:p>
    <w:p>
      <w:pPr>
        <w:ind w:right="280" w:firstLine="8"/>
        <w:spacing w:after="0" w:line="282" w:lineRule="auto"/>
        <w:tabs>
          <w:tab w:leader="none" w:pos="1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this Security is a Global Security, insert</w:t>
      </w:r>
      <w:r>
        <w:rPr>
          <w:rFonts w:ascii="Times New Roman" w:cs="Times New Roman" w:eastAsia="Times New Roman" w:hAnsi="Times New Roman"/>
          <w:sz w:val="18"/>
          <w:szCs w:val="18"/>
          <w:color w:val="auto"/>
        </w:rPr>
        <w:t xml:space="preserve"> — All payments of principal, premium or Make-Whole Amount, if any, and interest in respect of this Security will be made by the Company in immediately available funds.]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00"/>
          </w:cols>
          <w:pgMar w:left="240" w:top="270" w:right="2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under its facsimile corporate seal.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-7620</wp:posOffset>
            </wp:positionV>
            <wp:extent cx="571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292100</wp:posOffset>
            </wp:positionV>
            <wp:extent cx="2752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219"/>
          </w:cols>
          <w:pgMar w:left="240" w:top="270"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Indenture, dated as of , 201 (herein called the “Indenture”) between the Company and [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and the aggregate principal</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39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may not be redeemed prior to the Stated Maturity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If applicable, insert — The Securities are subject to redemption [ (l) (If applicable, insert — on</w:t>
            </w:r>
          </w:p>
        </w:tc>
        <w:tc>
          <w:tcPr>
            <w:tcW w:w="39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in any year commencing with the year</w:t>
            </w: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5"/>
            <w:shd w:val="clear" w:color="auto" w:fill="000000"/>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and ending with the year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60" w:type="dxa"/>
            <w:vAlign w:val="bottom"/>
            <w:gridSpan w:val="11"/>
          </w:tcPr>
          <w:p>
            <w:pPr>
              <w:ind w:left="200"/>
              <w:spacing w:after="0"/>
              <w:rPr>
                <w:sz w:val="20"/>
                <w:szCs w:val="20"/>
                <w:color w:val="auto"/>
              </w:rPr>
            </w:pPr>
            <w:r>
              <w:rPr>
                <w:rFonts w:ascii="Times New Roman" w:cs="Times New Roman" w:eastAsia="Times New Roman" w:hAnsi="Times New Roman"/>
                <w:sz w:val="18"/>
                <w:szCs w:val="18"/>
                <w:color w:val="auto"/>
              </w:rPr>
              <w:t>through operation of the sinking fund for this series at a Redemption Price equal to 100% of the principal</w:t>
            </w:r>
          </w:p>
        </w:tc>
      </w:tr>
      <w:tr>
        <w:trPr>
          <w:trHeight w:val="194"/>
        </w:trPr>
        <w:tc>
          <w:tcPr>
            <w:tcW w:w="504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auto"/>
              </w:rPr>
              <w:t>amount, and (2) ] [ If applicable, insert — at any time [on or after</w:t>
            </w:r>
          </w:p>
        </w:tc>
        <w:tc>
          <w:tcPr>
            <w:tcW w:w="6360" w:type="dxa"/>
            <w:vAlign w:val="bottom"/>
            <w:gridSpan w:val="10"/>
          </w:tcPr>
          <w:p>
            <w:pPr>
              <w:ind w:left="280"/>
              <w:spacing w:after="0" w:line="194" w:lineRule="exact"/>
              <w:rPr>
                <w:sz w:val="20"/>
                <w:szCs w:val="20"/>
                <w:color w:val="auto"/>
              </w:rPr>
            </w:pPr>
            <w:r>
              <w:rPr>
                <w:rFonts w:ascii="Times New Roman" w:cs="Times New Roman" w:eastAsia="Times New Roman" w:hAnsi="Times New Roman"/>
                <w:sz w:val="18"/>
                <w:szCs w:val="18"/>
                <w:color w:val="auto"/>
                <w:w w:val="99"/>
              </w:rPr>
              <w:t>], as a whole or in part, at the election of the Company, at the following Redemption</w:t>
            </w:r>
          </w:p>
        </w:tc>
      </w:tr>
      <w:tr>
        <w:trPr>
          <w:trHeight w:val="20"/>
        </w:trPr>
        <w:tc>
          <w:tcPr>
            <w:tcW w:w="1400" w:type="dxa"/>
            <w:vAlign w:val="bottom"/>
            <w:gridSpan w:val="5"/>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5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Prices (expressed as percentages of the principal amount):</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4"/>
        </w:trPr>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If redeemed on or before</w:t>
            </w:r>
          </w:p>
        </w:tc>
        <w:tc>
          <w:tcPr>
            <w:tcW w:w="86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 % and if redeemed during the 12-month period beginning of the years indicated at the Redemption Prices indicated</w:t>
            </w:r>
          </w:p>
        </w:tc>
      </w:tr>
      <w:tr>
        <w:trPr>
          <w:trHeight w:val="234"/>
        </w:trPr>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below.</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9"/>
        </w:trPr>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20" w:type="dxa"/>
            <w:vAlign w:val="bottom"/>
            <w:tcBorders>
              <w:bottom w:val="single" w:sz="8" w:color="auto"/>
            </w:tcBorders>
            <w:gridSpan w:val="3"/>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 Price</w:t>
            </w: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35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Redemption Price</w:t>
            </w:r>
          </w:p>
        </w:tc>
        <w:tc>
          <w:tcPr>
            <w:tcW w:w="440" w:type="dxa"/>
            <w:vAlign w:val="bottom"/>
          </w:tcPr>
          <w:p>
            <w:pPr>
              <w:spacing w:after="0"/>
              <w:rPr>
                <w:sz w:val="24"/>
                <w:szCs w:val="24"/>
                <w:color w:val="auto"/>
              </w:rPr>
            </w:pPr>
          </w:p>
        </w:tc>
      </w:tr>
      <w:tr>
        <w:trPr>
          <w:trHeight w:val="392"/>
        </w:trPr>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thereafter at a Redemption Price equal to</w:t>
            </w:r>
          </w:p>
        </w:tc>
        <w:tc>
          <w:tcPr>
            <w:tcW w:w="7960" w:type="dxa"/>
            <w:vAlign w:val="bottom"/>
            <w:gridSpan w:val="11"/>
          </w:tcPr>
          <w:p>
            <w:pPr>
              <w:ind w:left="400"/>
              <w:spacing w:after="0"/>
              <w:rPr>
                <w:sz w:val="20"/>
                <w:szCs w:val="20"/>
                <w:color w:val="auto"/>
              </w:rPr>
            </w:pPr>
            <w:r>
              <w:rPr>
                <w:rFonts w:ascii="Times New Roman" w:cs="Times New Roman" w:eastAsia="Times New Roman" w:hAnsi="Times New Roman"/>
                <w:sz w:val="18"/>
                <w:szCs w:val="18"/>
                <w:color w:val="auto"/>
                <w:w w:val="99"/>
              </w:rPr>
              <w:t>% of the principal amount, together in the case of any such redemption [ If applicable, insert — (whether</w:t>
            </w: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If applicable, insert — The Securities are subject to redemption (1) on</w:t>
            </w:r>
          </w:p>
        </w:tc>
        <w:tc>
          <w:tcPr>
            <w:tcW w:w="3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 any year commencing with the year</w:t>
            </w:r>
          </w:p>
        </w:tc>
        <w:tc>
          <w:tcPr>
            <w:tcW w:w="2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ending with the</w:t>
            </w:r>
          </w:p>
        </w:tc>
      </w:tr>
      <w:tr>
        <w:trPr>
          <w:trHeight w:val="20"/>
        </w:trPr>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r>
      <w:tr>
        <w:trPr>
          <w:trHeight w:val="21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4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through operation of the sinking fund for this series at the</w:t>
            </w:r>
          </w:p>
        </w:tc>
        <w:tc>
          <w:tcPr>
            <w:tcW w:w="56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Redemption Prices for redemption through operation of the sinking fund</w:t>
            </w:r>
          </w:p>
        </w:tc>
      </w:tr>
      <w:tr>
        <w:trPr>
          <w:trHeight w:val="234"/>
        </w:trPr>
        <w:tc>
          <w:tcPr>
            <w:tcW w:w="8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(expressed as percentages of the principal amount) set forth in the table below, and (2) at any time [on or after</w:t>
            </w:r>
          </w:p>
        </w:tc>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 as a whole or in part, at the election of</w:t>
            </w:r>
          </w:p>
        </w:tc>
      </w:tr>
    </w:tbl>
    <w:p>
      <w:pPr>
        <w:spacing w:after="0"/>
        <w:rPr>
          <w:sz w:val="20"/>
          <w:szCs w:val="20"/>
          <w:color w:val="auto"/>
        </w:rPr>
      </w:pPr>
      <w:r>
        <w:rPr>
          <w:rFonts w:ascii="Times New Roman" w:cs="Times New Roman" w:eastAsia="Times New Roman" w:hAnsi="Times New Roman"/>
          <w:sz w:val="18"/>
          <w:szCs w:val="18"/>
          <w:color w:val="auto"/>
        </w:rPr>
        <w:t>the Company, at the Redemption Prices for redemption otherwise than through operation of the sinking fund (expressed as percentages of the principal</w:t>
      </w:r>
    </w:p>
    <w:p>
      <w:pPr>
        <w:spacing w:after="0" w:line="200" w:lineRule="exact"/>
        <w:rPr>
          <w:sz w:val="20"/>
          <w:szCs w:val="20"/>
          <w:color w:val="auto"/>
        </w:rPr>
      </w:pPr>
    </w:p>
    <w:p>
      <w:pPr>
        <w:spacing w:after="0" w:line="205" w:lineRule="exact"/>
        <w:rPr>
          <w:sz w:val="20"/>
          <w:szCs w:val="20"/>
          <w:color w:val="auto"/>
        </w:rPr>
      </w:pPr>
    </w:p>
    <w:p>
      <w:pPr>
        <w:spacing w:after="0"/>
        <w:tabs>
          <w:tab w:leader="none" w:pos="7260" w:val="left"/>
        </w:tabs>
        <w:rPr>
          <w:sz w:val="20"/>
          <w:szCs w:val="20"/>
          <w:color w:val="auto"/>
        </w:rPr>
      </w:pPr>
      <w:r>
        <w:rPr>
          <w:rFonts w:ascii="Times New Roman" w:cs="Times New Roman" w:eastAsia="Times New Roman" w:hAnsi="Times New Roman"/>
          <w:sz w:val="18"/>
          <w:szCs w:val="18"/>
          <w:color w:val="auto"/>
        </w:rPr>
        <w:t>amount) set forth in the table below: If redeemed during the 12-month period beginning</w:t>
      </w:r>
      <w:r>
        <w:rPr>
          <w:sz w:val="20"/>
          <w:szCs w:val="20"/>
          <w:color w:val="auto"/>
        </w:rPr>
        <w:tab/>
      </w:r>
      <w:r>
        <w:rPr>
          <w:rFonts w:ascii="Times New Roman" w:cs="Times New Roman" w:eastAsia="Times New Roman" w:hAnsi="Times New Roman"/>
          <w:sz w:val="17"/>
          <w:szCs w:val="17"/>
          <w:color w:val="auto"/>
        </w:rPr>
        <w:t>of the years indicated,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0"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440" w:type="dxa"/>
            <w:vAlign w:val="bottom"/>
            <w:gridSpan w:val="2"/>
            <w:vMerge w:val="restart"/>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Redemption Price for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Price for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Redemption Otherwise Than</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80" w:type="dxa"/>
            <w:vAlign w:val="bottom"/>
          </w:tcPr>
          <w:p>
            <w:pPr>
              <w:spacing w:after="0"/>
              <w:rPr>
                <w:sz w:val="12"/>
                <w:szCs w:val="12"/>
                <w:color w:val="auto"/>
              </w:rPr>
            </w:pPr>
          </w:p>
        </w:tc>
        <w:tc>
          <w:tcPr>
            <w:tcW w:w="3440" w:type="dxa"/>
            <w:vAlign w:val="bottom"/>
            <w:gridSpan w:val="2"/>
          </w:tcPr>
          <w:p>
            <w:pPr>
              <w:jc w:val="center"/>
              <w:ind w:right="1560"/>
              <w:spacing w:after="0" w:line="149" w:lineRule="exact"/>
              <w:rPr>
                <w:sz w:val="20"/>
                <w:szCs w:val="20"/>
                <w:color w:val="auto"/>
              </w:rPr>
            </w:pPr>
            <w:r>
              <w:rPr>
                <w:rFonts w:ascii="Times New Roman" w:cs="Times New Roman" w:eastAsia="Times New Roman" w:hAnsi="Times New Roman"/>
                <w:sz w:val="14"/>
                <w:szCs w:val="14"/>
                <w:b w:val="1"/>
                <w:bCs w:val="1"/>
                <w:color w:val="auto"/>
              </w:rPr>
              <w:t>Redemption Through</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Operation of the</w:t>
            </w:r>
          </w:p>
        </w:tc>
        <w:tc>
          <w:tcPr>
            <w:tcW w:w="0" w:type="dxa"/>
            <w:vAlign w:val="bottom"/>
          </w:tcPr>
          <w:p>
            <w:pPr>
              <w:spacing w:after="0"/>
              <w:rPr>
                <w:sz w:val="1"/>
                <w:szCs w:val="1"/>
                <w:color w:val="auto"/>
              </w:rPr>
            </w:pPr>
          </w:p>
        </w:tc>
      </w:tr>
      <w:tr>
        <w:trPr>
          <w:trHeight w:val="160"/>
        </w:trPr>
        <w:tc>
          <w:tcPr>
            <w:tcW w:w="320" w:type="dxa"/>
            <w:vAlign w:val="bottom"/>
            <w:vMerge w:val="continue"/>
          </w:tcPr>
          <w:p>
            <w:pPr>
              <w:spacing w:after="0"/>
              <w:rPr>
                <w:sz w:val="13"/>
                <w:szCs w:val="13"/>
                <w:color w:val="auto"/>
              </w:rPr>
            </w:pPr>
          </w:p>
        </w:tc>
        <w:tc>
          <w:tcPr>
            <w:tcW w:w="5880" w:type="dxa"/>
            <w:vAlign w:val="bottom"/>
          </w:tcPr>
          <w:p>
            <w:pPr>
              <w:spacing w:after="0"/>
              <w:rPr>
                <w:sz w:val="13"/>
                <w:szCs w:val="13"/>
                <w:color w:val="auto"/>
              </w:rPr>
            </w:pPr>
          </w:p>
        </w:tc>
        <w:tc>
          <w:tcPr>
            <w:tcW w:w="3440" w:type="dxa"/>
            <w:vAlign w:val="bottom"/>
            <w:gridSpan w:val="2"/>
          </w:tcPr>
          <w:p>
            <w:pPr>
              <w:jc w:val="center"/>
              <w:ind w:right="1560"/>
              <w:spacing w:after="0" w:line="160" w:lineRule="exact"/>
              <w:rPr>
                <w:sz w:val="20"/>
                <w:szCs w:val="20"/>
                <w:color w:val="auto"/>
              </w:rPr>
            </w:pPr>
            <w:r>
              <w:rPr>
                <w:rFonts w:ascii="Times New Roman" w:cs="Times New Roman" w:eastAsia="Times New Roman" w:hAnsi="Times New Roman"/>
                <w:sz w:val="14"/>
                <w:szCs w:val="14"/>
                <w:b w:val="1"/>
                <w:bCs w:val="1"/>
                <w:color w:val="auto"/>
              </w:rPr>
              <w:t>Operation of the Sinking Fund</w:t>
            </w:r>
          </w:p>
        </w:tc>
        <w:tc>
          <w:tcPr>
            <w:tcW w:w="1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Sinking Fund</w:t>
            </w:r>
          </w:p>
        </w:tc>
        <w:tc>
          <w:tcPr>
            <w:tcW w:w="0" w:type="dxa"/>
            <w:vAlign w:val="bottom"/>
          </w:tcPr>
          <w:p>
            <w:pPr>
              <w:spacing w:after="0"/>
              <w:rPr>
                <w:sz w:val="1"/>
                <w:szCs w:val="1"/>
                <w:color w:val="auto"/>
              </w:rPr>
            </w:pPr>
          </w:p>
        </w:tc>
      </w:tr>
      <w:tr>
        <w:trPr>
          <w:trHeight w:val="27"/>
        </w:trPr>
        <w:tc>
          <w:tcPr>
            <w:tcW w:w="320" w:type="dxa"/>
            <w:vAlign w:val="bottom"/>
            <w:shd w:val="clear" w:color="auto" w:fill="000000"/>
          </w:tcPr>
          <w:p>
            <w:pPr>
              <w:spacing w:after="0"/>
              <w:rPr>
                <w:sz w:val="2"/>
                <w:szCs w:val="2"/>
                <w:color w:val="auto"/>
              </w:rPr>
            </w:pPr>
          </w:p>
        </w:tc>
        <w:tc>
          <w:tcPr>
            <w:tcW w:w="588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spacing w:after="0"/>
        <w:tabs>
          <w:tab w:leader="none" w:pos="722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Notwithstanding the foregoing, the Company may not, prior to</w:t>
      </w:r>
      <w:r>
        <w:rPr>
          <w:sz w:val="20"/>
          <w:szCs w:val="20"/>
          <w:color w:val="auto"/>
        </w:rPr>
        <w:tab/>
      </w:r>
      <w:r>
        <w:rPr>
          <w:rFonts w:ascii="Times New Roman" w:cs="Times New Roman" w:eastAsia="Times New Roman" w:hAnsi="Times New Roman"/>
          <w:sz w:val="18"/>
          <w:szCs w:val="18"/>
          <w:color w:val="auto"/>
        </w:rPr>
        <w:t>, redeem any Securities as contemplated by [Clause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preceding paragraph as a part of, or in anticipation of, any refunding operation by the application, directly or indirectly, of moneys borrowed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having an interest cost to the Company (calculated in accordance with generally accepted financial practice) of less than</w:t>
            </w:r>
          </w:p>
        </w:tc>
        <w:tc>
          <w:tcPr>
            <w:tcW w:w="1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per annum.]</w:t>
            </w:r>
          </w:p>
        </w:tc>
        <w:tc>
          <w:tcPr>
            <w:tcW w:w="460" w:type="dxa"/>
            <w:vAlign w:val="bottom"/>
          </w:tcPr>
          <w:p>
            <w:pPr>
              <w:spacing w:after="0"/>
              <w:rPr>
                <w:sz w:val="20"/>
                <w:szCs w:val="20"/>
                <w:color w:val="auto"/>
              </w:rPr>
            </w:pPr>
          </w:p>
        </w:tc>
      </w:tr>
      <w:tr>
        <w:trPr>
          <w:trHeight w:val="373"/>
        </w:trPr>
        <w:tc>
          <w:tcPr>
            <w:tcW w:w="6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If applicable, insert — The sinking fund for the Securities provides for the redemption on</w:t>
            </w:r>
          </w:p>
        </w:tc>
        <w:tc>
          <w:tcPr>
            <w:tcW w:w="3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 each year, beginning with the year</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w:t>
            </w:r>
          </w:p>
        </w:tc>
      </w:tr>
      <w:tr>
        <w:trPr>
          <w:trHeight w:val="20"/>
        </w:trPr>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23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with the year</w:t>
            </w:r>
          </w:p>
        </w:tc>
        <w:tc>
          <w:tcPr>
            <w:tcW w:w="25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of [not less than] $</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[(“mandatory sinking fund”) and not more than $</w:t>
            </w:r>
          </w:p>
        </w:tc>
        <w:tc>
          <w:tcPr>
            <w:tcW w:w="1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9"/>
              </w:rPr>
              <w:t>] aggregate principal</w:t>
            </w:r>
          </w:p>
        </w:tc>
      </w:tr>
    </w:tbl>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amount of the Securities. [The Securities acquired or redeemed by the Company otherwise than through [mandatory] sinking fund payments may be credited against subsequent [mandatory] sinking fund payments otherwise required to be made in the [ </w:t>
      </w:r>
      <w:r>
        <w:rPr>
          <w:rFonts w:ascii="Times New Roman" w:cs="Times New Roman" w:eastAsia="Times New Roman" w:hAnsi="Times New Roman"/>
          <w:sz w:val="18"/>
          <w:szCs w:val="18"/>
          <w:u w:val="single" w:color="auto"/>
          <w:color w:val="auto"/>
        </w:rPr>
        <w:t>describe order</w:t>
      </w:r>
      <w:r>
        <w:rPr>
          <w:rFonts w:ascii="Times New Roman" w:cs="Times New Roman" w:eastAsia="Times New Roman" w:hAnsi="Times New Roman"/>
          <w:sz w:val="18"/>
          <w:szCs w:val="18"/>
          <w:color w:val="auto"/>
        </w:rPr>
        <w:t xml:space="preserve"> ] order in which they become due.]]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Notice of redemption will be given by mail to Holders of Securities, not less than 30 nor more than 60 days prior to the Redemption Date, all as provided in the Indenture.</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51" w:right="239" w:bottom="1440" w:gutter="0" w:footer="0" w:header="0"/>
        </w:sectPr>
      </w:pPr>
    </w:p>
    <w:bookmarkStart w:id="111" w:name="page112"/>
    <w:bookmarkEnd w:id="11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8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76" w:lineRule="exact"/>
        <w:rPr>
          <w:sz w:val="20"/>
          <w:szCs w:val="20"/>
          <w:color w:val="auto"/>
        </w:rPr>
      </w:pPr>
    </w:p>
    <w:p>
      <w:pPr>
        <w:spacing w:after="0"/>
        <w:tabs>
          <w:tab w:leader="none" w:pos="8320" w:val="left"/>
        </w:tabs>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w:t>
      </w:r>
      <w:r>
        <w:rPr>
          <w:sz w:val="20"/>
          <w:szCs w:val="20"/>
          <w:color w:val="auto"/>
        </w:rPr>
        <w:tab/>
      </w:r>
      <w:r>
        <w:rPr>
          <w:rFonts w:ascii="Times New Roman" w:cs="Times New Roman" w:eastAsia="Times New Roman" w:hAnsi="Times New Roman"/>
          <w:sz w:val="17"/>
          <w:szCs w:val="17"/>
          <w:color w:val="auto"/>
        </w:rPr>
        <w:t>and any integral multiple thereof.</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FORMS OF CERTIFICATION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B-1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CERTIFICATE TO BE GIVEN BY PERSON ENTITLED TO RECEIVE BEARER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SECURITY OR TO OBTAIN INTEREST PAYABLE PRIOR TO THE EXCHANGE DATE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117"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spacing w:after="0" w:line="2" w:lineRule="exact"/>
        <w:rPr>
          <w:sz w:val="20"/>
          <w:szCs w:val="20"/>
          <w:color w:val="auto"/>
        </w:rPr>
      </w:pPr>
    </w:p>
    <w:p>
      <w:pPr>
        <w:ind w:right="60" w:firstLine="8"/>
        <w:spacing w:after="0" w:line="251" w:lineRule="auto"/>
        <w:tabs>
          <w:tab w:leader="none" w:pos="24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branches of United States financial institutions (financial institutions, as defined in United States Treasury Regulations 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NN,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-7620</wp:posOffset>
            </wp:positionV>
            <wp:extent cx="6858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9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 be dated no earlier than the 15th day prior to (i) the Exchange Date or (ii) the relevant Interest Payment Date occurring prior to the Exchange Date, as applicable]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380"/>
          </w:cols>
          <w:pgMar w:left="240" w:top="270" w:right="279" w:bottom="1440" w:gutter="0" w:footer="0" w:header="0"/>
        </w:sectPr>
      </w:pPr>
    </w:p>
    <w:bookmarkStart w:id="113" w:name="page114"/>
    <w:bookmarkEnd w:id="113"/>
    <w:p>
      <w:pPr>
        <w:jc w:val="right"/>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292100</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B-1-2</w:t>
      </w:r>
    </w:p>
    <w:p>
      <w:pPr>
        <w:sectPr>
          <w:pgSz w:w="11900" w:h="16838" w:orient="portrait"/>
          <w:cols w:equalWidth="0" w:num="1">
            <w:col w:w="9019"/>
          </w:cols>
          <w:pgMar w:left="1440" w:top="270" w:right="144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ind w:left="260" w:right="2220"/>
        <w:spacing w:after="0" w:line="289" w:lineRule="auto"/>
        <w:rPr>
          <w:sz w:val="20"/>
          <w:szCs w:val="20"/>
          <w:color w:val="auto"/>
        </w:rPr>
      </w:pPr>
      <w:r>
        <w:rPr>
          <w:rFonts w:ascii="Times New Roman" w:cs="Times New Roman" w:eastAsia="Times New Roman" w:hAnsi="Times New Roman"/>
          <w:sz w:val="17"/>
          <w:szCs w:val="17"/>
          <w:color w:val="auto"/>
        </w:rPr>
        <w:t>FORM OF CERTIFICATE TO BE GIVEN BY EUROCLEAR AND CLEARSTREAM S.A. IN CONNECTION WITH THE EXCHANGE OF A PORTION OF A TEMPORARY GLOBAL SECURITY OR TO OBTAIN INTEREST PAYABLE PRIOR TO THE EXCHANGE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NN,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w:t>
      </w:r>
    </w:p>
    <w:p>
      <w:pPr>
        <w:spacing w:after="0" w:line="2" w:lineRule="exact"/>
        <w:rPr>
          <w:sz w:val="20"/>
          <w:szCs w:val="20"/>
          <w:color w:val="auto"/>
        </w:rPr>
      </w:pPr>
    </w:p>
    <w:p>
      <w:pPr>
        <w:ind w:right="160" w:firstLine="8"/>
        <w:spacing w:after="0" w:line="261" w:lineRule="auto"/>
        <w:tabs>
          <w:tab w:leader="none" w:pos="2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have certified that they have not acquired the Securities for purposes of resale directly or indirectly to a United States person or to a person within the United States or its possessions.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-7620</wp:posOffset>
            </wp:positionV>
            <wp:extent cx="571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dated no earlier than the Exchange Date or the relevant Interest Payment Date occurring prior to the Exchange Date,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Guaranty Trust Company of New York, Brussels Office, as Operator of the Euroclear System Clearstream Banking Luxembourg]</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400"/>
          </w:cols>
          <w:pgMar w:left="240" w:top="270" w:right="259" w:bottom="1440" w:gutter="0" w:footer="0" w:header="0"/>
        </w:sectPr>
      </w:pPr>
    </w:p>
    <w:bookmarkStart w:id="115" w:name="page116"/>
    <w:bookmarkEnd w:id="115"/>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B-2-2</w:t>
      </w:r>
    </w:p>
    <w:p>
      <w:pPr>
        <w:sectPr>
          <w:pgSz w:w="11900" w:h="16838" w:orient="portrait"/>
          <w:cols w:equalWidth="0" w:num="1">
            <w:col w:w="9019"/>
          </w:cols>
          <w:pgMar w:left="1440" w:top="486"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ind w:left="4780" w:hanging="596"/>
        <w:spacing w:after="0"/>
        <w:tabs>
          <w:tab w:leader="none" w:pos="47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460"/>
        <w:spacing w:after="0"/>
        <w:tabs>
          <w:tab w:leader="none" w:pos="5200" w:val="left"/>
        </w:tabs>
        <w:rPr>
          <w:sz w:val="20"/>
          <w:szCs w:val="20"/>
          <w:color w:val="auto"/>
        </w:rPr>
      </w:pPr>
      <w:r>
        <w:rPr>
          <w:rFonts w:ascii="Times New Roman" w:cs="Times New Roman" w:eastAsia="Times New Roman" w:hAnsi="Times New Roman"/>
          <w:sz w:val="18"/>
          <w:szCs w:val="18"/>
          <w:color w:val="auto"/>
        </w:rPr>
        <w:t>Dated as of</w:t>
      </w:r>
      <w:r>
        <w:rPr>
          <w:sz w:val="20"/>
          <w:szCs w:val="20"/>
          <w:color w:val="auto"/>
        </w:rPr>
        <w:tab/>
      </w:r>
      <w:r>
        <w:rPr>
          <w:rFonts w:ascii="Times New Roman" w:cs="Times New Roman" w:eastAsia="Times New Roman" w:hAnsi="Times New Roman"/>
          <w:sz w:val="17"/>
          <w:szCs w:val="17"/>
          <w:color w:val="auto"/>
        </w:rPr>
        <w:t>, 201</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Subordinated Debt Securities</w:t>
      </w:r>
    </w:p>
    <w:p>
      <w:pPr>
        <w:sectPr>
          <w:pgSz w:w="11900" w:h="16838" w:orient="portrait"/>
          <w:cols w:equalWidth="0" w:num="1">
            <w:col w:w="10220"/>
          </w:cols>
          <w:pgMar w:left="1440" w:top="117" w:right="239" w:bottom="1440" w:gutter="0" w:footer="0" w:header="0"/>
        </w:sectPr>
      </w:pPr>
    </w:p>
    <w:bookmarkStart w:id="117" w:name="page118"/>
    <w:bookmarkEnd w:id="117"/>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ONE—DEFINITIONS AND OTHER PROVISIONS OF GENERAL APPLICATION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1060" w:type="dxa"/>
            <w:vAlign w:val="bottom"/>
            <w:gridSpan w:val="2"/>
            <w:vMerge w:val="continue"/>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Acts of 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 etc., to Trustee and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to Holders; Waiver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Counterparts; Effect of Headings and Table of Contents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Severability Clause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Benefits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Governing Law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Legal Holidays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Limited Liability; Immunity of Stockholders, Directors, Officers and Agents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TWO—SECURITIES FORMS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Forms of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Issuable in Global Form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THREE—THE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Denominations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Temporary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Registration of Transfer, Conversion and Exchange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Persons Deemed Owners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Cancellation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Computation of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CUSIP Numbers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4"/>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FOUR—SATISFACTION AND DISCHARGE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Application of Trust Funds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4"/>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FIVE—REMEDIES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Events of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 or Coupons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Limitation on Suits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or Make-Whole Amount, if any, and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9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Control by Holders of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Past Defaults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Usury, Stay or Extension Laws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Undertaking for Costs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0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SIX—THE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Defaults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Hold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Money Held in Trust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Trustee Required; Eligibility; Conflicting Interests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Duties and Responsibilities of the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4"/>
        </w:trPr>
        <w:tc>
          <w:tcPr>
            <w:tcW w:w="10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SEVEN—HOLDERS’ LISTS AND REPORTS BY TRUSTEE AND COMPANY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Disclosure of Names and Addresses of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Company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14"/>
        </w:trPr>
        <w:tc>
          <w:tcPr>
            <w:tcW w:w="10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EIGHT—CONSOLIDATION, MERGER, SALE, LEASE OR CONVEYANCE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Consolidations and Mergers of Company and Sales, Leases and Conveyances Permitted Subject to Certain Conditions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and Duties of Successor Corporation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 Certificate and Opinion of Counsel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10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NINE—SUPPLEMENTAL INDENTURES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10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TEN—COVENANTS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Principal, Premium or Make-Whole Amount, if any; and Interest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Existence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1005.</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1006.</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1007.</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Taxes and Other Claims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1008.</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Statement as to Compliance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1009.</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Certain 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10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ELEVEN—REDEMPTION OF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Selection by Trustee of Securities to Be Redeemed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9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Redemption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ectPr>
          <w:pgSz w:w="11900" w:h="16838" w:orient="portrait"/>
          <w:cols w:equalWidth="0" w:num="1">
            <w:col w:w="11360"/>
          </w:cols>
          <w:pgMar w:left="240" w:top="270" w:right="299" w:bottom="144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1106.</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Payable on Redemption Date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1107.</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TWELVE—SINKING FUNDS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1202.</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1203.</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THIRTEEN—REPAYMENT AT THE OPTION OF HOLDERS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 of Option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When Securities Presented for Repayment Become Due and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Repaid in Part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FOURTEEN—DEFEASANCE AND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1401.</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Applicability of Article; Company’s Option to Effect Defeasance or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1402.</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Defeasance and Discharge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1403.</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1404.</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1405.</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Deposited Money and Government Obligations to Be Held in Trust; Other Miscellaneous Provisions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FIFTEEN—MEETINGS OF HOLDERS OF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1501.</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1502.</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Call, Notice and Place of Meetings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1503.</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1504.</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Quorum; Action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1505.</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1506.</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SIXTEEN—SUBORDINATION OF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1601.</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to Subordinate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1602.</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Over of Proceeds upon Dissolution, Etc</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1603.</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Payment When Senior Indebtedness in Default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1604.</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Reliance by Senior Indebtedness on Subordination Provisions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1605.</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Subrogation to Rights of Holders of Senior Indebtedness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1606.</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Provisions Solely to Define Relative Rights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1607.</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to Effectuate Subordination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1608.</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Waiver of Subordination Provisions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1609.</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to Trustee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1610.</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Reliance on Judicial Order or Certificate of Liquidating Agent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1611.</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Not Fiduciary for Holders of Senior Indebtedness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1612.</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of Trustee as Holder of Senior Indebtedness; Preservation of Trustee’s Rights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1613.</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Article Applicable to Paying Agents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1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SEVENTEEN—CONVERSION OF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1701.</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Applicability of Article; Conversion Privilege and Conversion Price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1702.</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 of Conversion Privilege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1703.</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Fractions of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1704.</w:t>
            </w:r>
          </w:p>
        </w:tc>
        <w:tc>
          <w:tcPr>
            <w:tcW w:w="8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Adjustment of Conversion Price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ectPr>
          <w:pgSz w:w="11900" w:h="16838" w:orient="portrait"/>
          <w:cols w:equalWidth="0" w:num="1">
            <w:col w:w="11360"/>
          </w:cols>
          <w:pgMar w:left="240" w:top="270" w:right="299" w:bottom="1440" w:gutter="0" w:footer="0" w:header="0"/>
        </w:sectPr>
      </w:pPr>
    </w:p>
    <w:bookmarkStart w:id="120" w:name="page121"/>
    <w:bookmarkEnd w:id="1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1705.</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Adjustments of Conversion Price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1706.</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Certain Corporate Action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1707.</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 to Reserve Common Stock</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1708.</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 on Conversion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1709.</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Covenants as to Common Stock</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1710.</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Cancellation of Converted Securities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1711.</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Provisions in Case of Consolidation, Merger or Sale of Assets; Special Distributions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1712.</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Trustee Adjustment Disclaimer; Company Determination Final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1713.</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When No Adjustment Required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1714.</w:t>
            </w:r>
          </w:p>
        </w:tc>
        <w:tc>
          <w:tcPr>
            <w:tcW w:w="7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Equivalent Adjustments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ectPr>
          <w:pgSz w:w="11900" w:h="16838" w:orient="portrait"/>
          <w:cols w:equalWidth="0" w:num="1">
            <w:col w:w="11000"/>
          </w:cols>
          <w:pgMar w:left="600" w:top="270" w:right="2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and tie between the Trust Indenture Act of 1939, as amended (the “Trust Indenture Act” or “TIA”) and the Indenture, dated as of , 201 .</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4320" w:type="dxa"/>
            <w:vAlign w:val="bottom"/>
          </w:tcPr>
          <w:p>
            <w:pPr>
              <w:spacing w:after="0"/>
              <w:rPr>
                <w:sz w:val="16"/>
                <w:szCs w:val="16"/>
                <w:color w:val="auto"/>
              </w:rPr>
            </w:pPr>
          </w:p>
        </w:tc>
        <w:tc>
          <w:tcPr>
            <w:tcW w:w="53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185"/>
        </w:trPr>
        <w:tc>
          <w:tcPr>
            <w:tcW w:w="17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 310(a)(1)</w:t>
            </w:r>
          </w:p>
        </w:tc>
        <w:tc>
          <w:tcPr>
            <w:tcW w:w="4320" w:type="dxa"/>
            <w:vAlign w:val="bottom"/>
          </w:tcPr>
          <w:p>
            <w:pPr>
              <w:spacing w:after="0"/>
              <w:rPr>
                <w:sz w:val="16"/>
                <w:szCs w:val="16"/>
                <w:color w:val="auto"/>
              </w:rPr>
            </w:pPr>
          </w:p>
        </w:tc>
        <w:tc>
          <w:tcPr>
            <w:tcW w:w="5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607</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607, 608</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312(c)</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313(a)</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314(a)</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315(b)</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316(a) (last sentence)</w:t>
            </w:r>
          </w:p>
        </w:tc>
        <w:tc>
          <w:tcPr>
            <w:tcW w:w="43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101(“Outstanding”)</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502, 512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317(a)(1)</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 318(a)</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68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ectPr>
          <w:pgSz w:w="11900" w:h="16838" w:orient="portrait"/>
          <w:cols w:equalWidth="0" w:num="1">
            <w:col w:w="11420"/>
          </w:cols>
          <w:pgMar w:left="240" w:top="270" w:right="239" w:bottom="1440" w:gutter="0" w:footer="0" w:header="0"/>
        </w:sectPr>
      </w:pPr>
    </w:p>
    <w:bookmarkStart w:id="122" w:name="page123"/>
    <w:bookmarkEnd w:id="122"/>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is dated as of , 201 , between NN, INC., a corporation organized under the laws of the State of Massachusetts (hereinafter called the “Company”), having its principal office at 2000 Waters Edge Drive, Johnson City, Tennessee 37604, and [ ], as Trustee hereunder (hereinafter called the “Trustee”), having a Corporate Trust Office at [ ].</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 provide for the issuance from time to time of the Securities, to be issued in one or more Series as provided in this Indenture.</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things necessary to make this Indenture a valid and legally binding agreement of the Company, in accordance with its terms, have been done.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ONE—DEFINITIONS AND OTHER PROVISIONS OF GENERAL APPLICATION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 requires:</w:t>
      </w:r>
    </w:p>
    <w:p>
      <w:pPr>
        <w:spacing w:after="0" w:line="117" w:lineRule="exact"/>
        <w:rPr>
          <w:sz w:val="20"/>
          <w:szCs w:val="20"/>
          <w:color w:val="auto"/>
        </w:rPr>
      </w:pPr>
    </w:p>
    <w:p>
      <w:pPr>
        <w:ind w:left="260" w:hanging="252"/>
        <w:spacing w:after="0"/>
        <w:tabs>
          <w:tab w:leader="none" w:pos="2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117" w:lineRule="exact"/>
        <w:rPr>
          <w:rFonts w:ascii="Times New Roman" w:cs="Times New Roman" w:eastAsia="Times New Roman" w:hAnsi="Times New Roman"/>
          <w:sz w:val="18"/>
          <w:szCs w:val="18"/>
          <w:color w:val="auto"/>
        </w:rPr>
      </w:pPr>
    </w:p>
    <w:p>
      <w:pPr>
        <w:ind w:right="20" w:firstLine="8"/>
        <w:spacing w:after="0" w:line="266" w:lineRule="auto"/>
        <w:tabs>
          <w:tab w:leader="none" w:pos="2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“Article” or a “Section” refers to an Article or Section, as the case may be, of this Indenture; and</w:t>
      </w:r>
    </w:p>
    <w:p>
      <w:pPr>
        <w:spacing w:after="0" w:line="117" w:lineRule="exact"/>
        <w:rPr>
          <w:rFonts w:ascii="Times New Roman" w:cs="Times New Roman" w:eastAsia="Times New Roman" w:hAnsi="Times New Roman"/>
          <w:sz w:val="18"/>
          <w:szCs w:val="18"/>
          <w:color w:val="auto"/>
        </w:rPr>
      </w:pPr>
    </w:p>
    <w:p>
      <w:pPr>
        <w:ind w:right="540" w:firstLine="8"/>
        <w:spacing w:after="0" w:line="282" w:lineRule="auto"/>
        <w:tabs>
          <w:tab w:leader="none" w:pos="2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means any Person authorized by the Trustee pursuant to Section 611 hereof to act on behalf of the Trustee to authenticate Securities of one or more Series.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270" w:right="279" w:bottom="1440" w:gutter="0" w:footer="0" w:header="0"/>
        </w:sectPr>
      </w:pPr>
    </w:p>
    <w:bookmarkStart w:id="123" w:name="page124"/>
    <w:bookmarkEnd w:id="12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Authorized Newspaper</w:t>
      </w:r>
      <w:r>
        <w:rPr>
          <w:rFonts w:ascii="Times New Roman" w:cs="Times New Roman" w:eastAsia="Times New Roman" w:hAnsi="Times New Roman"/>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Bearer Security</w:t>
      </w:r>
      <w:r>
        <w:rPr>
          <w:rFonts w:ascii="Times New Roman" w:cs="Times New Roman" w:eastAsia="Times New Roman" w:hAnsi="Times New Roman"/>
          <w:sz w:val="18"/>
          <w:szCs w:val="18"/>
          <w:color w:val="auto"/>
        </w:rPr>
        <w:t>” means any Security established pursuant to Section 201 which is payable to the bearer.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Luxembourg, société anonyme, or its successor.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closing price of a share of Common Stock of the Company as reported on the NASDAQ Global Select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thereunder.</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Depository</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has the meaning specified in Section 1711.</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has the meaning specified in Section 1701.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w:t>
      </w:r>
    </w:p>
    <w:p>
      <w:pPr>
        <w:spacing w:after="0" w:line="27"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18"/>
          <w:szCs w:val="18"/>
          <w:color w:val="auto"/>
        </w:rPr>
        <w:t>office at the date hereof is located at [</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coupon</w:t>
      </w:r>
      <w:r>
        <w:rPr>
          <w:rFonts w:ascii="Times New Roman" w:cs="Times New Roman" w:eastAsia="Times New Roman" w:hAnsi="Times New Roman"/>
          <w:sz w:val="18"/>
          <w:szCs w:val="18"/>
          <w:color w:val="auto"/>
        </w:rPr>
        <w:t>” means any interest coupon appertaining to a Bearer 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specified in Section 1403.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has the meaning specified in Section 1402.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has the meaning specified in Section 1711.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of payment is legal tender for the payment of public and private debts.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ECU</w:t>
      </w:r>
      <w:r>
        <w:rPr>
          <w:rFonts w:ascii="Times New Roman" w:cs="Times New Roman" w:eastAsia="Times New Roman" w:hAnsi="Times New Roman"/>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Morgan Guaranty Trust Company of New York, Brussels office, or its successor, as operator of the Euroclear System.</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Communities</w:t>
      </w:r>
      <w:r>
        <w:rPr>
          <w:rFonts w:ascii="Times New Roman" w:cs="Times New Roman" w:eastAsia="Times New Roman" w:hAnsi="Times New Roman"/>
          <w:sz w:val="18"/>
          <w:szCs w:val="18"/>
          <w:color w:val="auto"/>
        </w:rPr>
        <w:t>” means the European Economic Community, the European Coal and Steel Community and the European Atomic Energy Community.</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Monetary System</w:t>
      </w:r>
      <w:r>
        <w:rPr>
          <w:rFonts w:ascii="Times New Roman" w:cs="Times New Roman" w:eastAsia="Times New Roman" w:hAnsi="Times New Roman"/>
          <w:sz w:val="18"/>
          <w:szCs w:val="18"/>
          <w:color w:val="auto"/>
        </w:rPr>
        <w:t>” means the European Monetary System established by the Resolution of December 5, 1978 of the Council of the European Communities.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Article Five.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Securities Exchange Act of 1934, as amended, as in force at the date as of which this Indenture was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Exchange Act is amended after such date, “Exchange Act” means to the extent required by any such amendment, the Exchange Act as so amended.</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270"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except as otherwise provided herein, generally accepted accounting principles, as in effect from time to time, as used in the United States applied on a consistent basis.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Obligations</w:t>
      </w:r>
      <w:r>
        <w:rPr>
          <w:rFonts w:ascii="Times New Roman" w:cs="Times New Roman" w:eastAsia="Times New Roman" w:hAnsi="Times New Roman"/>
          <w:sz w:val="18"/>
          <w:szCs w:val="18"/>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Guaranty by any Person shall not include endorsements by such Person for collection or deposit, in either case in the ordinary course of business. The terms “</w:t>
      </w:r>
      <w:r>
        <w:rPr>
          <w:rFonts w:ascii="Times New Roman" w:cs="Times New Roman" w:eastAsia="Times New Roman" w:hAnsi="Times New Roman"/>
          <w:sz w:val="18"/>
          <w:szCs w:val="18"/>
          <w:u w:val="single" w:color="auto"/>
          <w:color w:val="auto"/>
        </w:rPr>
        <w:t>Guaranteed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Guaranteeing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have meanings correlative to the foregoing.</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(i) any Obligation of such Person relating to any indebtedness of such Person (A) 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126" w:name="page127"/>
    <w:bookmarkEnd w:id="12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shall mean interest payable after Maturity.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of the Distribution</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w:t>
      </w:r>
      <w:r>
        <w:rPr>
          <w:rFonts w:ascii="Times New Roman" w:cs="Times New Roman" w:eastAsia="Times New Roman" w:hAnsi="Times New Roman"/>
          <w:sz w:val="17"/>
          <w:szCs w:val="17"/>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5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or who may be an employee of or other counsel for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has the meaning specified in Section 1201.</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127" w:name="page128"/>
    <w:bookmarkEnd w:id="127"/>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Indenture,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117" w:lineRule="exact"/>
        <w:rPr>
          <w:rFonts w:ascii="Times New Roman" w:cs="Times New Roman" w:eastAsia="Times New Roman" w:hAnsi="Times New Roman"/>
          <w:sz w:val="18"/>
          <w:szCs w:val="18"/>
          <w:color w:val="auto"/>
        </w:rPr>
      </w:pPr>
    </w:p>
    <w:p>
      <w:pPr>
        <w:ind w:right="40" w:firstLine="8"/>
        <w:spacing w:after="0" w:line="258" w:lineRule="auto"/>
        <w:tabs>
          <w:tab w:leader="none" w:pos="2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Securities are to be redeemed, notice of such redemption has been duly given pursuant to this Indenture or provision therefor satisfactory to the Trustee has been made;</w:t>
      </w:r>
    </w:p>
    <w:p>
      <w:pPr>
        <w:spacing w:after="0" w:line="75" w:lineRule="exact"/>
        <w:rPr>
          <w:rFonts w:ascii="Times New Roman" w:cs="Times New Roman" w:eastAsia="Times New Roman" w:hAnsi="Times New Roman"/>
          <w:sz w:val="18"/>
          <w:szCs w:val="18"/>
          <w:color w:val="auto"/>
        </w:rPr>
      </w:pPr>
    </w:p>
    <w:p>
      <w:pPr>
        <w:ind w:right="540" w:firstLine="8"/>
        <w:spacing w:after="0" w:line="282" w:lineRule="auto"/>
        <w:tabs>
          <w:tab w:leader="none" w:pos="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Sections 1402 and 1403, with respect to which the Company has effected Defeasance and/or Covenant Defeasance as provided in Article Fourteen; and</w:t>
      </w:r>
    </w:p>
    <w:p>
      <w:pPr>
        <w:spacing w:after="0" w:line="53" w:lineRule="exact"/>
        <w:rPr>
          <w:rFonts w:ascii="Times New Roman" w:cs="Times New Roman" w:eastAsia="Times New Roman" w:hAnsi="Times New Roman"/>
          <w:sz w:val="18"/>
          <w:szCs w:val="18"/>
          <w:color w:val="auto"/>
        </w:rPr>
      </w:pPr>
    </w:p>
    <w:p>
      <w:pPr>
        <w:ind w:right="200" w:firstLine="8"/>
        <w:spacing w:after="0" w:line="266" w:lineRule="auto"/>
        <w:tabs>
          <w:tab w:leader="none" w:pos="3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(and premium or Make-Whole Amount, if any) or interest on any Securities or coupons on behalf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Blockage Notice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Payment Blockage Period</w:t>
      </w:r>
      <w:r>
        <w:rPr>
          <w:rFonts w:ascii="Times New Roman" w:cs="Times New Roman" w:eastAsia="Times New Roman" w:hAnsi="Times New Roman"/>
          <w:sz w:val="18"/>
          <w:szCs w:val="18"/>
          <w:color w:val="auto"/>
        </w:rPr>
        <w:t>” have the respective meanings specified in Section 1603.</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0" w:right="279" w:bottom="1440" w:gutter="0" w:footer="0" w:header="0"/>
        </w:sectPr>
      </w:pPr>
    </w:p>
    <w:bookmarkStart w:id="128" w:name="page129"/>
    <w:bookmarkEnd w:id="128"/>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has the meaning specified in Section 1602.</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Security</w:t>
      </w:r>
      <w:r>
        <w:rPr>
          <w:rFonts w:ascii="Times New Roman" w:cs="Times New Roman" w:eastAsia="Times New Roman" w:hAnsi="Times New Roman"/>
          <w:sz w:val="18"/>
          <w:szCs w:val="18"/>
          <w:color w:val="auto"/>
        </w:rPr>
        <w:t>” shall mean any Security which is registered in the Security Register.</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the date fixed for such repayment by or pursuant to this Indenture.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Price</w:t>
      </w:r>
      <w:r>
        <w:rPr>
          <w:rFonts w:ascii="Times New Roman" w:cs="Times New Roman" w:eastAsia="Times New Roman" w:hAnsi="Times New Roman"/>
          <w:sz w:val="18"/>
          <w:szCs w:val="18"/>
          <w:color w:val="auto"/>
        </w:rPr>
        <w:t>” means, when used with respect to any Security to be repaid at the option of the Holder, the price at which it is to be repaid by or pursuant to this Indenture.</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Record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Payment</w:t>
      </w:r>
      <w:r>
        <w:rPr>
          <w:rFonts w:ascii="Times New Roman" w:cs="Times New Roman" w:eastAsia="Times New Roman" w:hAnsi="Times New Roman"/>
          <w:sz w:val="18"/>
          <w:szCs w:val="18"/>
          <w:color w:val="auto"/>
        </w:rPr>
        <w:t>” has the meaning specified in Section 1602.</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0" w:right="259" w:bottom="1440" w:gutter="0" w:footer="0" w:header="0"/>
        </w:sectPr>
      </w:pPr>
    </w:p>
    <w:bookmarkStart w:id="129" w:name="page130"/>
    <w:bookmarkEnd w:id="129"/>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Security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xml:space="preserve">” has the meaning stated in the first recital of this Indenture and, more particularly, means any Security or Securities authenticated and delivered under this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xml:space="preserve">”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 such Indebtedness; (2) any Indebtedness which by its terms refers explicitly to the Securities and states that such Indebtedness shall not be senior, shall be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(a) Indebtedness of or amounts owed by the Company for compensation to employees, or for goods, materials or services purchased in the ordinary course of business, or (b) Indebtedness of the Company to a Subsidiary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Securities means all securities denoted as part of the same series authorized by or pursuant to a particular Board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Term Rights</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which is a “significant subsidiary” (as defined in Article I, Rule 1-02 of Regulation S-X, promulgated under the Securities Act of 1933, as amended) of the Company.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Registered Securities of or within any series means a date fixed by the Company pursuant to Section 307.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entity of which a majority of (i) 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NASDAQ Global Select Market is open for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means the Trust Indenture Act of 1939, as amended and as in force at the date as of which this Indenture was executed, except as provided in Section 905.</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there is more than one such Person, “Trustee” as used with respect to the Securities of any series shall mean only the Trustee with respect to Securities of that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Distribution</w:t>
      </w:r>
      <w:r>
        <w:rPr>
          <w:rFonts w:ascii="Times New Roman" w:cs="Times New Roman" w:eastAsia="Times New Roman" w:hAnsi="Times New Roman"/>
          <w:sz w:val="18"/>
          <w:szCs w:val="18"/>
          <w:color w:val="auto"/>
        </w:rPr>
        <w:t>” has the meaning specified in Section 1704.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130" w:name="page131"/>
    <w:bookmarkEnd w:id="130"/>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to Maturity</w:t>
      </w:r>
      <w:r>
        <w:rPr>
          <w:rFonts w:ascii="Times New Roman" w:cs="Times New Roman" w:eastAsia="Times New Roman" w:hAnsi="Times New Roman"/>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(including certificates delivered pursuant to Section 1008) shall include:</w:t>
      </w:r>
    </w:p>
    <w:p>
      <w:pPr>
        <w:spacing w:after="0" w:line="54" w:lineRule="exact"/>
        <w:rPr>
          <w:sz w:val="20"/>
          <w:szCs w:val="20"/>
          <w:color w:val="auto"/>
        </w:rPr>
      </w:pPr>
    </w:p>
    <w:p>
      <w:pPr>
        <w:ind w:left="260" w:hanging="252"/>
        <w:spacing w:after="0"/>
        <w:tabs>
          <w:tab w:leader="none" w:pos="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condition or covenant and the definitions herein relating thereto;</w:t>
      </w:r>
    </w:p>
    <w:p>
      <w:pPr>
        <w:spacing w:after="0" w:line="117"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right="640" w:firstLine="8"/>
        <w:spacing w:after="0" w:line="282"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0"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3" w:lineRule="auto"/>
        <w:tabs>
          <w:tab w:leader="none" w:pos="2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80" w:lineRule="exact"/>
        <w:rPr>
          <w:rFonts w:ascii="Times New Roman" w:cs="Times New Roman" w:eastAsia="Times New Roman" w:hAnsi="Times New Roman"/>
          <w:sz w:val="18"/>
          <w:szCs w:val="18"/>
          <w:color w:val="auto"/>
        </w:rPr>
      </w:pPr>
    </w:p>
    <w:p>
      <w:pPr>
        <w:ind w:right="160" w:firstLine="8"/>
        <w:spacing w:after="0" w:line="258" w:lineRule="auto"/>
        <w:tabs>
          <w:tab w:leader="none" w:pos="2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75" w:lineRule="exact"/>
        <w:rPr>
          <w:rFonts w:ascii="Times New Roman" w:cs="Times New Roman" w:eastAsia="Times New Roman" w:hAnsi="Times New Roman"/>
          <w:sz w:val="18"/>
          <w:szCs w:val="18"/>
          <w:color w:val="auto"/>
        </w:rPr>
      </w:pPr>
    </w:p>
    <w:p>
      <w:pPr>
        <w:ind w:right="100" w:firstLine="8"/>
        <w:spacing w:after="0" w:line="282" w:lineRule="auto"/>
        <w:tabs>
          <w:tab w:leader="none" w:pos="2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53" w:lineRule="exact"/>
        <w:rPr>
          <w:rFonts w:ascii="Times New Roman" w:cs="Times New Roman" w:eastAsia="Times New Roman" w:hAnsi="Times New Roman"/>
          <w:sz w:val="18"/>
          <w:szCs w:val="18"/>
          <w:color w:val="auto"/>
        </w:rPr>
      </w:pPr>
    </w:p>
    <w:p>
      <w:pPr>
        <w:ind w:right="60" w:firstLine="8"/>
        <w:spacing w:after="0" w:line="255" w:lineRule="auto"/>
        <w:tabs>
          <w:tab w:leader="none" w:pos="2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77" w:lineRule="exact"/>
        <w:rPr>
          <w:rFonts w:ascii="Times New Roman" w:cs="Times New Roman" w:eastAsia="Times New Roman" w:hAnsi="Times New Roman"/>
          <w:sz w:val="18"/>
          <w:szCs w:val="18"/>
          <w:color w:val="auto"/>
        </w:rPr>
      </w:pPr>
    </w:p>
    <w:p>
      <w:pPr>
        <w:ind w:firstLine="8"/>
        <w:spacing w:after="0" w:line="253" w:lineRule="auto"/>
        <w:tabs>
          <w:tab w:leader="none" w:pos="2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132" w:name="page133"/>
    <w:bookmarkEnd w:id="132"/>
    <w:p>
      <w:pPr>
        <w:ind w:right="20" w:firstLine="8"/>
        <w:spacing w:after="0" w:line="261" w:lineRule="auto"/>
        <w:tabs>
          <w:tab w:leader="none" w:pos="22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Company</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Trustee by any Holder or by the Company shall be sufficient for every purpose hereunder if made, given, furnished or filed in writing to or with the</w:t>
      </w:r>
    </w:p>
    <w:p>
      <w:pPr>
        <w:spacing w:after="0" w:line="27" w:lineRule="exact"/>
        <w:rPr>
          <w:sz w:val="20"/>
          <w:szCs w:val="20"/>
          <w:color w:val="auto"/>
        </w:rPr>
      </w:pPr>
    </w:p>
    <w:p>
      <w:pPr>
        <w:spacing w:after="0"/>
        <w:tabs>
          <w:tab w:leader="none" w:pos="1340" w:val="left"/>
          <w:tab w:leader="none" w:pos="9080" w:val="left"/>
        </w:tabs>
        <w:rPr>
          <w:sz w:val="20"/>
          <w:szCs w:val="20"/>
          <w:color w:val="auto"/>
        </w:rPr>
      </w:pPr>
      <w:r>
        <w:rPr>
          <w:rFonts w:ascii="Times New Roman" w:cs="Times New Roman" w:eastAsia="Times New Roman" w:hAnsi="Times New Roman"/>
          <w:sz w:val="18"/>
          <w:szCs w:val="18"/>
          <w:color w:val="auto"/>
        </w:rPr>
        <w:t>Trustee at [</w:t>
      </w:r>
      <w:r>
        <w:rPr>
          <w:sz w:val="20"/>
          <w:szCs w:val="20"/>
          <w:color w:val="auto"/>
        </w:rPr>
        <w:tab/>
      </w:r>
      <w:r>
        <w:rPr>
          <w:rFonts w:ascii="Times New Roman" w:cs="Times New Roman" w:eastAsia="Times New Roman" w:hAnsi="Times New Roman"/>
          <w:sz w:val="18"/>
          <w:szCs w:val="18"/>
          <w:color w:val="auto"/>
        </w:rPr>
        <w:t>] or at any other address previously furnished in writing to the Company by the Trustee, Attention: [</w:t>
      </w:r>
      <w:r>
        <w:rPr>
          <w:sz w:val="20"/>
          <w:szCs w:val="20"/>
          <w:color w:val="auto"/>
        </w:rPr>
        <w:tab/>
      </w:r>
      <w:r>
        <w:rPr>
          <w:rFonts w:ascii="Times New Roman" w:cs="Times New Roman" w:eastAsia="Times New Roman" w:hAnsi="Times New Roman"/>
          <w:sz w:val="17"/>
          <w:szCs w:val="17"/>
          <w:color w:val="auto"/>
        </w:rPr>
        <w:t>]; or</w:t>
      </w:r>
    </w:p>
    <w:p>
      <w:pPr>
        <w:spacing w:after="0" w:line="207" w:lineRule="exact"/>
        <w:rPr>
          <w:sz w:val="20"/>
          <w:szCs w:val="20"/>
          <w:color w:val="auto"/>
        </w:rPr>
      </w:pPr>
    </w:p>
    <w:p>
      <w:pPr>
        <w:ind w:right="40" w:firstLine="8"/>
        <w:spacing w:after="0" w:line="261" w:lineRule="auto"/>
        <w:tabs>
          <w:tab w:leader="none" w:pos="2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w:t>
      </w:r>
    </w:p>
    <w:p>
      <w:pPr>
        <w:spacing w:after="0"/>
        <w:tabs>
          <w:tab w:leader="none" w:pos="7420" w:val="left"/>
        </w:tabs>
        <w:rPr>
          <w:sz w:val="20"/>
          <w:szCs w:val="20"/>
          <w:color w:val="auto"/>
        </w:rPr>
      </w:pPr>
      <w:r>
        <w:rPr>
          <w:rFonts w:ascii="Times New Roman" w:cs="Times New Roman" w:eastAsia="Times New Roman" w:hAnsi="Times New Roman"/>
          <w:sz w:val="18"/>
          <w:szCs w:val="18"/>
          <w:color w:val="auto"/>
        </w:rPr>
        <w:t>at any other address previously furnished in writing to the Trustee by the Company, Attention: [</w:t>
      </w:r>
      <w:r>
        <w:rPr>
          <w:sz w:val="20"/>
          <w:szCs w:val="20"/>
          <w:color w:val="auto"/>
        </w:rPr>
        <w:tab/>
      </w:r>
      <w:r>
        <w:rPr>
          <w:rFonts w:ascii="Times New Roman" w:cs="Times New Roman" w:eastAsia="Times New Roman" w:hAnsi="Times New Roman"/>
          <w:sz w:val="17"/>
          <w:szCs w:val="17"/>
          <w:color w:val="auto"/>
        </w:rPr>
        <w:t>]; 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either the Trustee or the Company, by the other party or by any Holder, shall be sufficient for every purpose hereunder if given by facsimile transmission,</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receipt confirmed by telephone followed by an original copy delivered by guaranteed overnight courier; if to the Trustee at facsimile number [ ]; and if to the Company at facsimile number [ ].</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0" w:right="259" w:bottom="1440" w:gutter="0" w:footer="0" w:header="0"/>
        </w:sectPr>
      </w:pPr>
    </w:p>
    <w:bookmarkStart w:id="133" w:name="page134"/>
    <w:bookmarkEnd w:id="133"/>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Counterparts; Effect of Headings and Table of Contents</w:t>
      </w:r>
      <w:r>
        <w:rPr>
          <w:rFonts w:ascii="Times New Roman" w:cs="Times New Roman" w:eastAsia="Times New Roman" w:hAnsi="Times New Roman"/>
          <w:sz w:val="18"/>
          <w:szCs w:val="18"/>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Limited Liability; Immunity of Stockholders, Directors, Officers and Agents of the Company</w:t>
      </w:r>
      <w:r>
        <w:rPr>
          <w:rFonts w:ascii="Times New Roman" w:cs="Times New Roman" w:eastAsia="Times New Roman" w:hAnsi="Times New Roman"/>
          <w:sz w:val="18"/>
          <w:szCs w:val="18"/>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0" w:right="259" w:bottom="1440" w:gutter="0" w:footer="0" w:header="0"/>
        </w:sectPr>
      </w:pPr>
    </w:p>
    <w:bookmarkStart w:id="134" w:name="page135"/>
    <w:bookmarkEnd w:id="134"/>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114.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TWO—SECURITIES FORMS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of Securities</w:t>
      </w:r>
      <w:r>
        <w:rPr>
          <w:rFonts w:ascii="Times New Roman" w:cs="Times New Roman" w:eastAsia="Times New Roman" w:hAnsi="Times New Roman"/>
          <w:sz w:val="18"/>
          <w:szCs w:val="18"/>
          <w:color w:val="auto"/>
        </w:rPr>
        <w:t xml:space="preserve">. The Registered Securities, if any, of each series and the Bearer Securities, if any, of each series and related coupons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Subject to Section 611, the Trustee’s certificate of authentication shall be in substantially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ectPr>
          <w:pgSz w:w="11900" w:h="16838" w:orient="portrait"/>
          <w:cols w:equalWidth="0" w:num="1">
            <w:col w:w="11420"/>
          </w:cols>
          <w:pgMar w:left="240" w:top="270" w:right="239" w:bottom="1440" w:gutter="0" w:footer="0" w:header="0"/>
        </w:sectPr>
      </w:pPr>
    </w:p>
    <w:p>
      <w:pPr>
        <w:spacing w:after="0" w:line="24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41" w:lineRule="exact"/>
        <w:rPr>
          <w:sz w:val="20"/>
          <w:szCs w:val="20"/>
          <w:color w:val="auto"/>
        </w:rPr>
      </w:pPr>
    </w:p>
    <w:p>
      <w:pPr>
        <w:sectPr>
          <w:pgSz w:w="11900" w:h="16838" w:orient="portrait"/>
          <w:cols w:equalWidth="0" w:num="2">
            <w:col w:w="9060" w:space="660"/>
            <w:col w:w="1700"/>
          </w:cols>
          <w:pgMar w:left="240" w:top="270"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 Trustee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5715</wp:posOffset>
            </wp:positionV>
            <wp:extent cx="11576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8300" w:space="720"/>
            <w:col w:w="2400"/>
          </w:cols>
          <w:pgMar w:left="240" w:top="270" w:right="239" w:bottom="1440" w:gutter="0" w:footer="0" w:header="0"/>
          <w:type w:val="continuous"/>
        </w:sectPr>
      </w:pPr>
    </w:p>
    <w:p>
      <w:pPr>
        <w:ind w:left="98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Securities Issuable in Global Form</w:t>
      </w:r>
      <w:r>
        <w:rPr>
          <w:rFonts w:ascii="Times New Roman" w:cs="Times New Roman" w:eastAsia="Times New Roman" w:hAnsi="Times New Roman"/>
          <w:sz w:val="18"/>
          <w:szCs w:val="18"/>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type w:val="continuous"/>
        </w:sectPr>
      </w:pPr>
    </w:p>
    <w:bookmarkStart w:id="135" w:name="page136"/>
    <w:bookmarkEnd w:id="13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THREE—THE SECURITIES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68" w:lineRule="exact"/>
        <w:rPr>
          <w:sz w:val="20"/>
          <w:szCs w:val="20"/>
          <w:color w:val="auto"/>
        </w:rPr>
      </w:pPr>
    </w:p>
    <w:p>
      <w:pPr>
        <w:ind w:right="640" w:firstLine="8"/>
        <w:spacing w:after="0" w:line="282" w:lineRule="auto"/>
        <w:tabs>
          <w:tab w:leader="none" w:pos="2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including “CUSIP” numbers (which shall distinguish the Securities of such series from all other series of Securities);</w:t>
      </w:r>
    </w:p>
    <w:p>
      <w:pPr>
        <w:spacing w:after="0" w:line="53" w:lineRule="exact"/>
        <w:rPr>
          <w:rFonts w:ascii="Times New Roman" w:cs="Times New Roman" w:eastAsia="Times New Roman" w:hAnsi="Times New Roman"/>
          <w:sz w:val="18"/>
          <w:szCs w:val="18"/>
          <w:color w:val="auto"/>
        </w:rPr>
      </w:pPr>
    </w:p>
    <w:p>
      <w:pPr>
        <w:ind w:right="140" w:firstLine="8"/>
        <w:spacing w:after="0" w:line="266" w:lineRule="auto"/>
        <w:tabs>
          <w:tab w:leader="none" w:pos="2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68"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2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the method by which any such portion shall be determined.</w:t>
      </w:r>
    </w:p>
    <w:p>
      <w:pPr>
        <w:spacing w:after="0" w:line="68" w:lineRule="exact"/>
        <w:rPr>
          <w:rFonts w:ascii="Times New Roman" w:cs="Times New Roman" w:eastAsia="Times New Roman" w:hAnsi="Times New Roman"/>
          <w:sz w:val="18"/>
          <w:szCs w:val="18"/>
          <w:color w:val="auto"/>
        </w:rPr>
      </w:pPr>
    </w:p>
    <w:p>
      <w:pPr>
        <w:ind w:right="560" w:firstLine="8"/>
        <w:spacing w:after="0" w:line="282" w:lineRule="auto"/>
        <w:tabs>
          <w:tab w:leader="none" w:pos="2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on which the principal of such Securities will be payable;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80"/>
          </w:cols>
          <w:pgMar w:left="240" w:top="270" w:right="379" w:bottom="1440" w:gutter="0" w:footer="0" w:header="0"/>
        </w:sectPr>
      </w:pPr>
    </w:p>
    <w:bookmarkStart w:id="136" w:name="page137"/>
    <w:bookmarkEnd w:id="136"/>
    <w:p>
      <w:pPr>
        <w:ind w:left="-8" w:right="520" w:firstLine="8"/>
        <w:spacing w:after="0" w:line="282" w:lineRule="auto"/>
        <w:tabs>
          <w:tab w:leader="none" w:pos="24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rate or rates (which may be fixed or variable), or the method by which such rate or rates shall be determined, at which such Securities will bear interest, if any;</w:t>
      </w:r>
    </w:p>
    <w:p>
      <w:pPr>
        <w:spacing w:after="0" w:line="53" w:lineRule="exact"/>
        <w:rPr>
          <w:rFonts w:ascii="Times New Roman" w:cs="Times New Roman" w:eastAsia="Times New Roman" w:hAnsi="Times New Roman"/>
          <w:sz w:val="18"/>
          <w:szCs w:val="18"/>
          <w:color w:val="auto"/>
        </w:rPr>
      </w:pPr>
    </w:p>
    <w:p>
      <w:pPr>
        <w:ind w:left="-8" w:right="100" w:firstLine="8"/>
        <w:spacing w:after="0" w:line="266" w:lineRule="auto"/>
        <w:tabs>
          <w:tab w:leader="none" w:pos="24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68" w:lineRule="exact"/>
        <w:rPr>
          <w:rFonts w:ascii="Times New Roman" w:cs="Times New Roman" w:eastAsia="Times New Roman" w:hAnsi="Times New Roman"/>
          <w:sz w:val="18"/>
          <w:szCs w:val="18"/>
          <w:color w:val="auto"/>
        </w:rPr>
      </w:pPr>
    </w:p>
    <w:p>
      <w:pPr>
        <w:ind w:left="-8" w:right="20" w:firstLine="8"/>
        <w:spacing w:after="0" w:line="282" w:lineRule="auto"/>
        <w:tabs>
          <w:tab w:leader="none" w:pos="24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if any, or method for determining the Make-Whole Amount, if any, payable with respect to such Securities, and the terms upon which such amount, if any, will be payable;</w:t>
      </w:r>
    </w:p>
    <w:p>
      <w:pPr>
        <w:spacing w:after="0" w:line="53" w:lineRule="exact"/>
        <w:rPr>
          <w:rFonts w:ascii="Times New Roman" w:cs="Times New Roman" w:eastAsia="Times New Roman" w:hAnsi="Times New Roman"/>
          <w:sz w:val="18"/>
          <w:szCs w:val="18"/>
          <w:color w:val="auto"/>
        </w:rPr>
      </w:pPr>
    </w:p>
    <w:p>
      <w:pPr>
        <w:ind w:left="-8" w:right="40" w:firstLine="8"/>
        <w:spacing w:after="0" w:line="266" w:lineRule="auto"/>
        <w:tabs>
          <w:tab w:leader="none" w:pos="24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68" w:lineRule="exact"/>
        <w:rPr>
          <w:rFonts w:ascii="Times New Roman" w:cs="Times New Roman" w:eastAsia="Times New Roman" w:hAnsi="Times New Roman"/>
          <w:sz w:val="18"/>
          <w:szCs w:val="18"/>
          <w:color w:val="auto"/>
        </w:rPr>
      </w:pPr>
    </w:p>
    <w:p>
      <w:pPr>
        <w:ind w:left="-8" w:right="140" w:firstLine="8"/>
        <w:spacing w:after="0" w:line="282" w:lineRule="auto"/>
        <w:tabs>
          <w:tab w:leader="none" w:pos="3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53"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33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68" w:lineRule="exact"/>
        <w:rPr>
          <w:rFonts w:ascii="Times New Roman" w:cs="Times New Roman" w:eastAsia="Times New Roman" w:hAnsi="Times New Roman"/>
          <w:sz w:val="18"/>
          <w:szCs w:val="18"/>
          <w:color w:val="auto"/>
        </w:rPr>
      </w:pPr>
    </w:p>
    <w:p>
      <w:pPr>
        <w:ind w:left="-8" w:firstLine="8"/>
        <w:spacing w:after="0" w:line="266" w:lineRule="auto"/>
        <w:tabs>
          <w:tab w:leader="none" w:pos="3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68" w:lineRule="exact"/>
        <w:rPr>
          <w:rFonts w:ascii="Times New Roman" w:cs="Times New Roman" w:eastAsia="Times New Roman" w:hAnsi="Times New Roman"/>
          <w:sz w:val="18"/>
          <w:szCs w:val="18"/>
          <w:color w:val="auto"/>
        </w:rPr>
      </w:pPr>
    </w:p>
    <w:p>
      <w:pPr>
        <w:ind w:left="-8" w:right="200" w:firstLine="8"/>
        <w:spacing w:after="0" w:line="261" w:lineRule="auto"/>
        <w:tabs>
          <w:tab w:leader="none" w:pos="3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71" w:lineRule="exact"/>
        <w:rPr>
          <w:rFonts w:ascii="Times New Roman" w:cs="Times New Roman" w:eastAsia="Times New Roman" w:hAnsi="Times New Roman"/>
          <w:sz w:val="18"/>
          <w:szCs w:val="18"/>
          <w:color w:val="auto"/>
        </w:rPr>
      </w:pPr>
    </w:p>
    <w:p>
      <w:pPr>
        <w:ind w:left="-8" w:right="80" w:firstLine="8"/>
        <w:spacing w:after="0" w:line="256" w:lineRule="auto"/>
        <w:tabs>
          <w:tab w:leader="none" w:pos="3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7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117" w:lineRule="exact"/>
        <w:rPr>
          <w:rFonts w:ascii="Times New Roman" w:cs="Times New Roman" w:eastAsia="Times New Roman" w:hAnsi="Times New Roman"/>
          <w:sz w:val="18"/>
          <w:szCs w:val="18"/>
          <w:color w:val="auto"/>
        </w:rPr>
      </w:pPr>
    </w:p>
    <w:p>
      <w:pPr>
        <w:ind w:left="-8" w:right="100" w:firstLine="8"/>
        <w:spacing w:after="0" w:line="282" w:lineRule="auto"/>
        <w:tabs>
          <w:tab w:leader="none" w:pos="3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53" w:lineRule="exact"/>
        <w:rPr>
          <w:rFonts w:ascii="Times New Roman" w:cs="Times New Roman" w:eastAsia="Times New Roman" w:hAnsi="Times New Roman"/>
          <w:sz w:val="18"/>
          <w:szCs w:val="18"/>
          <w:color w:val="auto"/>
        </w:rPr>
      </w:pPr>
    </w:p>
    <w:p>
      <w:pPr>
        <w:ind w:left="-8" w:right="900" w:firstLine="8"/>
        <w:spacing w:after="0" w:line="282" w:lineRule="auto"/>
        <w:tabs>
          <w:tab w:leader="none" w:pos="33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53" w:lineRule="exact"/>
        <w:rPr>
          <w:rFonts w:ascii="Times New Roman" w:cs="Times New Roman" w:eastAsia="Times New Roman" w:hAnsi="Times New Roman"/>
          <w:sz w:val="18"/>
          <w:szCs w:val="18"/>
          <w:color w:val="auto"/>
        </w:rPr>
      </w:pPr>
    </w:p>
    <w:p>
      <w:pPr>
        <w:ind w:left="-8" w:right="420" w:firstLine="8"/>
        <w:spacing w:after="0" w:line="266" w:lineRule="auto"/>
        <w:tabs>
          <w:tab w:leader="none" w:pos="33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92"/>
          </w:cols>
          <w:pgMar w:left="248" w:top="270" w:right="259" w:bottom="1440" w:gutter="0" w:footer="0" w:header="0"/>
        </w:sectPr>
      </w:pPr>
    </w:p>
    <w:bookmarkStart w:id="137" w:name="page138"/>
    <w:bookmarkEnd w:id="137"/>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76" w:lineRule="exact"/>
        <w:rPr>
          <w:sz w:val="20"/>
          <w:szCs w:val="20"/>
          <w:color w:val="auto"/>
        </w:rPr>
      </w:pPr>
    </w:p>
    <w:p>
      <w:pPr>
        <w:ind w:right="360" w:firstLine="8"/>
        <w:spacing w:after="0" w:line="282" w:lineRule="auto"/>
        <w:tabs>
          <w:tab w:leader="none" w:pos="3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53" w:lineRule="exact"/>
        <w:rPr>
          <w:rFonts w:ascii="Times New Roman" w:cs="Times New Roman" w:eastAsia="Times New Roman" w:hAnsi="Times New Roman"/>
          <w:sz w:val="18"/>
          <w:szCs w:val="18"/>
          <w:color w:val="auto"/>
        </w:rPr>
      </w:pPr>
    </w:p>
    <w:p>
      <w:pPr>
        <w:ind w:right="20" w:firstLine="8"/>
        <w:spacing w:after="0" w:line="256" w:lineRule="auto"/>
        <w:tabs>
          <w:tab w:leader="none" w:pos="3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that the manner of determining such Person or making such payment shall be acceptable to the Trustee (as not imposing on it any undue administrative burden or risk of liability);</w:t>
      </w:r>
    </w:p>
    <w:p>
      <w:pPr>
        <w:spacing w:after="0" w:line="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of Article Fourteen hereof to the Securities of the series;</w:t>
      </w:r>
    </w:p>
    <w:p>
      <w:pPr>
        <w:spacing w:after="0" w:line="117" w:lineRule="exact"/>
        <w:rPr>
          <w:rFonts w:ascii="Times New Roman" w:cs="Times New Roman" w:eastAsia="Times New Roman" w:hAnsi="Times New Roman"/>
          <w:sz w:val="18"/>
          <w:szCs w:val="18"/>
          <w:color w:val="auto"/>
        </w:rPr>
      </w:pPr>
    </w:p>
    <w:p>
      <w:pPr>
        <w:ind w:right="120" w:firstLine="8"/>
        <w:spacing w:after="0" w:line="261" w:lineRule="auto"/>
        <w:tabs>
          <w:tab w:leader="none" w:pos="3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71" w:lineRule="exact"/>
        <w:rPr>
          <w:rFonts w:ascii="Times New Roman" w:cs="Times New Roman" w:eastAsia="Times New Roman" w:hAnsi="Times New Roman"/>
          <w:sz w:val="18"/>
          <w:szCs w:val="18"/>
          <w:color w:val="auto"/>
        </w:rPr>
      </w:pPr>
    </w:p>
    <w:p>
      <w:pPr>
        <w:ind w:firstLine="8"/>
        <w:spacing w:after="0" w:line="266" w:lineRule="auto"/>
        <w:tabs>
          <w:tab w:leader="none" w:pos="3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68" w:lineRule="exact"/>
        <w:rPr>
          <w:rFonts w:ascii="Times New Roman" w:cs="Times New Roman" w:eastAsia="Times New Roman" w:hAnsi="Times New Roman"/>
          <w:sz w:val="18"/>
          <w:szCs w:val="18"/>
          <w:color w:val="auto"/>
        </w:rPr>
      </w:pPr>
    </w:p>
    <w:p>
      <w:pPr>
        <w:ind w:right="100" w:firstLine="8"/>
        <w:spacing w:after="0" w:line="282" w:lineRule="auto"/>
        <w:tabs>
          <w:tab w:leader="none" w:pos="3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5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0" w:right="279" w:bottom="1440" w:gutter="0" w:footer="0" w:header="0"/>
        </w:sectPr>
      </w:pPr>
    </w:p>
    <w:bookmarkStart w:id="138" w:name="page139"/>
    <w:bookmarkEnd w:id="138"/>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connection with its original issuance, no Bearer Security shall be mailed or otherwise delivered to any location in the United States;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89" w:lineRule="exact"/>
        <w:rPr>
          <w:sz w:val="20"/>
          <w:szCs w:val="20"/>
          <w:color w:val="auto"/>
        </w:rPr>
      </w:pPr>
    </w:p>
    <w:p>
      <w:pPr>
        <w:ind w:left="460" w:hanging="452"/>
        <w:spacing w:after="0"/>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w:t>
      </w:r>
    </w:p>
    <w:p>
      <w:pPr>
        <w:spacing w:after="0" w:line="117" w:lineRule="exact"/>
        <w:rPr>
          <w:sz w:val="20"/>
          <w:szCs w:val="20"/>
          <w:color w:val="auto"/>
        </w:rPr>
      </w:pPr>
    </w:p>
    <w:p>
      <w:pPr>
        <w:ind w:left="260" w:hanging="252"/>
        <w:spacing w:after="0"/>
        <w:tabs>
          <w:tab w:leader="none" w:pos="2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such Securities and any coupons have been established in conformity with the provisions of this Indenture;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Securities and any coupons have been established in conformity with the provisions of this Indenture; and</w:t>
      </w:r>
    </w:p>
    <w:p>
      <w:pPr>
        <w:spacing w:after="0" w:line="117" w:lineRule="exact"/>
        <w:rPr>
          <w:rFonts w:ascii="Times New Roman" w:cs="Times New Roman" w:eastAsia="Times New Roman" w:hAnsi="Times New Roman"/>
          <w:sz w:val="18"/>
          <w:szCs w:val="18"/>
          <w:color w:val="auto"/>
        </w:rPr>
      </w:pPr>
    </w:p>
    <w:p>
      <w:pPr>
        <w:ind w:right="40" w:firstLine="8"/>
        <w:spacing w:after="0" w:line="258" w:lineRule="auto"/>
        <w:tabs>
          <w:tab w:leader="none" w:pos="24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139" w:name="page140"/>
    <w:bookmarkEnd w:id="139"/>
    <w:p>
      <w:pPr>
        <w:ind w:right="80" w:firstLine="8"/>
        <w:spacing w:after="0" w:line="266" w:lineRule="auto"/>
        <w:tabs>
          <w:tab w:leader="none" w:pos="2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Each Registered Security shall be dated the date of its authentication and each Bearer Security shall be dated as of the date specified as contemplated by Section 301.</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8"/>
        <w:spacing w:after="0" w:line="256" w:lineRule="auto"/>
        <w:tabs>
          <w:tab w:leader="none" w:pos="24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definitive Bearer Security shall be delivered in exchange for a temporary Registered Security;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0" w:right="259" w:bottom="1440" w:gutter="0" w:footer="0" w:header="0"/>
        </w:sectPr>
      </w:pPr>
    </w:p>
    <w:bookmarkStart w:id="140" w:name="page141"/>
    <w:bookmarkEnd w:id="140"/>
    <w:p>
      <w:pPr>
        <w:ind w:right="60" w:firstLine="8"/>
        <w:spacing w:after="0" w:line="258" w:lineRule="auto"/>
        <w:tabs>
          <w:tab w:leader="none" w:pos="2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 as may be established pursuant to Section 301;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definitive Bearer Securities shall be delivered in exchange for a portion of a temporary Global Security only in compliance with the requirements of Section 303.</w:t>
      </w:r>
    </w:p>
    <w:p>
      <w:pPr>
        <w:spacing w:after="0" w:line="19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exchanged in full as hereinabove provided, the temporary Securities of any series shall in all respects be entitled to the same benefits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as definitive Securities of the same series and of like tenor authenticated and delivered hereunder, except that, unless otherwise specified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Section 301, interest payable on a temporary Global Security on an Interest Payment Date for Securities of such series occurring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Exchange Date shall be payable to Euroclear and Clearstream on such Interest Payment Date upon delivery by Euroclear and Clearstream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Trustee of a certificate or certificates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forms as may be established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 for credit without further interest on or after such Interest Payment Date to the respective accounts of Persons who are the beneficial owners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temporary Global Security on such Interest Payment Date and who have each delivered to Euroclear or Clearstream, as the case may be, a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 earlier than 15 days prior to the Interest Payment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141" w:name="page142"/>
    <w:bookmarkEnd w:id="14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occurring prior to such Exchange Date in the form set forth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Conversion and Exchange</w:t>
      </w:r>
      <w:r>
        <w:rPr>
          <w:rFonts w:ascii="Times New Roman" w:cs="Times New Roman" w:eastAsia="Times New Roman" w:hAnsi="Times New Roman"/>
          <w:sz w:val="18"/>
          <w:szCs w:val="18"/>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142" w:name="page143"/>
    <w:bookmarkEnd w:id="14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w:t>
      </w:r>
    </w:p>
    <w:p>
      <w:pPr>
        <w:ind w:right="40" w:firstLine="8"/>
        <w:spacing w:after="0" w:line="252" w:lineRule="auto"/>
        <w:tabs>
          <w:tab w:leader="none" w:pos="2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w:t>
      </w:r>
    </w:p>
    <w:p>
      <w:pPr>
        <w:spacing w:after="0" w:line="1" w:lineRule="exact"/>
        <w:rPr>
          <w:sz w:val="20"/>
          <w:szCs w:val="20"/>
          <w:color w:val="auto"/>
        </w:rPr>
      </w:pPr>
    </w:p>
    <w:p>
      <w:pPr>
        <w:ind w:right="120" w:firstLine="8"/>
        <w:spacing w:after="0" w:line="250" w:lineRule="auto"/>
        <w:tabs>
          <w:tab w:leader="none" w:pos="2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w:t>
      </w:r>
    </w:p>
    <w:p>
      <w:pPr>
        <w:spacing w:after="0" w:line="1" w:lineRule="exact"/>
        <w:rPr>
          <w:rFonts w:ascii="Times New Roman" w:cs="Times New Roman" w:eastAsia="Times New Roman" w:hAnsi="Times New Roman"/>
          <w:sz w:val="18"/>
          <w:szCs w:val="18"/>
          <w:color w:val="auto"/>
        </w:rPr>
      </w:pPr>
    </w:p>
    <w:p>
      <w:pPr>
        <w:ind w:right="20" w:firstLine="8"/>
        <w:spacing w:after="0" w:line="266" w:lineRule="auto"/>
        <w:tabs>
          <w:tab w:leader="none" w:pos="245"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0" w:right="239" w:bottom="1440" w:gutter="0" w:footer="0" w:header="0"/>
        </w:sectPr>
      </w:pPr>
    </w:p>
    <w:bookmarkStart w:id="143" w:name="page144"/>
    <w:bookmarkEnd w:id="143"/>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there shall be delivered to the Company and to the Trustee (i) evidence to their satisfaction of the destruction, loss or theft of any Security or coupon, and</w:t>
      </w:r>
    </w:p>
    <w:p>
      <w:pPr>
        <w:spacing w:after="0" w:line="27" w:lineRule="exact"/>
        <w:rPr>
          <w:sz w:val="20"/>
          <w:szCs w:val="20"/>
          <w:color w:val="auto"/>
        </w:rPr>
      </w:pPr>
    </w:p>
    <w:p>
      <w:pPr>
        <w:jc w:val="both"/>
        <w:ind w:right="40" w:firstLine="8"/>
        <w:spacing w:after="0" w:line="252" w:lineRule="auto"/>
        <w:tabs>
          <w:tab w:leader="none" w:pos="26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0" w:right="259" w:bottom="1440" w:gutter="0" w:footer="0" w:header="0"/>
        </w:sectPr>
      </w:pPr>
    </w:p>
    <w:bookmarkStart w:id="144" w:name="page145"/>
    <w:bookmarkEnd w:id="14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145" w:name="page146"/>
    <w:bookmarkEnd w:id="145"/>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72" w:lineRule="exact"/>
        <w:rPr>
          <w:sz w:val="20"/>
          <w:szCs w:val="20"/>
          <w:color w:val="auto"/>
        </w:rPr>
      </w:pPr>
    </w:p>
    <w:p>
      <w:pPr>
        <w:ind w:firstLine="8"/>
        <w:spacing w:after="0" w:line="251" w:lineRule="auto"/>
        <w:tabs>
          <w:tab w:leader="none" w:pos="2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99"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0" w:right="259" w:bottom="1440" w:gutter="0" w:footer="0" w:header="0"/>
        </w:sectPr>
      </w:pPr>
    </w:p>
    <w:bookmarkStart w:id="146" w:name="page147"/>
    <w:bookmarkEnd w:id="146"/>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9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FOUR—SATISFACTION AND DISCHARGE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either</w:t>
      </w:r>
    </w:p>
    <w:p>
      <w:pPr>
        <w:spacing w:after="0" w:line="117" w:lineRule="exact"/>
        <w:rPr>
          <w:sz w:val="20"/>
          <w:szCs w:val="20"/>
          <w:color w:val="auto"/>
        </w:rPr>
      </w:pPr>
    </w:p>
    <w:p>
      <w:pPr>
        <w:ind w:firstLine="8"/>
        <w:spacing w:after="0" w:line="255" w:lineRule="auto"/>
        <w:tabs>
          <w:tab w:leader="none" w:pos="2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8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and, in the case of (i) or (ii) below, any coupons appertaining thereto not theretofore delivered to the Trustee for cancellation</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become due and payable, or</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will become due and payable at their Stated Maturity within one year, or</w:t>
      </w:r>
    </w:p>
    <w:p>
      <w:pPr>
        <w:spacing w:after="0" w:line="117" w:lineRule="exact"/>
        <w:rPr>
          <w:sz w:val="20"/>
          <w:szCs w:val="20"/>
          <w:color w:val="auto"/>
        </w:rPr>
      </w:pPr>
    </w:p>
    <w:p>
      <w:pPr>
        <w:ind w:right="80" w:firstLine="8"/>
        <w:spacing w:after="0" w:line="282" w:lineRule="auto"/>
        <w:tabs>
          <w:tab w:leader="none" w:pos="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76" w:lineRule="exact"/>
        <w:rPr>
          <w:sz w:val="20"/>
          <w:szCs w:val="20"/>
          <w:color w:val="auto"/>
        </w:rPr>
      </w:pPr>
    </w:p>
    <w:p>
      <w:pPr>
        <w:ind w:left="260" w:hanging="252"/>
        <w:spacing w:after="0"/>
        <w:tabs>
          <w:tab w:leader="none" w:pos="2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Application of Trust Funds</w:t>
      </w:r>
      <w:r>
        <w:rPr>
          <w:rFonts w:ascii="Times New Roman" w:cs="Times New Roman" w:eastAsia="Times New Roman" w:hAnsi="Times New Roman"/>
          <w:sz w:val="18"/>
          <w:szCs w:val="18"/>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0" w:right="25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FIVE—REMEDIES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68" w:lineRule="exact"/>
        <w:rPr>
          <w:sz w:val="20"/>
          <w:szCs w:val="20"/>
          <w:color w:val="auto"/>
        </w:rPr>
      </w:pPr>
    </w:p>
    <w:p>
      <w:pPr>
        <w:ind w:right="80" w:firstLine="8"/>
        <w:spacing w:after="0" w:line="282" w:lineRule="auto"/>
        <w:tabs>
          <w:tab w:leader="none" w:pos="2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53" w:lineRule="exact"/>
        <w:rPr>
          <w:rFonts w:ascii="Times New Roman" w:cs="Times New Roman" w:eastAsia="Times New Roman" w:hAnsi="Times New Roman"/>
          <w:sz w:val="18"/>
          <w:szCs w:val="18"/>
          <w:color w:val="auto"/>
        </w:rPr>
      </w:pPr>
    </w:p>
    <w:p>
      <w:pPr>
        <w:ind w:right="40" w:firstLine="8"/>
        <w:spacing w:after="0" w:line="282" w:lineRule="auto"/>
        <w:tabs>
          <w:tab w:leader="none" w:pos="2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or Make-Whole Amount, if any, on) any Security of that series when it becomes due and payable at its Maturity; or</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to the extent applicable to such series of Securities, when and as due by the terms of any Security of that series; or</w:t>
      </w:r>
    </w:p>
    <w:p>
      <w:pPr>
        <w:spacing w:after="0" w:line="53" w:lineRule="exact"/>
        <w:rPr>
          <w:rFonts w:ascii="Times New Roman" w:cs="Times New Roman" w:eastAsia="Times New Roman" w:hAnsi="Times New Roman"/>
          <w:sz w:val="18"/>
          <w:szCs w:val="18"/>
          <w:color w:val="auto"/>
        </w:rPr>
      </w:pPr>
    </w:p>
    <w:p>
      <w:pPr>
        <w:ind w:right="100" w:firstLine="8"/>
        <w:spacing w:after="0" w:line="256" w:lineRule="auto"/>
        <w:tabs>
          <w:tab w:leader="none" w:pos="2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79"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8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pursuant to or within the meaning of any Bankruptcy Law:</w:t>
      </w:r>
    </w:p>
    <w:p>
      <w:pPr>
        <w:spacing w:after="0" w:line="117" w:lineRule="exact"/>
        <w:rPr>
          <w:sz w:val="20"/>
          <w:szCs w:val="20"/>
          <w:color w:val="auto"/>
        </w:rPr>
      </w:pPr>
    </w:p>
    <w:p>
      <w:pPr>
        <w:ind w:left="300" w:hanging="292"/>
        <w:spacing w:after="0"/>
        <w:tabs>
          <w:tab w:leader="none" w:pos="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sz w:val="20"/>
          <w:szCs w:val="20"/>
          <w:color w:val="auto"/>
        </w:rPr>
      </w:pPr>
    </w:p>
    <w:p>
      <w:pPr>
        <w:ind w:left="260" w:hanging="252"/>
        <w:spacing w:after="0"/>
        <w:tabs>
          <w:tab w:leader="none" w:pos="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for relief against the Company or any Significant Subsidiary in an involuntary case,</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appoints a Custodian of the Company or any Significant Subsidiary or for all or substantially all of either of its property, or</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orders the liquidation of the Company or any Significant Subsidiary, and the order or decree remains unstayed and in effect for 90 days; or</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0" w:right="239" w:bottom="1440" w:gutter="0" w:footer="0" w:header="0"/>
        </w:sectPr>
      </w:pPr>
    </w:p>
    <w:bookmarkStart w:id="149" w:name="page150"/>
    <w:bookmarkEnd w:id="149"/>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 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81" w:lineRule="exact"/>
        <w:rPr>
          <w:sz w:val="20"/>
          <w:szCs w:val="20"/>
          <w:color w:val="auto"/>
        </w:rPr>
      </w:pPr>
    </w:p>
    <w:p>
      <w:pPr>
        <w:ind w:right="40" w:firstLine="8"/>
        <w:spacing w:after="0" w:line="282" w:lineRule="auto"/>
        <w:tabs>
          <w:tab w:leader="none" w:pos="2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54" w:lineRule="exact"/>
        <w:rPr>
          <w:sz w:val="20"/>
          <w:szCs w:val="20"/>
          <w:color w:val="auto"/>
        </w:rPr>
      </w:pPr>
    </w:p>
    <w:p>
      <w:pPr>
        <w:ind w:left="300" w:hanging="292"/>
        <w:spacing w:after="0"/>
        <w:tabs>
          <w:tab w:leader="none" w:pos="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on all Outstanding Securities of that series and any related coupons,</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28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53" w:lineRule="exact"/>
        <w:rPr>
          <w:rFonts w:ascii="Times New Roman" w:cs="Times New Roman" w:eastAsia="Times New Roman" w:hAnsi="Times New Roman"/>
          <w:sz w:val="18"/>
          <w:szCs w:val="18"/>
          <w:color w:val="auto"/>
        </w:rPr>
      </w:pPr>
    </w:p>
    <w:p>
      <w:pPr>
        <w:ind w:right="400" w:firstLine="8"/>
        <w:spacing w:after="0" w:line="282" w:lineRule="auto"/>
        <w:tabs>
          <w:tab w:leader="none" w:pos="28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at the rate or rates borne by or provided for in such Securities, and</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54" w:lineRule="exact"/>
        <w:rPr>
          <w:sz w:val="20"/>
          <w:szCs w:val="20"/>
          <w:color w:val="auto"/>
        </w:rPr>
      </w:pPr>
    </w:p>
    <w:p>
      <w:pPr>
        <w:ind w:right="140" w:firstLine="8"/>
        <w:spacing w:after="0" w:line="266" w:lineRule="auto"/>
        <w:tabs>
          <w:tab w:leader="none" w:pos="2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 The Company covenants that if:</w:t>
      </w:r>
    </w:p>
    <w:p>
      <w:pPr>
        <w:spacing w:after="0" w:line="117" w:lineRule="exact"/>
        <w:rPr>
          <w:sz w:val="20"/>
          <w:szCs w:val="20"/>
          <w:color w:val="auto"/>
        </w:rPr>
      </w:pPr>
    </w:p>
    <w:p>
      <w:pPr>
        <w:ind w:right="320" w:firstLine="8"/>
        <w:spacing w:after="0" w:line="282" w:lineRule="auto"/>
        <w:tabs>
          <w:tab w:leader="none" w:pos="2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or Make-Whole Amount, if any, on) any Security of any series at its Maturity,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0" w:right="239" w:bottom="1440" w:gutter="0" w:footer="0" w:header="0"/>
        </w:sectPr>
      </w:pPr>
    </w:p>
    <w:bookmarkStart w:id="150" w:name="page151"/>
    <w:bookmarkEnd w:id="150"/>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80" w:lineRule="exact"/>
        <w:rPr>
          <w:sz w:val="20"/>
          <w:szCs w:val="20"/>
          <w:color w:val="auto"/>
        </w:rPr>
      </w:pPr>
    </w:p>
    <w:p>
      <w:pPr>
        <w:ind w:right="20" w:firstLine="8"/>
        <w:spacing w:after="0" w:line="261" w:lineRule="auto"/>
        <w:tabs>
          <w:tab w:leader="none" w:pos="2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8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 or Coupons</w:t>
      </w:r>
      <w:r>
        <w:rPr>
          <w:rFonts w:ascii="Times New Roman" w:cs="Times New Roman" w:eastAsia="Times New Roman" w:hAnsi="Times New Roman"/>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270" w:right="2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To the payment of all amounts due the Trustee and any predecessor Trustee under Section 606;</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260" w:hanging="252"/>
        <w:spacing w:after="0"/>
        <w:tabs>
          <w:tab w:leader="none" w:pos="2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w:t>
      </w:r>
    </w:p>
    <w:p>
      <w:pPr>
        <w:spacing w:after="0" w:line="117" w:lineRule="exact"/>
        <w:rPr>
          <w:rFonts w:ascii="Times New Roman" w:cs="Times New Roman" w:eastAsia="Times New Roman" w:hAnsi="Times New Roman"/>
          <w:sz w:val="18"/>
          <w:szCs w:val="18"/>
          <w:color w:val="auto"/>
        </w:rPr>
      </w:pPr>
    </w:p>
    <w:p>
      <w:pPr>
        <w:ind w:right="60" w:firstLine="8"/>
        <w:spacing w:after="0" w:line="282"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right="600" w:firstLine="8"/>
        <w:spacing w:after="0" w:line="282"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reasonably satisfactory to the Trustee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117" w:lineRule="exact"/>
        <w:rPr>
          <w:rFonts w:ascii="Times New Roman" w:cs="Times New Roman" w:eastAsia="Times New Roman" w:hAnsi="Times New Roman"/>
          <w:sz w:val="18"/>
          <w:szCs w:val="18"/>
          <w:color w:val="auto"/>
        </w:rPr>
      </w:pPr>
    </w:p>
    <w:p>
      <w:pPr>
        <w:ind w:right="480" w:firstLine="8"/>
        <w:spacing w:after="0" w:line="282"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Unconditional Right of Holders to Receive Principal, Premium or Make-Whole Amount, if any, and Interest</w:t>
      </w:r>
      <w:r>
        <w:rPr>
          <w:rFonts w:ascii="Times New Roman" w:cs="Times New Roman" w:eastAsia="Times New Roman" w:hAnsi="Times New Roman"/>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Rights and Remedies Cumulative</w:t>
      </w:r>
      <w:r>
        <w:rPr>
          <w:rFonts w:ascii="Times New Roman" w:cs="Times New Roman" w:eastAsia="Times New Roman" w:hAnsi="Times New Roman"/>
          <w:sz w:val="17"/>
          <w:szCs w:val="17"/>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0" w:right="259" w:bottom="1440" w:gutter="0" w:footer="0" w:header="0"/>
        </w:sectPr>
      </w:pPr>
    </w:p>
    <w:bookmarkStart w:id="152" w:name="page153"/>
    <w:bookmarkEnd w:id="152"/>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 of Securities</w:t>
      </w:r>
      <w:r>
        <w:rPr>
          <w:rFonts w:ascii="Times New Roman" w:cs="Times New Roman" w:eastAsia="Times New Roman" w:hAnsi="Times New Roman"/>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260" w:hanging="252"/>
        <w:spacing w:after="0"/>
        <w:tabs>
          <w:tab w:leader="none" w:pos="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117" w:lineRule="exact"/>
        <w:rPr>
          <w:rFonts w:ascii="Times New Roman" w:cs="Times New Roman" w:eastAsia="Times New Roman" w:hAnsi="Times New Roman"/>
          <w:sz w:val="18"/>
          <w:szCs w:val="18"/>
          <w:color w:val="auto"/>
        </w:rPr>
      </w:pPr>
    </w:p>
    <w:p>
      <w:pPr>
        <w:ind w:right="360" w:firstLine="8"/>
        <w:spacing w:after="0" w:line="282" w:lineRule="auto"/>
        <w:tabs>
          <w:tab w:leader="none" w:pos="2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which might involve it in personal liability or be unduly prejudicial to the Holders of Securities of such series not joining therein.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Nothing in this Indenture shall impair the right of the Trustee in its discretion to take any action deemed proper by the Trustee and which is not inconsistent with such direction by Holders.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68" w:lineRule="exact"/>
        <w:rPr>
          <w:sz w:val="20"/>
          <w:szCs w:val="20"/>
          <w:color w:val="auto"/>
        </w:rPr>
      </w:pPr>
    </w:p>
    <w:p>
      <w:pPr>
        <w:ind w:left="260" w:hanging="252"/>
        <w:spacing w:after="0"/>
        <w:tabs>
          <w:tab w:leader="none" w:pos="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Make-Whole Amount, if any) or interest on any Security of such series or any related coupons, or</w:t>
      </w:r>
    </w:p>
    <w:p>
      <w:pPr>
        <w:spacing w:after="0" w:line="117" w:lineRule="exact"/>
        <w:rPr>
          <w:rFonts w:ascii="Times New Roman" w:cs="Times New Roman" w:eastAsia="Times New Roman" w:hAnsi="Times New Roman"/>
          <w:sz w:val="18"/>
          <w:szCs w:val="18"/>
          <w:color w:val="auto"/>
        </w:rPr>
      </w:pPr>
    </w:p>
    <w:p>
      <w:pPr>
        <w:ind w:right="800" w:firstLine="8"/>
        <w:spacing w:after="0" w:line="282" w:lineRule="auto"/>
        <w:tabs>
          <w:tab w:leader="none" w:pos="2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 or</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Waiver of Usury, Stay or Extension Laws</w:t>
      </w:r>
      <w:r>
        <w:rPr>
          <w:rFonts w:ascii="Times New Roman" w:cs="Times New Roman" w:eastAsia="Times New Roman" w:hAnsi="Times New Roman"/>
          <w:sz w:val="18"/>
          <w:szCs w:val="18"/>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0" w:right="23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SIX—THE TRUSTEE</w:t>
      </w:r>
    </w:p>
    <w:p>
      <w:pPr>
        <w:spacing w:after="0" w:line="22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 xml:space="preserve">SECTION 601. </w:t>
      </w:r>
      <w:r>
        <w:rPr>
          <w:rFonts w:ascii="Times New Roman" w:cs="Times New Roman" w:eastAsia="Times New Roman" w:hAnsi="Times New Roman"/>
          <w:sz w:val="17"/>
          <w:szCs w:val="17"/>
          <w:u w:val="single" w:color="auto"/>
          <w:color w:val="auto"/>
        </w:rPr>
        <w:t>Notice of Defaults</w:t>
      </w:r>
      <w:r>
        <w:rPr>
          <w:rFonts w:ascii="Times New Roman" w:cs="Times New Roman" w:eastAsia="Times New Roman" w:hAnsi="Times New Roman"/>
          <w:sz w:val="17"/>
          <w:szCs w:val="17"/>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Subject to the provisions of TIA Section 315(a) through 315(d):</w:t>
      </w:r>
    </w:p>
    <w:p>
      <w:pPr>
        <w:spacing w:after="0" w:line="117" w:lineRule="exact"/>
        <w:rPr>
          <w:sz w:val="20"/>
          <w:szCs w:val="20"/>
          <w:color w:val="auto"/>
        </w:rPr>
      </w:pPr>
    </w:p>
    <w:p>
      <w:pPr>
        <w:ind w:right="60" w:firstLine="8"/>
        <w:spacing w:after="0" w:line="266" w:lineRule="auto"/>
        <w:tabs>
          <w:tab w:leader="none" w:pos="2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68"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w:t>
      </w:r>
    </w:p>
    <w:p>
      <w:pPr>
        <w:spacing w:after="0" w:line="27" w:lineRule="exact"/>
        <w:rPr>
          <w:rFonts w:ascii="Times New Roman" w:cs="Times New Roman" w:eastAsia="Times New Roman" w:hAnsi="Times New Roman"/>
          <w:sz w:val="18"/>
          <w:szCs w:val="18"/>
          <w:color w:val="auto"/>
        </w:rPr>
      </w:pPr>
    </w:p>
    <w:p>
      <w:pPr>
        <w:ind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omitting any action hereunder, the Trustee (unless other evidence be herein specifically prescribed) may, in the absence of bad faith on its part, rely upon an Officers’ Certificate;</w:t>
      </w:r>
    </w:p>
    <w:p>
      <w:pPr>
        <w:spacing w:after="0" w:line="71" w:lineRule="exact"/>
        <w:rPr>
          <w:rFonts w:ascii="Times New Roman" w:cs="Times New Roman" w:eastAsia="Times New Roman" w:hAnsi="Times New Roman"/>
          <w:sz w:val="18"/>
          <w:szCs w:val="18"/>
          <w:color w:val="auto"/>
        </w:rPr>
      </w:pPr>
    </w:p>
    <w:p>
      <w:pPr>
        <w:ind w:right="360" w:firstLine="8"/>
        <w:spacing w:after="0" w:line="282" w:lineRule="auto"/>
        <w:tabs>
          <w:tab w:leader="none" w:pos="2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53" w:lineRule="exact"/>
        <w:rPr>
          <w:rFonts w:ascii="Times New Roman" w:cs="Times New Roman" w:eastAsia="Times New Roman" w:hAnsi="Times New Roman"/>
          <w:sz w:val="18"/>
          <w:szCs w:val="18"/>
          <w:color w:val="auto"/>
        </w:rPr>
      </w:pPr>
    </w:p>
    <w:p>
      <w:pPr>
        <w:ind w:right="240" w:firstLine="8"/>
        <w:spacing w:after="0" w:line="261" w:lineRule="auto"/>
        <w:tabs>
          <w:tab w:leader="none" w:pos="2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71"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0" w:right="239" w:bottom="1440" w:gutter="0" w:footer="0" w:header="0"/>
        </w:sectPr>
      </w:pPr>
    </w:p>
    <w:bookmarkStart w:id="154" w:name="page155"/>
    <w:bookmarkEnd w:id="154"/>
    <w:p>
      <w:pPr>
        <w:ind w:right="80" w:firstLine="8"/>
        <w:spacing w:after="0" w:line="282" w:lineRule="auto"/>
        <w:tabs>
          <w:tab w:leader="none" w:pos="2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53"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right="400" w:firstLine="8"/>
        <w:spacing w:after="0" w:line="282" w:lineRule="auto"/>
        <w:tabs>
          <w:tab w:leader="none" w:pos="2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 or power available to the Trustee under this Indenture or any supplement hereto shall not be construed to be a mandatory duty or obligation;</w:t>
      </w:r>
    </w:p>
    <w:p>
      <w:pPr>
        <w:spacing w:after="0" w:line="53" w:lineRule="exact"/>
        <w:rPr>
          <w:rFonts w:ascii="Times New Roman" w:cs="Times New Roman" w:eastAsia="Times New Roman" w:hAnsi="Times New Roman"/>
          <w:sz w:val="18"/>
          <w:szCs w:val="18"/>
          <w:color w:val="auto"/>
        </w:rPr>
      </w:pPr>
    </w:p>
    <w:p>
      <w:pPr>
        <w:ind w:right="200" w:firstLine="8"/>
        <w:spacing w:after="0" w:line="266" w:lineRule="auto"/>
        <w:tabs>
          <w:tab w:leader="none" w:pos="34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68" w:lineRule="exact"/>
        <w:rPr>
          <w:rFonts w:ascii="Times New Roman" w:cs="Times New Roman" w:eastAsia="Times New Roman" w:hAnsi="Times New Roman"/>
          <w:sz w:val="18"/>
          <w:szCs w:val="18"/>
          <w:color w:val="auto"/>
        </w:rPr>
      </w:pPr>
    </w:p>
    <w:p>
      <w:pPr>
        <w:ind w:right="240" w:firstLine="8"/>
        <w:spacing w:after="0" w:line="282" w:lineRule="auto"/>
        <w:tabs>
          <w:tab w:leader="none" w:pos="3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53" w:lineRule="exact"/>
        <w:rPr>
          <w:rFonts w:ascii="Times New Roman" w:cs="Times New Roman" w:eastAsia="Times New Roman" w:hAnsi="Times New Roman"/>
          <w:sz w:val="18"/>
          <w:szCs w:val="18"/>
          <w:color w:val="auto"/>
        </w:rPr>
      </w:pPr>
    </w:p>
    <w:p>
      <w:pPr>
        <w:ind w:right="60" w:firstLine="8"/>
        <w:spacing w:after="0" w:line="266" w:lineRule="auto"/>
        <w:tabs>
          <w:tab w:leader="none" w:pos="34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68" w:lineRule="exact"/>
        <w:rPr>
          <w:rFonts w:ascii="Times New Roman" w:cs="Times New Roman" w:eastAsia="Times New Roman" w:hAnsi="Times New Roman"/>
          <w:sz w:val="18"/>
          <w:szCs w:val="18"/>
          <w:color w:val="auto"/>
        </w:rPr>
      </w:pPr>
    </w:p>
    <w:p>
      <w:pPr>
        <w:ind w:right="380" w:firstLine="8"/>
        <w:spacing w:after="0" w:line="266" w:lineRule="auto"/>
        <w:tabs>
          <w:tab w:leader="none" w:pos="34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SECTION 603. Not Responsible for Recitals or Issuance of Securities.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-854075</wp:posOffset>
            </wp:positionV>
            <wp:extent cx="24949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94915" cy="8890"/>
                    </a:xfrm>
                    <a:prstGeom prst="rect">
                      <a:avLst/>
                    </a:prstGeom>
                    <a:noFill/>
                  </pic:spPr>
                </pic:pic>
              </a:graphicData>
            </a:graphic>
          </wp:anchor>
        </w:drawing>
      </w:r>
    </w:p>
    <w:p>
      <w:pPr>
        <w:spacing w:after="0" w:line="169"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u w:val="single" w:color="auto"/>
          <w:color w:val="auto"/>
        </w:rPr>
        <w:t>May Hold Securities</w:t>
      </w:r>
      <w:r>
        <w:rPr>
          <w:rFonts w:ascii="Times New Roman" w:cs="Times New Roman" w:eastAsia="Times New Roman" w:hAnsi="Times New Roman"/>
          <w:sz w:val="17"/>
          <w:szCs w:val="17"/>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 The Company agrees: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0" w:right="239" w:bottom="1440" w:gutter="0" w:footer="0" w:header="0"/>
        </w:sectPr>
      </w:pPr>
    </w:p>
    <w:bookmarkStart w:id="155" w:name="page156"/>
    <w:bookmarkEnd w:id="155"/>
    <w:p>
      <w:pPr>
        <w:ind w:right="140" w:firstLine="8"/>
        <w:spacing w:after="0" w:line="282" w:lineRule="auto"/>
        <w:tabs>
          <w:tab w:leader="none" w:pos="2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53" w:lineRule="exact"/>
        <w:rPr>
          <w:rFonts w:ascii="Times New Roman" w:cs="Times New Roman" w:eastAsia="Times New Roman" w:hAnsi="Times New Roman"/>
          <w:sz w:val="18"/>
          <w:szCs w:val="18"/>
          <w:color w:val="auto"/>
        </w:rPr>
      </w:pPr>
    </w:p>
    <w:p>
      <w:pPr>
        <w:ind w:right="140" w:firstLine="8"/>
        <w:spacing w:after="0" w:line="261" w:lineRule="auto"/>
        <w:tabs>
          <w:tab w:leader="none" w:pos="2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71" w:lineRule="exact"/>
        <w:rPr>
          <w:rFonts w:ascii="Times New Roman" w:cs="Times New Roman" w:eastAsia="Times New Roman" w:hAnsi="Times New Roman"/>
          <w:sz w:val="18"/>
          <w:szCs w:val="18"/>
          <w:color w:val="auto"/>
        </w:rPr>
      </w:pPr>
    </w:p>
    <w:p>
      <w:pPr>
        <w:ind w:right="280" w:firstLine="8"/>
        <w:spacing w:after="0" w:line="261" w:lineRule="auto"/>
        <w:tabs>
          <w:tab w:leader="none" w:pos="2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Trustee Required; Eligibility; Conflicting Interests</w:t>
      </w:r>
      <w:r>
        <w:rPr>
          <w:rFonts w:ascii="Times New Roman" w:cs="Times New Roman" w:eastAsia="Times New Roman" w:hAnsi="Times New Roman"/>
          <w:sz w:val="18"/>
          <w:szCs w:val="18"/>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8"/>
        <w:spacing w:after="0" w:line="282" w:lineRule="auto"/>
        <w:tabs>
          <w:tab w:leader="none" w:pos="24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53" w:lineRule="exact"/>
        <w:rPr>
          <w:rFonts w:ascii="Times New Roman" w:cs="Times New Roman" w:eastAsia="Times New Roman" w:hAnsi="Times New Roman"/>
          <w:sz w:val="18"/>
          <w:szCs w:val="18"/>
          <w:color w:val="auto"/>
        </w:rPr>
      </w:pPr>
    </w:p>
    <w:p>
      <w:pPr>
        <w:jc w:val="both"/>
        <w:ind w:right="180" w:firstLine="8"/>
        <w:spacing w:after="0" w:line="266" w:lineRule="auto"/>
        <w:tabs>
          <w:tab w:leader="none" w:pos="2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68" w:lineRule="exact"/>
        <w:rPr>
          <w:rFonts w:ascii="Times New Roman" w:cs="Times New Roman" w:eastAsia="Times New Roman" w:hAnsi="Times New Roman"/>
          <w:sz w:val="18"/>
          <w:szCs w:val="18"/>
          <w:color w:val="auto"/>
        </w:rPr>
      </w:pPr>
    </w:p>
    <w:p>
      <w:pPr>
        <w:ind w:right="160" w:firstLine="8"/>
        <w:spacing w:after="0" w:line="261" w:lineRule="auto"/>
        <w:tabs>
          <w:tab w:leader="none" w:pos="24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0" w:right="239" w:bottom="1440" w:gutter="0" w:footer="0" w:header="0"/>
        </w:sectPr>
      </w:pPr>
    </w:p>
    <w:bookmarkStart w:id="156" w:name="page157"/>
    <w:bookmarkEnd w:id="156"/>
    <w:p>
      <w:pPr>
        <w:ind w:right="220" w:firstLine="8"/>
        <w:spacing w:after="0" w:line="282" w:lineRule="auto"/>
        <w:tabs>
          <w:tab w:leader="none" w:pos="2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fail to comply with the provisions of TIA Section 310(b) after written request therefor by the Company or by any Holder of a Security who has been a bona fide Holder of a Security for at least six months, or</w:t>
      </w:r>
    </w:p>
    <w:p>
      <w:pPr>
        <w:spacing w:after="0" w:line="53" w:lineRule="exact"/>
        <w:rPr>
          <w:rFonts w:ascii="Times New Roman" w:cs="Times New Roman" w:eastAsia="Times New Roman" w:hAnsi="Times New Roman"/>
          <w:sz w:val="18"/>
          <w:szCs w:val="18"/>
          <w:color w:val="auto"/>
        </w:rPr>
      </w:pPr>
    </w:p>
    <w:p>
      <w:pPr>
        <w:ind w:right="580" w:firstLine="8"/>
        <w:spacing w:after="0" w:line="282" w:lineRule="auto"/>
        <w:tabs>
          <w:tab w:leader="none" w:pos="2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53"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2" w:lineRule="exact"/>
        <w:rPr>
          <w:sz w:val="20"/>
          <w:szCs w:val="20"/>
          <w:color w:val="auto"/>
        </w:rPr>
      </w:pPr>
    </w:p>
    <w:p>
      <w:pPr>
        <w:ind w:right="40" w:firstLine="8"/>
        <w:spacing w:after="0" w:line="253" w:lineRule="auto"/>
        <w:tabs>
          <w:tab w:leader="none" w:pos="24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84"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22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5" w:lineRule="auto"/>
        <w:tabs>
          <w:tab w:leader="none" w:pos="24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81" w:lineRule="exact"/>
        <w:rPr>
          <w:rFonts w:ascii="Times New Roman" w:cs="Times New Roman" w:eastAsia="Times New Roman" w:hAnsi="Times New Roman"/>
          <w:sz w:val="18"/>
          <w:szCs w:val="18"/>
          <w:color w:val="auto"/>
        </w:rPr>
      </w:pPr>
    </w:p>
    <w:p>
      <w:pPr>
        <w:ind w:firstLine="8"/>
        <w:spacing w:after="0" w:line="256" w:lineRule="auto"/>
        <w:tabs>
          <w:tab w:leader="none" w:pos="2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270" w:right="279" w:bottom="1440" w:gutter="0" w:footer="0" w:header="0"/>
        </w:sectPr>
      </w:pPr>
    </w:p>
    <w:bookmarkStart w:id="157" w:name="page158"/>
    <w:bookmarkEnd w:id="15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78" w:lineRule="exact"/>
        <w:rPr>
          <w:sz w:val="20"/>
          <w:szCs w:val="20"/>
          <w:color w:val="auto"/>
        </w:rPr>
      </w:pPr>
    </w:p>
    <w:p>
      <w:pPr>
        <w:ind w:right="140" w:firstLine="8"/>
        <w:spacing w:after="0" w:line="282" w:lineRule="auto"/>
        <w:tabs>
          <w:tab w:leader="none" w:pos="24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8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0" w:right="239" w:bottom="1440" w:gutter="0" w:footer="0" w:header="0"/>
        </w:sectPr>
      </w:pPr>
    </w:p>
    <w:bookmarkStart w:id="158" w:name="page159"/>
    <w:bookmarkEnd w:id="15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740" w:type="dxa"/>
            <w:vAlign w:val="bottom"/>
            <w:gridSpan w:val="2"/>
          </w:tcPr>
          <w:p>
            <w:pPr>
              <w:ind w:left="5360"/>
              <w:spacing w:after="0"/>
              <w:rPr>
                <w:sz w:val="20"/>
                <w:szCs w:val="20"/>
                <w:color w:val="auto"/>
              </w:rPr>
            </w:pPr>
            <w:r>
              <w:rPr>
                <w:rFonts w:ascii="Times New Roman" w:cs="Times New Roman" w:eastAsia="Times New Roman" w:hAnsi="Times New Roman"/>
                <w:sz w:val="18"/>
                <w:szCs w:val="18"/>
                <w:color w:val="auto"/>
              </w:rPr>
              <w:t>[</w:t>
            </w:r>
          </w:p>
        </w:tc>
        <w:tc>
          <w:tcPr>
            <w:tcW w:w="514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98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as Trustee</w:t>
            </w:r>
          </w:p>
        </w:tc>
      </w:tr>
      <w:tr>
        <w:trPr>
          <w:trHeight w:val="39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00" w:type="dxa"/>
            <w:vAlign w:val="bottom"/>
            <w:tcBorders>
              <w:bottom w:val="single" w:sz="8" w:color="auto"/>
            </w:tcBorders>
          </w:tcPr>
          <w:p>
            <w:pPr>
              <w:spacing w:after="0"/>
              <w:rPr>
                <w:sz w:val="24"/>
                <w:szCs w:val="24"/>
                <w:color w:val="auto"/>
              </w:rPr>
            </w:pPr>
          </w:p>
        </w:tc>
        <w:tc>
          <w:tcPr>
            <w:tcW w:w="48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28"/>
        </w:trPr>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r>
        <w:trPr>
          <w:trHeight w:val="38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00" w:type="dxa"/>
            <w:vAlign w:val="bottom"/>
            <w:tcBorders>
              <w:bottom w:val="single" w:sz="8" w:color="auto"/>
            </w:tcBorders>
          </w:tcPr>
          <w:p>
            <w:pPr>
              <w:spacing w:after="0"/>
              <w:rPr>
                <w:sz w:val="24"/>
                <w:szCs w:val="24"/>
                <w:color w:val="auto"/>
              </w:rPr>
            </w:pPr>
          </w:p>
        </w:tc>
        <w:tc>
          <w:tcPr>
            <w:tcW w:w="48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spacing w:after="0"/>
              <w:rPr>
                <w:sz w:val="24"/>
                <w:szCs w:val="24"/>
                <w:color w:val="auto"/>
              </w:rPr>
            </w:pPr>
          </w:p>
        </w:tc>
      </w:tr>
      <w:tr>
        <w:trPr>
          <w:trHeight w:val="21"/>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28"/>
        </w:trPr>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Certain Duties and Responsibilities of the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With respect to the Securities of any series, except during the continuance of an Event of Default with respect to the Securities of such series:</w:t>
      </w:r>
    </w:p>
    <w:p>
      <w:pPr>
        <w:spacing w:after="0" w:line="117" w:lineRule="exact"/>
        <w:rPr>
          <w:sz w:val="20"/>
          <w:szCs w:val="20"/>
          <w:color w:val="auto"/>
        </w:rPr>
      </w:pPr>
    </w:p>
    <w:p>
      <w:pPr>
        <w:ind w:right="180" w:firstLine="8"/>
        <w:spacing w:after="0" w:line="282" w:lineRule="auto"/>
        <w:tabs>
          <w:tab w:leader="none" w:pos="2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right="120" w:firstLine="8"/>
        <w:spacing w:after="0" w:line="261" w:lineRule="auto"/>
        <w:tabs>
          <w:tab w:leader="none" w:pos="2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72" w:lineRule="exact"/>
        <w:rPr>
          <w:sz w:val="20"/>
          <w:szCs w:val="20"/>
          <w:color w:val="auto"/>
        </w:rPr>
      </w:pPr>
    </w:p>
    <w:p>
      <w:pPr>
        <w:ind w:right="20" w:firstLine="8"/>
        <w:spacing w:after="0" w:line="266" w:lineRule="auto"/>
        <w:tabs>
          <w:tab w:leader="none" w:pos="2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0" w:right="239" w:bottom="1440" w:gutter="0" w:footer="0" w:header="0"/>
        </w:sectPr>
      </w:pPr>
    </w:p>
    <w:bookmarkStart w:id="159" w:name="page160"/>
    <w:bookmarkEnd w:id="159"/>
    <w:p>
      <w:pPr>
        <w:ind w:right="320" w:firstLine="8"/>
        <w:spacing w:after="0" w:line="282" w:lineRule="auto"/>
        <w:tabs>
          <w:tab w:leader="none" w:pos="24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provision of this Indenture shall be construed to relieve the Trustee from liability for its own negligent action, its own negligent failure to act, or its own willful misconduct, except that:</w:t>
      </w:r>
    </w:p>
    <w:p>
      <w:pPr>
        <w:spacing w:after="0" w:line="54" w:lineRule="exact"/>
        <w:rPr>
          <w:sz w:val="20"/>
          <w:szCs w:val="20"/>
          <w:color w:val="auto"/>
        </w:rPr>
      </w:pPr>
    </w:p>
    <w:p>
      <w:pPr>
        <w:ind w:left="260" w:hanging="252"/>
        <w:spacing w:after="0"/>
        <w:tabs>
          <w:tab w:leader="none" w:pos="2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117" w:lineRule="exact"/>
        <w:rPr>
          <w:rFonts w:ascii="Times New Roman" w:cs="Times New Roman" w:eastAsia="Times New Roman" w:hAnsi="Times New Roman"/>
          <w:sz w:val="18"/>
          <w:szCs w:val="18"/>
          <w:color w:val="auto"/>
        </w:rPr>
      </w:pPr>
    </w:p>
    <w:p>
      <w:pPr>
        <w:ind w:right="620" w:firstLine="8"/>
        <w:spacing w:after="0" w:line="282" w:lineRule="auto"/>
        <w:tabs>
          <w:tab w:leader="none" w:pos="2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68" w:lineRule="exact"/>
        <w:rPr>
          <w:rFonts w:ascii="Times New Roman" w:cs="Times New Roman" w:eastAsia="Times New Roman" w:hAnsi="Times New Roman"/>
          <w:sz w:val="18"/>
          <w:szCs w:val="18"/>
          <w:color w:val="auto"/>
        </w:rPr>
      </w:pPr>
    </w:p>
    <w:p>
      <w:pPr>
        <w:ind w:right="80" w:firstLine="8"/>
        <w:spacing w:after="0" w:line="258" w:lineRule="auto"/>
        <w:tabs>
          <w:tab w:leader="none" w:pos="2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76" w:lineRule="exact"/>
        <w:rPr>
          <w:sz w:val="20"/>
          <w:szCs w:val="20"/>
          <w:color w:val="auto"/>
        </w:rPr>
      </w:pPr>
    </w:p>
    <w:p>
      <w:pPr>
        <w:ind w:right="180" w:firstLine="8"/>
        <w:spacing w:after="0" w:line="282" w:lineRule="auto"/>
        <w:tabs>
          <w:tab w:leader="none" w:pos="2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53" w:lineRule="exact"/>
        <w:rPr>
          <w:rFonts w:ascii="Times New Roman" w:cs="Times New Roman" w:eastAsia="Times New Roman" w:hAnsi="Times New Roman"/>
          <w:sz w:val="18"/>
          <w:szCs w:val="18"/>
          <w:color w:val="auto"/>
        </w:rPr>
      </w:pPr>
    </w:p>
    <w:p>
      <w:pPr>
        <w:ind w:right="460" w:firstLine="8"/>
        <w:spacing w:after="0" w:line="282" w:lineRule="auto"/>
        <w:tabs>
          <w:tab w:leader="none" w:pos="24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SEVEN—HOLDERS’ LISTS AND REPORTS BY TRUSTEE AND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Disclosure of Names and Addresses of Holders</w:t>
      </w:r>
      <w:r>
        <w:rPr>
          <w:rFonts w:ascii="Times New Roman" w:cs="Times New Roman" w:eastAsia="Times New Roman" w:hAnsi="Times New Roman"/>
          <w:sz w:val="18"/>
          <w:szCs w:val="18"/>
          <w:color w:val="auto"/>
        </w:rPr>
        <w:t>. Every Holder of Securities or coupons, by receiving and holding the same, agrees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Trustee that neither the Company nor the Trustee nor any Authenticating Agent nor any Paying Agent nor any Security Registrar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accountable by reason of the disclosure of any information as to the names and addresses of the Holders of Securities in accordance with 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312, regardless of the source from which such information was derived, and that the Trustee shall not be held accountable by reason of mailing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pursuant to a request made under TIA Section 312(b).</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 201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 The Company will:</w:t>
      </w:r>
    </w:p>
    <w:p>
      <w:pPr>
        <w:spacing w:after="0" w:line="117" w:lineRule="exact"/>
        <w:rPr>
          <w:sz w:val="20"/>
          <w:szCs w:val="20"/>
          <w:color w:val="auto"/>
        </w:rPr>
      </w:pPr>
    </w:p>
    <w:p>
      <w:pPr>
        <w:ind w:firstLine="8"/>
        <w:spacing w:after="0" w:line="255" w:lineRule="auto"/>
        <w:tabs>
          <w:tab w:leader="none" w:pos="2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as an accelerated filer with the Commission pursuant to Section 13 or Section 15(d) of the Exchange Act (and if the Company’s status as an accelerated filer changes, the Company shall provide written notice of such change to the Trustee);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0" w:right="239" w:bottom="1440" w:gutter="0" w:footer="0" w:header="0"/>
        </w:sectPr>
      </w:pPr>
    </w:p>
    <w:bookmarkStart w:id="160" w:name="page161"/>
    <w:bookmarkEnd w:id="160"/>
    <w:p>
      <w:pPr>
        <w:ind w:right="80" w:firstLine="8"/>
        <w:spacing w:after="0" w:line="266" w:lineRule="auto"/>
        <w:tabs>
          <w:tab w:leader="none" w:pos="2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68" w:lineRule="exact"/>
        <w:rPr>
          <w:rFonts w:ascii="Times New Roman" w:cs="Times New Roman" w:eastAsia="Times New Roman" w:hAnsi="Times New Roman"/>
          <w:sz w:val="18"/>
          <w:szCs w:val="18"/>
          <w:color w:val="auto"/>
        </w:rPr>
      </w:pPr>
    </w:p>
    <w:p>
      <w:pPr>
        <w:ind w:right="60" w:firstLine="8"/>
        <w:spacing w:after="0" w:line="266" w:lineRule="auto"/>
        <w:tabs>
          <w:tab w:leader="none" w:pos="2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Company to Furnish Trustee Names and Addresses of Holder</w:t>
      </w:r>
      <w:r>
        <w:rPr>
          <w:rFonts w:ascii="Times New Roman" w:cs="Times New Roman" w:eastAsia="Times New Roman" w:hAnsi="Times New Roman"/>
          <w:sz w:val="18"/>
          <w:szCs w:val="18"/>
          <w:color w:val="auto"/>
        </w:rPr>
        <w:t>. The Company will furnish or cause to be furnished to the Trustee:</w:t>
      </w:r>
    </w:p>
    <w:p>
      <w:pPr>
        <w:spacing w:after="0" w:line="117" w:lineRule="exact"/>
        <w:rPr>
          <w:sz w:val="20"/>
          <w:szCs w:val="20"/>
          <w:color w:val="auto"/>
        </w:rPr>
      </w:pPr>
    </w:p>
    <w:p>
      <w:pPr>
        <w:ind w:right="20" w:firstLine="8"/>
        <w:spacing w:after="0" w:line="261" w:lineRule="auto"/>
        <w:tabs>
          <w:tab w:leader="none" w:pos="24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71" w:lineRule="exact"/>
        <w:rPr>
          <w:rFonts w:ascii="Times New Roman" w:cs="Times New Roman" w:eastAsia="Times New Roman" w:hAnsi="Times New Roman"/>
          <w:sz w:val="18"/>
          <w:szCs w:val="18"/>
          <w:color w:val="auto"/>
        </w:rPr>
      </w:pPr>
    </w:p>
    <w:p>
      <w:pPr>
        <w:ind w:right="200" w:firstLine="8"/>
        <w:spacing w:after="0" w:line="282" w:lineRule="auto"/>
        <w:tabs>
          <w:tab w:leader="none" w:pos="2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the Trustee is the Security Registrar, no such list shall be required to be furnished.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EIGHT—CONSOLIDATION, MERGER, SALE, LEASE OR CONVEYANCE</w:t>
      </w:r>
    </w:p>
    <w:p>
      <w:pPr>
        <w:spacing w:after="0" w:line="22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Consolidations and Mergers of Company and Sales, Leases and Conveyances Permitted Subject to Certain Conditions</w:t>
      </w:r>
      <w:r>
        <w:rPr>
          <w:rFonts w:ascii="Times New Roman" w:cs="Times New Roman" w:eastAsia="Times New Roman" w:hAnsi="Times New Roman"/>
          <w:sz w:val="18"/>
          <w:szCs w:val="18"/>
          <w:color w:val="auto"/>
        </w:rPr>
        <w:t>. The Company may consolidate with, or sell, lease or convey all or substantially all of its assets to, or merge with or into any other corporation, provided that in any such case,</w:t>
      </w:r>
    </w:p>
    <w:p>
      <w:pPr>
        <w:ind w:firstLine="8"/>
        <w:spacing w:after="0" w:line="251" w:lineRule="auto"/>
        <w:tabs>
          <w:tab w:leader="none" w:pos="2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and Duties of Successor Corporation</w:t>
      </w:r>
      <w:r>
        <w:rPr>
          <w:rFonts w:ascii="Times New Roman" w:cs="Times New Roman" w:eastAsia="Times New Roman" w:hAnsi="Times New Roman"/>
          <w:sz w:val="18"/>
          <w:szCs w:val="18"/>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270" w:right="259" w:bottom="1440" w:gutter="0" w:footer="0" w:header="0"/>
        </w:sectPr>
      </w:pPr>
    </w:p>
    <w:bookmarkStart w:id="161" w:name="page162"/>
    <w:bookmarkEnd w:id="161"/>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Officers’ Certificate and Opinion of Counsel</w:t>
      </w:r>
      <w:r>
        <w:rPr>
          <w:rFonts w:ascii="Times New Roman" w:cs="Times New Roman" w:eastAsia="Times New Roman" w:hAnsi="Times New Roman"/>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NINE—SUPPLEMENTAL INDENTURES</w:t>
      </w:r>
    </w:p>
    <w:p>
      <w:pPr>
        <w:spacing w:after="0" w:line="22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68" w:lineRule="exact"/>
        <w:rPr>
          <w:sz w:val="20"/>
          <w:szCs w:val="20"/>
          <w:color w:val="auto"/>
        </w:rPr>
      </w:pPr>
    </w:p>
    <w:p>
      <w:pPr>
        <w:ind w:firstLine="8"/>
        <w:spacing w:after="0" w:line="282" w:lineRule="auto"/>
        <w:tabs>
          <w:tab w:leader="none" w:pos="2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or</w:t>
      </w:r>
    </w:p>
    <w:p>
      <w:pPr>
        <w:spacing w:after="0" w:line="53" w:lineRule="exact"/>
        <w:rPr>
          <w:rFonts w:ascii="Times New Roman" w:cs="Times New Roman" w:eastAsia="Times New Roman" w:hAnsi="Times New Roman"/>
          <w:sz w:val="18"/>
          <w:szCs w:val="18"/>
          <w:color w:val="auto"/>
        </w:rPr>
      </w:pPr>
    </w:p>
    <w:p>
      <w:pPr>
        <w:ind w:right="240" w:firstLine="8"/>
        <w:spacing w:after="0" w:line="266" w:lineRule="auto"/>
        <w:tabs>
          <w:tab w:leader="none" w:pos="2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68" w:lineRule="exact"/>
        <w:rPr>
          <w:rFonts w:ascii="Times New Roman" w:cs="Times New Roman" w:eastAsia="Times New Roman" w:hAnsi="Times New Roman"/>
          <w:sz w:val="18"/>
          <w:szCs w:val="18"/>
          <w:color w:val="auto"/>
        </w:rPr>
      </w:pPr>
    </w:p>
    <w:p>
      <w:pPr>
        <w:ind w:right="180" w:firstLine="8"/>
        <w:spacing w:after="0" w:line="256" w:lineRule="auto"/>
        <w:tabs>
          <w:tab w:leader="none" w:pos="2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79" w:lineRule="exact"/>
        <w:rPr>
          <w:rFonts w:ascii="Times New Roman" w:cs="Times New Roman" w:eastAsia="Times New Roman" w:hAnsi="Times New Roman"/>
          <w:sz w:val="18"/>
          <w:szCs w:val="18"/>
          <w:color w:val="auto"/>
        </w:rPr>
      </w:pPr>
    </w:p>
    <w:p>
      <w:pPr>
        <w:ind w:right="160" w:firstLine="8"/>
        <w:spacing w:after="0" w:line="258" w:lineRule="auto"/>
        <w:tabs>
          <w:tab w:leader="none" w:pos="2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any series or any related coupons in any material respect; or</w:t>
      </w:r>
    </w:p>
    <w:p>
      <w:pPr>
        <w:spacing w:after="0" w:line="75" w:lineRule="exact"/>
        <w:rPr>
          <w:rFonts w:ascii="Times New Roman" w:cs="Times New Roman" w:eastAsia="Times New Roman" w:hAnsi="Times New Roman"/>
          <w:sz w:val="18"/>
          <w:szCs w:val="18"/>
          <w:color w:val="auto"/>
        </w:rPr>
      </w:pPr>
    </w:p>
    <w:p>
      <w:pPr>
        <w:ind w:right="160" w:firstLine="8"/>
        <w:spacing w:after="0" w:line="282" w:lineRule="auto"/>
        <w:tabs>
          <w:tab w:leader="none" w:pos="2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and any related coupons as permitted or contemplated by Sections 201 and 301;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70" w:right="239" w:bottom="1440" w:gutter="0" w:footer="0" w:header="0"/>
        </w:sectPr>
      </w:pPr>
    </w:p>
    <w:bookmarkStart w:id="162" w:name="page163"/>
    <w:bookmarkEnd w:id="162"/>
    <w:p>
      <w:pPr>
        <w:ind w:firstLine="8"/>
        <w:spacing w:after="0" w:line="266" w:lineRule="auto"/>
        <w:tabs>
          <w:tab w:leader="none" w:pos="25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68" w:lineRule="exact"/>
        <w:rPr>
          <w:rFonts w:ascii="Times New Roman" w:cs="Times New Roman" w:eastAsia="Times New Roman" w:hAnsi="Times New Roman"/>
          <w:sz w:val="18"/>
          <w:szCs w:val="18"/>
          <w:color w:val="auto"/>
        </w:rPr>
      </w:pPr>
    </w:p>
    <w:p>
      <w:pPr>
        <w:ind w:right="180" w:firstLine="8"/>
        <w:spacing w:after="0" w:line="289" w:lineRule="auto"/>
        <w:tabs>
          <w:tab w:leader="none" w:pos="25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such provisions shall not adversely affect the interests of the Holders of Securities of any series or any related coupons in any material respect; or</w:t>
      </w:r>
    </w:p>
    <w:p>
      <w:pPr>
        <w:spacing w:after="0" w:line="50" w:lineRule="exact"/>
        <w:rPr>
          <w:rFonts w:ascii="Times New Roman" w:cs="Times New Roman" w:eastAsia="Times New Roman" w:hAnsi="Times New Roman"/>
          <w:sz w:val="17"/>
          <w:szCs w:val="17"/>
          <w:color w:val="auto"/>
        </w:rPr>
      </w:pPr>
    </w:p>
    <w:p>
      <w:pPr>
        <w:ind w:left="360" w:hanging="352"/>
        <w:spacing w:after="0"/>
        <w:tabs>
          <w:tab w:leader="none" w:pos="3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this Indenture to such extent as shall be necessary to permit or facilitate the Defeasance and discharge of any</w:t>
      </w:r>
    </w:p>
    <w:p>
      <w:pPr>
        <w:spacing w:after="0" w:line="27" w:lineRule="exact"/>
        <w:rPr>
          <w:rFonts w:ascii="Times New Roman" w:cs="Times New Roman" w:eastAsia="Times New Roman" w:hAnsi="Times New Roman"/>
          <w:sz w:val="18"/>
          <w:szCs w:val="18"/>
          <w:color w:val="auto"/>
        </w:rPr>
      </w:pPr>
    </w:p>
    <w:p>
      <w:pPr>
        <w:ind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series of Securities pursuant to Sections 401, 1402 and 1403;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Holders’ rights of conversion with respect to any series of Securities pursuant to Article Seventeen.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w:t>
      </w:r>
    </w:p>
    <w:p>
      <w:pPr>
        <w:spacing w:after="0" w:line="80" w:lineRule="exact"/>
        <w:rPr>
          <w:sz w:val="20"/>
          <w:szCs w:val="20"/>
          <w:color w:val="auto"/>
        </w:rPr>
      </w:pPr>
    </w:p>
    <w:p>
      <w:pPr>
        <w:ind w:right="40" w:firstLine="8"/>
        <w:spacing w:after="0" w:line="254" w:lineRule="auto"/>
        <w:tabs>
          <w:tab w:leader="none" w:pos="2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78" w:lineRule="exact"/>
        <w:rPr>
          <w:rFonts w:ascii="Times New Roman" w:cs="Times New Roman" w:eastAsia="Times New Roman" w:hAnsi="Times New Roman"/>
          <w:sz w:val="18"/>
          <w:szCs w:val="18"/>
          <w:color w:val="auto"/>
        </w:rPr>
      </w:pPr>
    </w:p>
    <w:p>
      <w:pPr>
        <w:ind w:right="60" w:firstLine="8"/>
        <w:spacing w:after="0" w:line="289" w:lineRule="auto"/>
        <w:tabs>
          <w:tab w:leader="none" w:pos="25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50" w:lineRule="exact"/>
        <w:rPr>
          <w:rFonts w:ascii="Times New Roman" w:cs="Times New Roman" w:eastAsia="Times New Roman" w:hAnsi="Times New Roman"/>
          <w:sz w:val="17"/>
          <w:szCs w:val="17"/>
          <w:color w:val="auto"/>
        </w:rPr>
      </w:pPr>
    </w:p>
    <w:p>
      <w:pPr>
        <w:ind w:right="120" w:firstLine="8"/>
        <w:spacing w:after="0" w:line="258" w:lineRule="auto"/>
        <w:tabs>
          <w:tab w:leader="none" w:pos="2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270" w:right="259" w:bottom="1440" w:gutter="0" w:footer="0" w:header="0"/>
        </w:sectPr>
      </w:pPr>
    </w:p>
    <w:bookmarkStart w:id="163" w:name="page164"/>
    <w:bookmarkEnd w:id="163"/>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TEN—COVENANTS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Principal, Premium or Make-Whole Amount, if any; and Interest</w:t>
      </w:r>
      <w:r>
        <w:rPr>
          <w:rFonts w:ascii="Times New Roman" w:cs="Times New Roman" w:eastAsia="Times New Roman" w:hAnsi="Times New Roman"/>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that series are listed on any stock exchange located outside the United States and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270" w:right="259" w:bottom="1440" w:gutter="0" w:footer="0" w:header="0"/>
        </w:sectPr>
      </w:pPr>
    </w:p>
    <w:bookmarkStart w:id="164" w:name="page165"/>
    <w:bookmarkEnd w:id="164"/>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9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270" w:right="259" w:bottom="1440" w:gutter="0" w:footer="0" w:header="0"/>
        </w:sectPr>
      </w:pPr>
    </w:p>
    <w:bookmarkStart w:id="165" w:name="page166"/>
    <w:bookmarkEnd w:id="165"/>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54" w:lineRule="exact"/>
        <w:rPr>
          <w:sz w:val="20"/>
          <w:szCs w:val="20"/>
          <w:color w:val="auto"/>
        </w:rPr>
      </w:pPr>
    </w:p>
    <w:p>
      <w:pPr>
        <w:ind w:right="160" w:firstLine="8"/>
        <w:spacing w:after="0" w:line="282" w:lineRule="auto"/>
        <w:tabs>
          <w:tab w:leader="none" w:pos="2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53" w:lineRule="exact"/>
        <w:rPr>
          <w:rFonts w:ascii="Times New Roman" w:cs="Times New Roman" w:eastAsia="Times New Roman" w:hAnsi="Times New Roman"/>
          <w:sz w:val="18"/>
          <w:szCs w:val="18"/>
          <w:color w:val="auto"/>
        </w:rPr>
      </w:pPr>
    </w:p>
    <w:p>
      <w:pPr>
        <w:ind w:right="360" w:firstLine="8"/>
        <w:spacing w:after="0" w:line="282" w:lineRule="auto"/>
        <w:tabs>
          <w:tab w:leader="none" w:pos="2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53" w:lineRule="exact"/>
        <w:rPr>
          <w:rFonts w:ascii="Times New Roman" w:cs="Times New Roman" w:eastAsia="Times New Roman" w:hAnsi="Times New Roman"/>
          <w:sz w:val="18"/>
          <w:szCs w:val="18"/>
          <w:color w:val="auto"/>
        </w:rPr>
      </w:pPr>
    </w:p>
    <w:p>
      <w:pPr>
        <w:ind w:right="300" w:firstLine="8"/>
        <w:spacing w:after="0" w:line="282" w:lineRule="auto"/>
        <w:tabs>
          <w:tab w:leader="none" w:pos="2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8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Subject to Article Eight, the Company will do or cause to be done all things necessary to preserve and keep in full force and effect its corporate existence, all material rights (by articles of incorporation, by-laws and statute) and material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Subsidiaries shall not be prevented from</w:t>
      </w:r>
    </w:p>
    <w:p>
      <w:pPr>
        <w:ind w:right="260" w:firstLine="8"/>
        <w:spacing w:after="0" w:line="261" w:lineRule="auto"/>
        <w:tabs>
          <w:tab w:leader="none" w:pos="2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270" w:right="279" w:bottom="1440" w:gutter="0" w:footer="0" w:header="0"/>
        </w:sectPr>
      </w:pPr>
    </w:p>
    <w:bookmarkStart w:id="166" w:name="page167"/>
    <w:bookmarkEnd w:id="166"/>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cause each of its and its Subsidiaries’ insurable properties to be insured against loss or damage in an amount deemed reasonable by the Board of Directors with insurers of recognized responsibility.</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Payment of Taxes and Other Claims</w:t>
      </w:r>
      <w:r>
        <w:rPr>
          <w:rFonts w:ascii="Times New Roman" w:cs="Times New Roman" w:eastAsia="Times New Roman" w:hAnsi="Times New Roman"/>
          <w:sz w:val="18"/>
          <w:szCs w:val="18"/>
          <w:color w:val="auto"/>
        </w:rPr>
        <w:t xml:space="preserve">.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8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 xml:space="preserve">SECTION 1008. </w:t>
      </w:r>
      <w:r>
        <w:rPr>
          <w:rFonts w:ascii="Times New Roman" w:cs="Times New Roman" w:eastAsia="Times New Roman" w:hAnsi="Times New Roman"/>
          <w:sz w:val="17"/>
          <w:szCs w:val="17"/>
          <w:u w:val="single" w:color="auto"/>
          <w:color w:val="auto"/>
        </w:rPr>
        <w:t>Statement as to Compliance</w:t>
      </w:r>
      <w:r>
        <w:rPr>
          <w:rFonts w:ascii="Times New Roman" w:cs="Times New Roman" w:eastAsia="Times New Roman" w:hAnsi="Times New Roman"/>
          <w:sz w:val="17"/>
          <w:szCs w:val="17"/>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ELEVEN—REDEMPTION OF SECURITIES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270" w:right="259" w:bottom="1440" w:gutter="0" w:footer="0" w:header="0"/>
        </w:sectPr>
      </w:pPr>
    </w:p>
    <w:bookmarkStart w:id="167" w:name="page168"/>
    <w:bookmarkEnd w:id="167"/>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131" w:lineRule="exact"/>
        <w:rPr>
          <w:sz w:val="20"/>
          <w:szCs w:val="20"/>
          <w:color w:val="auto"/>
        </w:rPr>
      </w:pPr>
    </w:p>
    <w:p>
      <w:pPr>
        <w:ind w:left="460" w:hanging="452"/>
        <w:spacing w:after="0"/>
        <w:tabs>
          <w:tab w:leader="none" w:pos="4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accrued interest to the Redemption Date payable as provided in Section 1106, if any,</w:t>
      </w:r>
    </w:p>
    <w:p>
      <w:pPr>
        <w:spacing w:after="0" w:line="117" w:lineRule="exact"/>
        <w:rPr>
          <w:rFonts w:ascii="Times New Roman" w:cs="Times New Roman" w:eastAsia="Times New Roman" w:hAnsi="Times New Roman"/>
          <w:sz w:val="18"/>
          <w:szCs w:val="18"/>
          <w:color w:val="auto"/>
        </w:rPr>
      </w:pPr>
    </w:p>
    <w:p>
      <w:pPr>
        <w:ind w:right="180" w:firstLine="8"/>
        <w:spacing w:after="0" w:line="282" w:lineRule="auto"/>
        <w:tabs>
          <w:tab w:leader="none" w:pos="2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53" w:lineRule="exact"/>
        <w:rPr>
          <w:rFonts w:ascii="Times New Roman" w:cs="Times New Roman" w:eastAsia="Times New Roman" w:hAnsi="Times New Roman"/>
          <w:sz w:val="18"/>
          <w:szCs w:val="18"/>
          <w:color w:val="auto"/>
        </w:rPr>
      </w:pPr>
    </w:p>
    <w:p>
      <w:pPr>
        <w:jc w:val="both"/>
        <w:ind w:right="540" w:firstLine="8"/>
        <w:spacing w:after="0" w:line="266" w:lineRule="auto"/>
        <w:tabs>
          <w:tab w:leader="none" w:pos="2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68"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2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68"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117" w:lineRule="exact"/>
        <w:rPr>
          <w:rFonts w:ascii="Times New Roman" w:cs="Times New Roman" w:eastAsia="Times New Roman" w:hAnsi="Times New Roman"/>
          <w:sz w:val="18"/>
          <w:szCs w:val="18"/>
          <w:color w:val="auto"/>
        </w:rPr>
      </w:pPr>
    </w:p>
    <w:p>
      <w:pPr>
        <w:jc w:val="both"/>
        <w:ind w:right="340" w:firstLine="8"/>
        <w:spacing w:after="0" w:line="266" w:lineRule="auto"/>
        <w:tabs>
          <w:tab w:leader="none" w:pos="2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68"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such Security, if any, and</w:t>
      </w:r>
    </w:p>
    <w:p>
      <w:pPr>
        <w:spacing w:after="0" w:line="117" w:lineRule="exact"/>
        <w:rPr>
          <w:rFonts w:ascii="Times New Roman" w:cs="Times New Roman" w:eastAsia="Times New Roman" w:hAnsi="Times New Roman"/>
          <w:sz w:val="18"/>
          <w:szCs w:val="18"/>
          <w:color w:val="auto"/>
        </w:rPr>
      </w:pPr>
    </w:p>
    <w:p>
      <w:pPr>
        <w:ind w:right="20" w:firstLine="8"/>
        <w:spacing w:after="0" w:line="266" w:lineRule="auto"/>
        <w:tabs>
          <w:tab w:leader="none" w:pos="33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0" w:right="239" w:bottom="1440" w:gutter="0" w:footer="0" w:header="0"/>
        </w:sectPr>
      </w:pPr>
    </w:p>
    <w:bookmarkStart w:id="168" w:name="page169"/>
    <w:bookmarkEnd w:id="168"/>
    <w:p>
      <w:pPr>
        <w:jc w:val="both"/>
        <w:ind w:right="20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3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70" w:right="25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TWELVE—SINKING FUNDS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THIRTEEN—REPAYMENT AT THE OPTION OF HOLDERS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Repayment of Securities</w:t>
      </w:r>
      <w:r>
        <w:rPr>
          <w:rFonts w:ascii="Times New Roman" w:cs="Times New Roman" w:eastAsia="Times New Roman" w:hAnsi="Times New Roman"/>
          <w:sz w:val="18"/>
          <w:szCs w:val="18"/>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70" w:right="239" w:bottom="1440" w:gutter="0" w:footer="0" w:header="0"/>
        </w:sectPr>
      </w:pPr>
    </w:p>
    <w:bookmarkStart w:id="170" w:name="page171"/>
    <w:bookmarkEnd w:id="17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1303.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When Securities Presented for Repayment Become Due and Payable</w:t>
      </w:r>
      <w:r>
        <w:rPr>
          <w:rFonts w:ascii="Times New Roman" w:cs="Times New Roman" w:eastAsia="Times New Roman" w:hAnsi="Times New Roman"/>
          <w:sz w:val="18"/>
          <w:szCs w:val="18"/>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70" w:right="239" w:bottom="1440" w:gutter="0" w:footer="0" w:header="0"/>
        </w:sectPr>
      </w:pPr>
    </w:p>
    <w:bookmarkStart w:id="171" w:name="page172"/>
    <w:bookmarkEnd w:id="171"/>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Securities Repaid in Part</w:t>
      </w:r>
      <w:r>
        <w:rPr>
          <w:rFonts w:ascii="Times New Roman" w:cs="Times New Roman" w:eastAsia="Times New Roman" w:hAnsi="Times New Roman"/>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FOURTEEN—DEFEASANCE AND COVENANT DEFEASANCE</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Applicability of Article; Company’s Option to Effect Defeasance or Covenant Defeasance</w:t>
      </w:r>
      <w:r>
        <w:rPr>
          <w:rFonts w:ascii="Times New Roman" w:cs="Times New Roman" w:eastAsia="Times New Roman" w:hAnsi="Times New Roman"/>
          <w:sz w:val="18"/>
          <w:szCs w:val="18"/>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w:t>
      </w:r>
    </w:p>
    <w:p>
      <w:pPr>
        <w:spacing w:after="0" w:line="3" w:lineRule="exact"/>
        <w:rPr>
          <w:sz w:val="20"/>
          <w:szCs w:val="20"/>
          <w:color w:val="auto"/>
        </w:rPr>
      </w:pPr>
    </w:p>
    <w:p>
      <w:pPr>
        <w:ind w:right="120" w:firstLine="8"/>
        <w:spacing w:after="0" w:line="261" w:lineRule="auto"/>
        <w:tabs>
          <w:tab w:leader="none" w:pos="2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0" w:right="239" w:bottom="1440" w:gutter="0" w:footer="0" w:header="0"/>
        </w:sectPr>
      </w:pPr>
    </w:p>
    <w:bookmarkStart w:id="172" w:name="page173"/>
    <w:bookmarkEnd w:id="17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application of Section 1402 or Section 1403 to any Outstanding Securities of or within a series and any coupons appertaining thereto:</w:t>
      </w:r>
    </w:p>
    <w:p>
      <w:pPr>
        <w:spacing w:after="0" w:line="54" w:lineRule="exact"/>
        <w:rPr>
          <w:sz w:val="20"/>
          <w:szCs w:val="20"/>
          <w:color w:val="auto"/>
        </w:rPr>
      </w:pPr>
    </w:p>
    <w:p>
      <w:pPr>
        <w:ind w:right="240" w:firstLine="8"/>
        <w:spacing w:after="0" w:line="257" w:lineRule="auto"/>
        <w:tabs>
          <w:tab w:leader="none" w:pos="24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85" w:lineRule="exact"/>
        <w:rPr>
          <w:rFonts w:ascii="Times New Roman" w:cs="Times New Roman" w:eastAsia="Times New Roman" w:hAnsi="Times New Roman"/>
          <w:sz w:val="18"/>
          <w:szCs w:val="18"/>
          <w:color w:val="auto"/>
        </w:rPr>
      </w:pPr>
    </w:p>
    <w:p>
      <w:pPr>
        <w:ind w:right="360" w:firstLine="8"/>
        <w:spacing w:after="0" w:line="282" w:lineRule="auto"/>
        <w:tabs>
          <w:tab w:leader="none" w:pos="2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right="20" w:firstLine="8"/>
        <w:spacing w:after="0" w:line="261" w:lineRule="auto"/>
        <w:tabs>
          <w:tab w:leader="none" w:pos="24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71" w:lineRule="exact"/>
        <w:rPr>
          <w:rFonts w:ascii="Times New Roman" w:cs="Times New Roman" w:eastAsia="Times New Roman" w:hAnsi="Times New Roman"/>
          <w:sz w:val="18"/>
          <w:szCs w:val="18"/>
          <w:color w:val="auto"/>
        </w:rPr>
      </w:pPr>
    </w:p>
    <w:p>
      <w:pPr>
        <w:ind w:right="320" w:firstLine="8"/>
        <w:spacing w:after="0" w:line="256" w:lineRule="auto"/>
        <w:tabs>
          <w:tab w:leader="none" w:pos="2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79" w:lineRule="exact"/>
        <w:rPr>
          <w:rFonts w:ascii="Times New Roman" w:cs="Times New Roman" w:eastAsia="Times New Roman" w:hAnsi="Times New Roman"/>
          <w:sz w:val="18"/>
          <w:szCs w:val="18"/>
          <w:color w:val="auto"/>
        </w:rPr>
      </w:pPr>
    </w:p>
    <w:p>
      <w:pPr>
        <w:ind w:right="20" w:firstLine="8"/>
        <w:spacing w:after="0" w:line="261" w:lineRule="auto"/>
        <w:tabs>
          <w:tab w:leader="none" w:pos="24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270" w:right="239" w:bottom="1440" w:gutter="0" w:footer="0" w:header="0"/>
        </w:sectPr>
      </w:pPr>
    </w:p>
    <w:bookmarkStart w:id="173" w:name="page174"/>
    <w:bookmarkEnd w:id="173"/>
    <w:p>
      <w:pPr>
        <w:ind w:right="80" w:firstLine="8"/>
        <w:spacing w:after="0" w:line="258" w:lineRule="auto"/>
        <w:tabs>
          <w:tab w:leader="none" w:pos="22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75" w:lineRule="exact"/>
        <w:rPr>
          <w:rFonts w:ascii="Times New Roman" w:cs="Times New Roman" w:eastAsia="Times New Roman" w:hAnsi="Times New Roman"/>
          <w:sz w:val="18"/>
          <w:szCs w:val="18"/>
          <w:color w:val="auto"/>
        </w:rPr>
      </w:pPr>
    </w:p>
    <w:p>
      <w:pPr>
        <w:ind w:right="320" w:firstLine="8"/>
        <w:spacing w:after="0" w:line="282" w:lineRule="auto"/>
        <w:tabs>
          <w:tab w:leader="none" w:pos="25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payable to the Trustee pursuant to this Indenture shall be paid or provided for to the reasonable satisfaction of the Trustee.</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Deposited Money and Government Obligations to Be Held in Trust; Other Miscellaneous Provisions</w:t>
      </w:r>
      <w:r>
        <w:rPr>
          <w:rFonts w:ascii="Times New Roman" w:cs="Times New Roman" w:eastAsia="Times New Roman" w:hAnsi="Times New Roman"/>
          <w:sz w:val="18"/>
          <w:szCs w:val="18"/>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270" w:right="259" w:bottom="1440" w:gutter="0" w:footer="0" w:header="0"/>
        </w:sectPr>
      </w:pPr>
    </w:p>
    <w:bookmarkStart w:id="174" w:name="page175"/>
    <w:bookmarkEnd w:id="174"/>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FIFTEEN—MEETINGS OF HOLDERS OF SECURITIES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Call, Notice and Place of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8"/>
        <w:spacing w:after="0" w:line="261" w:lineRule="auto"/>
        <w:tabs>
          <w:tab w:leader="none" w:pos="24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71" w:lineRule="exact"/>
        <w:rPr>
          <w:rFonts w:ascii="Times New Roman" w:cs="Times New Roman" w:eastAsia="Times New Roman" w:hAnsi="Times New Roman"/>
          <w:sz w:val="18"/>
          <w:szCs w:val="18"/>
          <w:color w:val="auto"/>
        </w:rPr>
      </w:pPr>
    </w:p>
    <w:p>
      <w:pPr>
        <w:ind w:right="20" w:firstLine="8"/>
        <w:spacing w:after="0" w:line="256" w:lineRule="auto"/>
        <w:tabs>
          <w:tab w:leader="none" w:pos="2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Persons Entitled to Vote at Meetings</w:t>
      </w:r>
      <w:r>
        <w:rPr>
          <w:rFonts w:ascii="Times New Roman" w:cs="Times New Roman" w:eastAsia="Times New Roman" w:hAnsi="Times New Roman"/>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 xml:space="preserve">. 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240" w:top="270" w:right="319" w:bottom="1440" w:gutter="0" w:footer="0" w:header="0"/>
        </w:sectPr>
      </w:pPr>
    </w:p>
    <w:bookmarkStart w:id="175" w:name="page176"/>
    <w:bookmarkEnd w:id="175"/>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2" w:lineRule="exact"/>
        <w:rPr>
          <w:sz w:val="20"/>
          <w:szCs w:val="20"/>
          <w:color w:val="auto"/>
        </w:rPr>
      </w:pPr>
    </w:p>
    <w:p>
      <w:pPr>
        <w:ind w:left="220" w:hanging="212"/>
        <w:spacing w:after="0"/>
        <w:tabs>
          <w:tab w:leader="none" w:pos="2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117" w:lineRule="exact"/>
        <w:rPr>
          <w:rFonts w:ascii="Times New Roman" w:cs="Times New Roman" w:eastAsia="Times New Roman" w:hAnsi="Times New Roman"/>
          <w:sz w:val="18"/>
          <w:szCs w:val="18"/>
          <w:color w:val="auto"/>
        </w:rPr>
      </w:pPr>
    </w:p>
    <w:p>
      <w:pPr>
        <w:jc w:val="both"/>
        <w:ind w:right="420" w:firstLine="8"/>
        <w:spacing w:after="0" w:line="266" w:lineRule="auto"/>
        <w:tabs>
          <w:tab w:leader="none" w:pos="26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8"/>
        <w:spacing w:after="0" w:line="255" w:lineRule="auto"/>
        <w:tabs>
          <w:tab w:leader="none" w:pos="24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77" w:lineRule="exact"/>
        <w:rPr>
          <w:rFonts w:ascii="Times New Roman" w:cs="Times New Roman" w:eastAsia="Times New Roman" w:hAnsi="Times New Roman"/>
          <w:sz w:val="18"/>
          <w:szCs w:val="18"/>
          <w:color w:val="auto"/>
        </w:rPr>
      </w:pPr>
    </w:p>
    <w:p>
      <w:pPr>
        <w:jc w:val="both"/>
        <w:ind w:right="80" w:firstLine="8"/>
        <w:spacing w:after="0" w:line="261" w:lineRule="auto"/>
        <w:tabs>
          <w:tab w:leader="none" w:pos="2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71" w:lineRule="exact"/>
        <w:rPr>
          <w:rFonts w:ascii="Times New Roman" w:cs="Times New Roman" w:eastAsia="Times New Roman" w:hAnsi="Times New Roman"/>
          <w:sz w:val="18"/>
          <w:szCs w:val="18"/>
          <w:color w:val="auto"/>
        </w:rPr>
      </w:pPr>
    </w:p>
    <w:p>
      <w:pPr>
        <w:jc w:val="both"/>
        <w:ind w:right="500" w:firstLine="8"/>
        <w:spacing w:after="0" w:line="261" w:lineRule="auto"/>
        <w:tabs>
          <w:tab w:leader="none" w:pos="24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71"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70" w:right="239" w:bottom="1440" w:gutter="0" w:footer="0" w:header="0"/>
        </w:sectPr>
      </w:pPr>
    </w:p>
    <w:bookmarkStart w:id="176" w:name="page177"/>
    <w:bookmarkEnd w:id="17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SIXTEEN—SUBORDINATION OF SECURITIES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Agreement to Subordinate</w:t>
      </w:r>
      <w:r>
        <w:rPr>
          <w:rFonts w:ascii="Times New Roman" w:cs="Times New Roman" w:eastAsia="Times New Roman" w:hAnsi="Times New Roman"/>
          <w:sz w:val="18"/>
          <w:szCs w:val="18"/>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Payment Over of Proceeds upon Dissolution, Etc</w:t>
      </w:r>
      <w:r>
        <w:rPr>
          <w:rFonts w:ascii="Times New Roman" w:cs="Times New Roman" w:eastAsia="Times New Roman" w:hAnsi="Times New Roman"/>
          <w:sz w:val="18"/>
          <w:szCs w:val="18"/>
          <w:color w:val="auto"/>
        </w:rPr>
        <w:t>. In the event of (a) any insolvency or bankruptcy case or Proceeding, or any receivership, liquidation, reorganization or other similar case or Proceeding in connection therewith, relative to the Company or to its creditors, as such, or to its assets, or</w:t>
      </w:r>
    </w:p>
    <w:p>
      <w:pPr>
        <w:ind w:right="20" w:firstLine="8"/>
        <w:spacing w:after="0" w:line="265" w:lineRule="auto"/>
        <w:tabs>
          <w:tab w:leader="none" w:pos="255"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w:t>
      </w:r>
    </w:p>
    <w:p>
      <w:pPr>
        <w:ind w:left="260" w:hanging="252"/>
        <w:spacing w:after="0"/>
        <w:tabs>
          <w:tab w:leader="none" w:pos="2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 above (each such event, if any, herein sometimes referred to as a “Proceeding”)</w:t>
      </w:r>
    </w:p>
    <w:p>
      <w:pPr>
        <w:spacing w:after="0" w:line="99" w:lineRule="exact"/>
        <w:rPr>
          <w:sz w:val="20"/>
          <w:szCs w:val="20"/>
          <w:color w:val="auto"/>
        </w:rPr>
      </w:pPr>
    </w:p>
    <w:p>
      <w:pPr>
        <w:ind w:right="80" w:firstLine="8"/>
        <w:spacing w:after="0" w:line="258"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or any Subsidiary (individually and collectively, a “Securities Payment”), and</w:t>
      </w:r>
    </w:p>
    <w:p>
      <w:pPr>
        <w:spacing w:after="0" w:line="75" w:lineRule="exact"/>
        <w:rPr>
          <w:rFonts w:ascii="Times New Roman" w:cs="Times New Roman" w:eastAsia="Times New Roman" w:hAnsi="Times New Roman"/>
          <w:sz w:val="18"/>
          <w:szCs w:val="18"/>
          <w:color w:val="auto"/>
        </w:rPr>
      </w:pPr>
    </w:p>
    <w:p>
      <w:pPr>
        <w:ind w:right="140" w:firstLine="8"/>
        <w:spacing w:after="0" w:line="255"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 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270" w:right="239" w:bottom="1440" w:gutter="0" w:footer="0" w:header="0"/>
        </w:sectPr>
      </w:pPr>
    </w:p>
    <w:bookmarkStart w:id="177" w:name="page178"/>
    <w:bookmarkEnd w:id="177"/>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1603. No Payment When Senior Indebtedness in Default.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 (ii) 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 (A) the date on which such event of 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-2636520</wp:posOffset>
            </wp:positionV>
            <wp:extent cx="23393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39340" cy="8890"/>
                    </a:xfrm>
                    <a:prstGeom prst="rect">
                      <a:avLst/>
                    </a:prstGeom>
                    <a:noFill/>
                  </pic:spPr>
                </pic:pic>
              </a:graphicData>
            </a:graphic>
          </wp:anchor>
        </w:drawing>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shall not apply to any payment with respect to which Section 1602 would be applicable.</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Reliance by Senior Indebtedness on Subordination Provisions</w:t>
      </w:r>
      <w:r>
        <w:rPr>
          <w:rFonts w:ascii="Times New Roman" w:cs="Times New Roman" w:eastAsia="Times New Roman" w:hAnsi="Times New Roman"/>
          <w:sz w:val="18"/>
          <w:szCs w:val="18"/>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270" w:right="299" w:bottom="1440" w:gutter="0" w:footer="0" w:header="0"/>
        </w:sectPr>
      </w:pPr>
    </w:p>
    <w:bookmarkStart w:id="178" w:name="page179"/>
    <w:bookmarkEnd w:id="178"/>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1605. </w:t>
      </w:r>
      <w:r>
        <w:rPr>
          <w:rFonts w:ascii="Times New Roman" w:cs="Times New Roman" w:eastAsia="Times New Roman" w:hAnsi="Times New Roman"/>
          <w:sz w:val="18"/>
          <w:szCs w:val="18"/>
          <w:u w:val="single" w:color="auto"/>
          <w:color w:val="auto"/>
        </w:rPr>
        <w:t>Subrogation to Rights of Holders of Senior Indebtedness</w:t>
      </w:r>
      <w:r>
        <w:rPr>
          <w:rFonts w:ascii="Times New Roman" w:cs="Times New Roman" w:eastAsia="Times New Roman" w:hAnsi="Times New Roman"/>
          <w:sz w:val="18"/>
          <w:szCs w:val="18"/>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Provisions Solely to Define Relative Rights</w:t>
      </w:r>
      <w:r>
        <w:rPr>
          <w:rFonts w:ascii="Times New Roman" w:cs="Times New Roman" w:eastAsia="Times New Roman" w:hAnsi="Times New Roman"/>
          <w:sz w:val="18"/>
          <w:szCs w:val="18"/>
          <w:color w:val="auto"/>
        </w:rPr>
        <w:t>.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Trustee to Effectuate Subordination</w:t>
      </w:r>
      <w:r>
        <w:rPr>
          <w:rFonts w:ascii="Times New Roman" w:cs="Times New Roman" w:eastAsia="Times New Roman" w:hAnsi="Times New Roman"/>
          <w:sz w:val="18"/>
          <w:szCs w:val="18"/>
          <w:color w:val="auto"/>
        </w:rPr>
        <w:t>.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1608. No Waiver of Subordination Provisions.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any representative or trustee therefor, or by any non-compliance by the Company with the terms, provisions and covenants of this Indenture, regardless of any knowledge thereof any such holder may have or be otherwise charged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-447675</wp:posOffset>
            </wp:positionV>
            <wp:extent cx="18351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Without in any way limiting the generality of the foregoing paragraph, the holders of Senior Indebtedness may, at any time from time to time, without the consent of or notice to the Trustee or 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270" w:right="239" w:bottom="1440" w:gutter="0" w:footer="0" w:header="0"/>
        </w:sectPr>
      </w:pPr>
    </w:p>
    <w:bookmarkStart w:id="179" w:name="page180"/>
    <w:bookmarkEnd w:id="179"/>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8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 xml:space="preserve">.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19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Reliance on Judicial Order or Certificate of Liquidating Agent</w:t>
      </w:r>
      <w:r>
        <w:rPr>
          <w:rFonts w:ascii="Times New Roman" w:cs="Times New Roman" w:eastAsia="Times New Roman" w:hAnsi="Times New Roman"/>
          <w:sz w:val="18"/>
          <w:szCs w:val="18"/>
          <w:color w:val="auto"/>
        </w:rPr>
        <w:t>.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Trustee Not Fiduciary for Holders of Senior Indebtedness</w:t>
      </w:r>
      <w:r>
        <w:rPr>
          <w:rFonts w:ascii="Times New Roman" w:cs="Times New Roman" w:eastAsia="Times New Roman" w:hAnsi="Times New Roman"/>
          <w:sz w:val="18"/>
          <w:szCs w:val="18"/>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270" w:right="239" w:bottom="1440" w:gutter="0" w:footer="0" w:header="0"/>
        </w:sectPr>
      </w:pPr>
    </w:p>
    <w:bookmarkStart w:id="180" w:name="page181"/>
    <w:bookmarkEnd w:id="180"/>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1612. </w:t>
      </w:r>
      <w:r>
        <w:rPr>
          <w:rFonts w:ascii="Times New Roman" w:cs="Times New Roman" w:eastAsia="Times New Roman" w:hAnsi="Times New Roman"/>
          <w:sz w:val="18"/>
          <w:szCs w:val="18"/>
          <w:u w:val="single" w:color="auto"/>
          <w:color w:val="auto"/>
        </w:rPr>
        <w:t>Rights of Trustee as Holder of Senior Indebtedness; Preservation of Trustee’s Rights</w:t>
      </w:r>
      <w:r>
        <w:rPr>
          <w:rFonts w:ascii="Times New Roman" w:cs="Times New Roman" w:eastAsia="Times New Roman" w:hAnsi="Times New Roman"/>
          <w:sz w:val="18"/>
          <w:szCs w:val="18"/>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1613. </w:t>
      </w:r>
      <w:r>
        <w:rPr>
          <w:rFonts w:ascii="Times New Roman" w:cs="Times New Roman" w:eastAsia="Times New Roman" w:hAnsi="Times New Roman"/>
          <w:sz w:val="18"/>
          <w:szCs w:val="18"/>
          <w:u w:val="single" w:color="auto"/>
          <w:color w:val="auto"/>
        </w:rPr>
        <w:t>Article Applicable to Paying Agents</w:t>
      </w:r>
      <w:r>
        <w:rPr>
          <w:rFonts w:ascii="Times New Roman" w:cs="Times New Roman" w:eastAsia="Times New Roman" w:hAnsi="Times New Roman"/>
          <w:sz w:val="18"/>
          <w:szCs w:val="18"/>
          <w:color w:val="auto"/>
        </w:rPr>
        <w:t xml:space="preserve">.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Section 1612 shall not apply to the Company or any Affiliate of the Company if it or such Affiliate acts as Paying Agent.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SEVENTEEN—CONVERSION OF SECURITIES</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u w:val="single" w:color="auto"/>
          <w:color w:val="auto"/>
        </w:rPr>
        <w:t>Applicability of Article; Conversion Privilege and Conversion Price</w:t>
      </w:r>
      <w:r>
        <w:rPr>
          <w:rFonts w:ascii="Times New Roman" w:cs="Times New Roman" w:eastAsia="Times New Roman" w:hAnsi="Times New Roman"/>
          <w:sz w:val="18"/>
          <w:szCs w:val="18"/>
          <w:color w:val="auto"/>
        </w:rPr>
        <w:t>. Securities of any series which are convertible shall be convertible in accordance with their terms and (except as otherwise specified as contemplated by Section 301 for Securities of any series) in accordance with this Article Seventeen. Subject to and upon compliance with the provisions of this Article Seventeen,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 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case the Company shall, by dividend or otherwise, declare or make a distribution on its Common Stock referred to in paragraph (4) 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 (4) of Section 1704, shall be entitled to receive for each share of Common Stock into which such Security is converted, the portion of the evidence of indebtedness, shares of Capital Stock or assets so distributed applicable to one share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270" w:right="239" w:bottom="1440" w:gutter="0" w:footer="0" w:header="0"/>
        </w:sectPr>
      </w:pPr>
    </w:p>
    <w:bookmarkStart w:id="181" w:name="page182"/>
    <w:bookmarkEnd w:id="18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1702. </w:t>
      </w:r>
      <w:r>
        <w:rPr>
          <w:rFonts w:ascii="Times New Roman" w:cs="Times New Roman" w:eastAsia="Times New Roman" w:hAnsi="Times New Roman"/>
          <w:sz w:val="18"/>
          <w:szCs w:val="18"/>
          <w:u w:val="single" w:color="auto"/>
          <w:color w:val="auto"/>
        </w:rPr>
        <w:t>Exercise of Conversion Privilege</w:t>
      </w:r>
      <w:r>
        <w:rPr>
          <w:rFonts w:ascii="Times New Roman" w:cs="Times New Roman" w:eastAsia="Times New Roman" w:hAnsi="Times New Roman"/>
          <w:sz w:val="18"/>
          <w:szCs w:val="18"/>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u w:val="single" w:color="auto"/>
          <w:color w:val="auto"/>
        </w:rPr>
        <w:t>Fractions of Shares</w:t>
      </w:r>
      <w:r>
        <w:rPr>
          <w:rFonts w:ascii="Times New Roman" w:cs="Times New Roman" w:eastAsia="Times New Roman" w:hAnsi="Times New Roman"/>
          <w:sz w:val="18"/>
          <w:szCs w:val="18"/>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u w:val="single" w:color="auto"/>
          <w:color w:val="auto"/>
        </w:rPr>
        <w:t>Adjustment of Conversion Price</w:t>
      </w:r>
      <w:r>
        <w:rPr>
          <w:rFonts w:ascii="Times New Roman" w:cs="Times New Roman" w:eastAsia="Times New Roman" w:hAnsi="Times New Roman"/>
          <w:sz w:val="18"/>
          <w:szCs w:val="18"/>
          <w:color w:val="auto"/>
        </w:rPr>
        <w:t>. The Conversion Price shall be subject to adjustment from time to time as follows:</w:t>
      </w:r>
    </w:p>
    <w:p>
      <w:pPr>
        <w:spacing w:after="0" w:line="117" w:lineRule="exact"/>
        <w:rPr>
          <w:sz w:val="20"/>
          <w:szCs w:val="20"/>
          <w:color w:val="auto"/>
        </w:rPr>
      </w:pPr>
    </w:p>
    <w:p>
      <w:pPr>
        <w:ind w:right="20" w:firstLine="8"/>
        <w:spacing w:after="0" w:line="256" w:lineRule="auto"/>
        <w:tabs>
          <w:tab w:leader="none" w:pos="2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270" w:right="259" w:bottom="1440" w:gutter="0" w:footer="0" w:header="0"/>
        </w:sectPr>
      </w:pPr>
    </w:p>
    <w:bookmarkStart w:id="182" w:name="page183"/>
    <w:bookmarkEnd w:id="182"/>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72" w:lineRule="exact"/>
        <w:rPr>
          <w:sz w:val="20"/>
          <w:szCs w:val="20"/>
          <w:color w:val="auto"/>
        </w:rPr>
      </w:pPr>
    </w:p>
    <w:p>
      <w:pPr>
        <w:ind w:firstLine="8"/>
        <w:spacing w:after="0" w:line="266" w:lineRule="auto"/>
        <w:tabs>
          <w:tab w:leader="none" w:pos="255"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w:t>
      </w:r>
    </w:p>
    <w:p>
      <w:pPr>
        <w:spacing w:after="0" w:line="10"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1704) of the Common Stock of the Company on the Rights Record Date.</w:t>
      </w:r>
    </w:p>
    <w:p>
      <w:pPr>
        <w:spacing w:after="0" w:line="98" w:lineRule="exact"/>
        <w:rPr>
          <w:rFonts w:ascii="Times New Roman" w:cs="Times New Roman" w:eastAsia="Times New Roman" w:hAnsi="Times New Roman"/>
          <w:sz w:val="18"/>
          <w:szCs w:val="18"/>
          <w:color w:val="auto"/>
        </w:rPr>
      </w:pPr>
    </w:p>
    <w:p>
      <w:pPr>
        <w:ind w:right="20" w:firstLine="8"/>
        <w:spacing w:after="0" w:line="256" w:lineRule="auto"/>
        <w:tabs>
          <w:tab w:leader="none" w:pos="2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79" w:lineRule="exact"/>
        <w:rPr>
          <w:rFonts w:ascii="Times New Roman" w:cs="Times New Roman" w:eastAsia="Times New Roman" w:hAnsi="Times New Roman"/>
          <w:sz w:val="18"/>
          <w:szCs w:val="18"/>
          <w:color w:val="auto"/>
        </w:rPr>
      </w:pPr>
    </w:p>
    <w:p>
      <w:pPr>
        <w:ind w:right="20" w:firstLine="8"/>
        <w:spacing w:after="0" w:line="252" w:lineRule="auto"/>
        <w:tabs>
          <w:tab w:leader="none" w:pos="2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270" w:right="239" w:bottom="1440" w:gutter="0" w:footer="0" w:header="0"/>
        </w:sectPr>
      </w:pPr>
    </w:p>
    <w:bookmarkStart w:id="183" w:name="page184"/>
    <w:bookmarkEnd w:id="183"/>
    <w:p>
      <w:pPr>
        <w:ind w:right="300" w:firstLine="8"/>
        <w:spacing w:after="0" w:line="258" w:lineRule="auto"/>
        <w:tabs>
          <w:tab w:leader="none" w:pos="2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but shall not be required to, make such reductions in the Conversion Price, in addition to those required by paragraphs (1), (2), (3),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75"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84" w:lineRule="exact"/>
        <w:rPr>
          <w:rFonts w:ascii="Times New Roman" w:cs="Times New Roman" w:eastAsia="Times New Roman" w:hAnsi="Times New Roman"/>
          <w:sz w:val="18"/>
          <w:szCs w:val="18"/>
          <w:color w:val="auto"/>
        </w:rPr>
      </w:pPr>
    </w:p>
    <w:p>
      <w:pPr>
        <w:ind w:right="380" w:firstLine="8"/>
        <w:spacing w:after="0" w:line="266" w:lineRule="auto"/>
        <w:tabs>
          <w:tab w:leader="none" w:pos="2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68" w:lineRule="exact"/>
        <w:rPr>
          <w:rFonts w:ascii="Times New Roman" w:cs="Times New Roman" w:eastAsia="Times New Roman" w:hAnsi="Times New Roman"/>
          <w:sz w:val="18"/>
          <w:szCs w:val="18"/>
          <w:color w:val="auto"/>
        </w:rPr>
      </w:pPr>
    </w:p>
    <w:p>
      <w:pPr>
        <w:ind w:right="300" w:firstLine="8"/>
        <w:spacing w:after="0" w:line="261" w:lineRule="auto"/>
        <w:tabs>
          <w:tab w:leader="none" w:pos="2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Price shall be required unless such adjustment would require an increase or decrease of at least 1% in the Conversion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adjustments which by reason of this paragraph (8) are not required to be made shall be carried forward and taken into account in any subsequent adjustment. All calculations under this Article Seventeen shall be made to the nearest cent or to the nearest one-hundredth of a share of Common Stock, as the case may be.</w:t>
      </w:r>
    </w:p>
    <w:p>
      <w:pPr>
        <w:spacing w:after="0" w:line="71" w:lineRule="exact"/>
        <w:rPr>
          <w:rFonts w:ascii="Times New Roman" w:cs="Times New Roman" w:eastAsia="Times New Roman" w:hAnsi="Times New Roman"/>
          <w:sz w:val="18"/>
          <w:szCs w:val="18"/>
          <w:color w:val="auto"/>
        </w:rPr>
      </w:pPr>
    </w:p>
    <w:p>
      <w:pPr>
        <w:ind w:firstLine="8"/>
        <w:spacing w:after="0" w:line="258" w:lineRule="auto"/>
        <w:tabs>
          <w:tab w:leader="none" w:pos="2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75" w:lineRule="exact"/>
        <w:rPr>
          <w:rFonts w:ascii="Times New Roman" w:cs="Times New Roman" w:eastAsia="Times New Roman" w:hAnsi="Times New Roman"/>
          <w:sz w:val="18"/>
          <w:szCs w:val="18"/>
          <w:color w:val="auto"/>
        </w:rPr>
      </w:pPr>
    </w:p>
    <w:p>
      <w:pPr>
        <w:ind w:right="240" w:firstLine="8"/>
        <w:spacing w:after="0" w:line="261" w:lineRule="auto"/>
        <w:tabs>
          <w:tab w:leader="none" w:pos="34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Article Seventeen requires adjustments to the Conversion Price under more than one of paragraphs (1), (2), (3) or (4) of this</w:t>
      </w:r>
    </w:p>
    <w:p>
      <w:pPr>
        <w:spacing w:after="0" w:line="2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Section 1704, and the record or effective dates for the transaction giving rise to such adjustments shall occur on the same date, then such adjustments shall be made by applying (to the extent they are applicable), first, the provisions of paragraph (3) of this Section 1704, second, the provisions of paragraph (1) of this Section 1704, third, the provisions of paragraph (4) of this Section 1704 and, fourth, the provisions of 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 Article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270" w:right="239" w:bottom="1440" w:gutter="0" w:footer="0" w:header="0"/>
        </w:sectPr>
      </w:pPr>
    </w:p>
    <w:bookmarkStart w:id="184" w:name="page185"/>
    <w:bookmarkEnd w:id="18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u w:val="single" w:color="auto"/>
          <w:color w:val="auto"/>
        </w:rPr>
        <w:t>Notice of Adjustments of Conversion Price</w:t>
      </w:r>
      <w:r>
        <w:rPr>
          <w:rFonts w:ascii="Times New Roman" w:cs="Times New Roman" w:eastAsia="Times New Roman" w:hAnsi="Times New Roman"/>
          <w:sz w:val="18"/>
          <w:szCs w:val="18"/>
          <w:color w:val="auto"/>
        </w:rPr>
        <w:t>. Whenever the Conversion Price is adjusted as herein provided:</w:t>
      </w:r>
    </w:p>
    <w:p>
      <w:pPr>
        <w:spacing w:after="0" w:line="117" w:lineRule="exact"/>
        <w:rPr>
          <w:sz w:val="20"/>
          <w:szCs w:val="20"/>
          <w:color w:val="auto"/>
        </w:rPr>
      </w:pPr>
    </w:p>
    <w:p>
      <w:pPr>
        <w:ind w:right="180" w:firstLine="8"/>
        <w:spacing w:after="0" w:line="261" w:lineRule="auto"/>
        <w:tabs>
          <w:tab w:leader="none" w:pos="2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71" w:lineRule="exact"/>
        <w:rPr>
          <w:rFonts w:ascii="Times New Roman" w:cs="Times New Roman" w:eastAsia="Times New Roman" w:hAnsi="Times New Roman"/>
          <w:sz w:val="18"/>
          <w:szCs w:val="18"/>
          <w:color w:val="auto"/>
        </w:rPr>
      </w:pPr>
    </w:p>
    <w:p>
      <w:pPr>
        <w:ind w:right="160" w:firstLine="8"/>
        <w:spacing w:after="0" w:line="313" w:lineRule="auto"/>
        <w:tabs>
          <w:tab w:leader="none" w:pos="255"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u w:val="single" w:color="auto"/>
          <w:color w:val="auto"/>
        </w:rPr>
        <w:t>Notice of Certain Corporate Action</w:t>
      </w:r>
      <w:r>
        <w:rPr>
          <w:rFonts w:ascii="Times New Roman" w:cs="Times New Roman" w:eastAsia="Times New Roman" w:hAnsi="Times New Roman"/>
          <w:sz w:val="18"/>
          <w:szCs w:val="18"/>
          <w:color w:val="auto"/>
        </w:rPr>
        <w:t>. In case:</w:t>
      </w:r>
    </w:p>
    <w:p>
      <w:pPr>
        <w:spacing w:after="0" w:line="117" w:lineRule="exact"/>
        <w:rPr>
          <w:sz w:val="20"/>
          <w:szCs w:val="20"/>
          <w:color w:val="auto"/>
        </w:rPr>
      </w:pPr>
    </w:p>
    <w:p>
      <w:pPr>
        <w:ind w:left="260" w:hanging="252"/>
        <w:spacing w:after="0"/>
        <w:tabs>
          <w:tab w:leader="none" w:pos="2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any action that would require a Conversion Price adjustment pursuant to Section 1704 or Section 1711; or</w:t>
      </w:r>
    </w:p>
    <w:p>
      <w:pPr>
        <w:spacing w:after="0" w:line="117"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68" w:lineRule="exact"/>
        <w:rPr>
          <w:rFonts w:ascii="Times New Roman" w:cs="Times New Roman" w:eastAsia="Times New Roman" w:hAnsi="Times New Roman"/>
          <w:sz w:val="18"/>
          <w:szCs w:val="18"/>
          <w:color w:val="auto"/>
        </w:rPr>
      </w:pPr>
    </w:p>
    <w:p>
      <w:pPr>
        <w:ind w:right="100" w:firstLine="8"/>
        <w:spacing w:after="0" w:line="254" w:lineRule="auto"/>
        <w:tabs>
          <w:tab w:leader="none" w:pos="2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u w:val="single" w:color="auto"/>
          <w:color w:val="auto"/>
        </w:rPr>
        <w:t>Company to Reserve Common Stock</w:t>
      </w:r>
      <w:r>
        <w:rPr>
          <w:rFonts w:ascii="Times New Roman" w:cs="Times New Roman" w:eastAsia="Times New Roman" w:hAnsi="Times New Roman"/>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u w:val="single" w:color="auto"/>
          <w:color w:val="auto"/>
        </w:rPr>
        <w:t>Taxes on Conversion</w:t>
      </w:r>
      <w:r>
        <w:rPr>
          <w:rFonts w:ascii="Times New Roman" w:cs="Times New Roman" w:eastAsia="Times New Roman" w:hAnsi="Times New Roman"/>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4"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u w:val="single" w:color="auto"/>
          <w:color w:val="auto"/>
        </w:rPr>
        <w:t>Covenants as to Common Stock</w:t>
      </w:r>
      <w:r>
        <w:rPr>
          <w:rFonts w:ascii="Times New Roman" w:cs="Times New Roman" w:eastAsia="Times New Roman" w:hAnsi="Times New Roman"/>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270" w:right="259" w:bottom="1440" w:gutter="0" w:footer="0" w:header="0"/>
        </w:sectPr>
      </w:pPr>
    </w:p>
    <w:bookmarkStart w:id="185" w:name="page186"/>
    <w:bookmarkEnd w:id="18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u w:val="single" w:color="auto"/>
          <w:color w:val="auto"/>
        </w:rPr>
        <w:t>Cancellation of Converted Securities</w:t>
      </w:r>
      <w:r>
        <w:rPr>
          <w:rFonts w:ascii="Times New Roman" w:cs="Times New Roman" w:eastAsia="Times New Roman" w:hAnsi="Times New Roman"/>
          <w:sz w:val="18"/>
          <w:szCs w:val="18"/>
          <w:color w:val="auto"/>
        </w:rPr>
        <w:t>. All Securities delivered for conversion shall be delivered to the Trustee to be cancelled by or at the direction of the Trustee, which shall dispose of the same as provided in Section 309.</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u w:val="single" w:color="auto"/>
          <w:color w:val="auto"/>
        </w:rPr>
        <w:t>Provisions in Case of Consolidation, Merger or Sale of Assets; Special Distributions</w:t>
      </w:r>
      <w:r>
        <w:rPr>
          <w:rFonts w:ascii="Times New Roman" w:cs="Times New Roman" w:eastAsia="Times New Roman" w:hAnsi="Times New Roman"/>
          <w:sz w:val="18"/>
          <w:szCs w:val="18"/>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81" w:lineRule="exact"/>
        <w:rPr>
          <w:sz w:val="20"/>
          <w:szCs w:val="20"/>
          <w:color w:val="auto"/>
        </w:rPr>
      </w:pPr>
    </w:p>
    <w:p>
      <w:pPr>
        <w:ind w:right="140" w:firstLine="8"/>
        <w:spacing w:after="0" w:line="266" w:lineRule="auto"/>
        <w:tabs>
          <w:tab w:leader="none" w:pos="2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68" w:lineRule="exact"/>
        <w:rPr>
          <w:rFonts w:ascii="Times New Roman" w:cs="Times New Roman" w:eastAsia="Times New Roman" w:hAnsi="Times New Roman"/>
          <w:sz w:val="18"/>
          <w:szCs w:val="18"/>
          <w:color w:val="auto"/>
        </w:rPr>
      </w:pPr>
    </w:p>
    <w:p>
      <w:pPr>
        <w:ind w:right="120" w:firstLine="8"/>
        <w:spacing w:after="0" w:line="258" w:lineRule="auto"/>
        <w:tabs>
          <w:tab w:leader="none" w:pos="2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Common Stock).</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270" w:right="2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makes a distribution to all holders of its Common Stock that constitutes an Unadjusted Distribution pursuant to the last sentence of paragraph</w:t>
      </w:r>
    </w:p>
    <w:p>
      <w:pPr>
        <w:spacing w:after="0" w:line="27" w:lineRule="exact"/>
        <w:rPr>
          <w:sz w:val="20"/>
          <w:szCs w:val="20"/>
          <w:color w:val="auto"/>
        </w:rPr>
      </w:pPr>
    </w:p>
    <w:p>
      <w:pPr>
        <w:ind w:right="60" w:firstLine="8"/>
        <w:spacing w:after="0" w:line="253" w:lineRule="auto"/>
        <w:tabs>
          <w:tab w:leader="none" w:pos="2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1704,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u w:val="single" w:color="auto"/>
          <w:color w:val="auto"/>
        </w:rPr>
        <w:t>Trustee Adjustment Disclaimer; Company Determination Final</w:t>
      </w:r>
      <w:r>
        <w:rPr>
          <w:rFonts w:ascii="Times New Roman" w:cs="Times New Roman" w:eastAsia="Times New Roman" w:hAnsi="Times New Roman"/>
          <w:sz w:val="18"/>
          <w:szCs w:val="18"/>
          <w:color w:val="auto"/>
        </w:rPr>
        <w:t>.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u w:val="single" w:color="auto"/>
          <w:color w:val="auto"/>
        </w:rPr>
        <w:t>When No Adjustment Required</w:t>
      </w:r>
      <w:r>
        <w:rPr>
          <w:rFonts w:ascii="Times New Roman" w:cs="Times New Roman" w:eastAsia="Times New Roman" w:hAnsi="Times New Roman"/>
          <w:sz w:val="18"/>
          <w:szCs w:val="18"/>
          <w:color w:val="auto"/>
        </w:rPr>
        <w:t>.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72" w:lineRule="exact"/>
        <w:rPr>
          <w:sz w:val="20"/>
          <w:szCs w:val="20"/>
          <w:color w:val="auto"/>
        </w:rPr>
      </w:pPr>
    </w:p>
    <w:p>
      <w:pPr>
        <w:jc w:val="both"/>
        <w:ind w:right="40" w:firstLine="8"/>
        <w:spacing w:after="0" w:line="289" w:lineRule="auto"/>
        <w:tabs>
          <w:tab w:leader="none" w:pos="25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5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SECTION 1714. </w:t>
      </w:r>
      <w:r>
        <w:rPr>
          <w:rFonts w:ascii="Times New Roman" w:cs="Times New Roman" w:eastAsia="Times New Roman" w:hAnsi="Times New Roman"/>
          <w:sz w:val="18"/>
          <w:szCs w:val="18"/>
          <w:u w:val="single" w:color="auto"/>
          <w:color w:val="auto"/>
        </w:rPr>
        <w:t>Equivalent Adjustments</w:t>
      </w:r>
      <w:r>
        <w:rPr>
          <w:rFonts w:ascii="Times New Roman" w:cs="Times New Roman" w:eastAsia="Times New Roman" w:hAnsi="Times New Roman"/>
          <w:sz w:val="18"/>
          <w:szCs w:val="18"/>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270" w:right="27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20" w:type="dxa"/>
            <w:vAlign w:val="bottom"/>
          </w:tcPr>
          <w:p>
            <w:pPr>
              <w:jc w:val="right"/>
              <w:ind w:right="359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as Trustee</w:t>
            </w:r>
          </w:p>
        </w:tc>
        <w:tc>
          <w:tcPr>
            <w:tcW w:w="3820" w:type="dxa"/>
            <w:vAlign w:val="bottom"/>
          </w:tcPr>
          <w:p>
            <w:pPr>
              <w:spacing w:after="0"/>
              <w:rPr>
                <w:sz w:val="20"/>
                <w:szCs w:val="20"/>
                <w:color w:val="auto"/>
              </w:rPr>
            </w:pPr>
          </w:p>
        </w:tc>
      </w:tr>
      <w:tr>
        <w:trPr>
          <w:trHeight w:val="44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4"/>
                <w:szCs w:val="24"/>
                <w:color w:val="auto"/>
              </w:rPr>
            </w:pP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r>
      <w:tr>
        <w:trPr>
          <w:trHeight w:val="234"/>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270" w:right="2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REDEEMABLE OR NON-REDEEMABLE SUBORDINATED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the Holder of this Security (as indicated below) is The Depository Trust Company (“DTC”) or a nominee of DTC, this Security is a Global Security and the following two legends apply:</w:t>
      </w:r>
    </w:p>
    <w:p>
      <w:pPr>
        <w:spacing w:after="0" w:line="15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 </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If this Security is an Original Issue Discount Security, insert</w:t>
      </w:r>
      <w:r>
        <w:rPr>
          <w:rFonts w:ascii="Times New Roman" w:cs="Times New Roman" w:eastAsia="Times New Roman" w:hAnsi="Times New Roman"/>
          <w:sz w:val="18"/>
          <w:szCs w:val="18"/>
          <w:color w:val="auto"/>
        </w:rPr>
        <w:t xml:space="preserve"> — FOR PURPOSES OF SECTION 1273 and 1275 OF THE UNITED STATES INTERNAL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REVENUE CODE, THE AMOUNT OF ORIGINAL ISSUE DISCOUNT ON THIS SECURITY IS</w:t>
            </w: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OF ITS PRINCIPAL AMOUNT, THE ISSUE</w:t>
            </w:r>
          </w:p>
        </w:tc>
      </w:tr>
      <w:tr>
        <w:trPr>
          <w:trHeight w:val="21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IS</w:t>
            </w:r>
          </w:p>
        </w:tc>
        <w:tc>
          <w:tcPr>
            <w:tcW w:w="20" w:type="dxa"/>
            <w:vAlign w:val="bottom"/>
          </w:tcPr>
          <w:p>
            <w:pPr>
              <w:spacing w:after="0"/>
              <w:rPr>
                <w:sz w:val="18"/>
                <w:szCs w:val="18"/>
                <w:color w:val="auto"/>
              </w:rPr>
            </w:pP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20   , AND THE YIELD TO MATURITY IS</w:t>
            </w:r>
          </w:p>
        </w:tc>
        <w:tc>
          <w:tcPr>
            <w:tcW w:w="66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 THE METHOD USED TO DETERMINE THE AMOUNT OF ORIGINAL</w:t>
            </w:r>
          </w:p>
        </w:tc>
      </w:tr>
      <w:tr>
        <w:trPr>
          <w:trHeight w:val="216"/>
        </w:trPr>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ISSUE DISCOUNT APPLICABLE TO THE SHORT ACCRUAL PERIOD OF</w:t>
            </w:r>
          </w:p>
        </w:tc>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20   TO</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20   , IS</w:t>
            </w:r>
          </w:p>
        </w:tc>
        <w:tc>
          <w:tcPr>
            <w:tcW w:w="2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OF THE PRINCIPAL</w:t>
            </w:r>
          </w:p>
        </w:tc>
      </w:tr>
      <w:tr>
        <w:trPr>
          <w:trHeight w:val="234"/>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AMOUNT OF THIS SECURITY.]</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NN, INC.</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6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w w:val="99"/>
              </w:rPr>
              <w:t>[Designation of Series]</w:t>
            </w:r>
          </w:p>
        </w:tc>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4"/>
                <w:szCs w:val="24"/>
                <w:color w:val="auto"/>
              </w:rPr>
            </w:pPr>
          </w:p>
        </w:tc>
      </w:tr>
      <w:tr>
        <w:trPr>
          <w:trHeight w:val="41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w:t>
            </w:r>
          </w:p>
        </w:tc>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 a Massachusetts corporation (herein referred to as the “Company,” which term includes any successor corporation under the Indenture referred to</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on the reverse hereof), for value received, hereby promises to pay to or registered assigns the principal sum of Dollars on (the “Stated Maturity Date”) [or </w:t>
      </w:r>
      <w:r>
        <w:rPr>
          <w:rFonts w:ascii="Times New Roman" w:cs="Times New Roman" w:eastAsia="Times New Roman" w:hAnsi="Times New Roman"/>
          <w:sz w:val="18"/>
          <w:szCs w:val="18"/>
          <w:u w:val="single" w:color="auto"/>
          <w:color w:val="auto"/>
        </w:rPr>
        <w:t>insert date fixed for earlier redemption</w:t>
      </w:r>
      <w:r>
        <w:rPr>
          <w:rFonts w:ascii="Times New Roman" w:cs="Times New Roman" w:eastAsia="Times New Roman" w:hAnsi="Times New Roman"/>
          <w:sz w:val="18"/>
          <w:szCs w:val="18"/>
          <w:color w:val="auto"/>
        </w:rPr>
        <w:t xml:space="preserve"> (the “Redemption Date,” and together with the Stated Maturity Date with respect to principal repayable on such date, the “Maturity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If the Security is to bear interest prior to Maturity, insert</w:t>
      </w:r>
      <w:r>
        <w:rPr>
          <w:rFonts w:ascii="Times New Roman" w:cs="Times New Roman" w:eastAsia="Times New Roman" w:hAnsi="Times New Roman"/>
          <w:sz w:val="18"/>
          <w:szCs w:val="18"/>
          <w:color w:val="auto"/>
        </w:rPr>
        <w:t xml:space="preserve"> — and to pay interest thereon from or from the most recent Interest Payment Date to which interest</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has been paid or duly provided for, semi-annually on and in each year (each, an “Interest Payment Date”), commencing , at the rate of % per annum, until the principal hereof is paid or duly provided for. The interest so payable, and punctually paid or duly provided for, on any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 will, as provided in such Indenture, be paid to the Holder in whose name this Security (or one or more Predecessor Securities) is registered at</w:t>
      </w:r>
    </w:p>
    <w:p>
      <w:pPr>
        <w:spacing w:after="0" w:line="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the close of business on the Regular Record Date for such interest, which shall be the or (whether or not a Business Day), as the case may be, next preceding such Interest Payment Date [at the office or agency of the Company maintained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270" w:right="239" w:bottom="1440" w:gutter="0" w:footer="0" w:header="0"/>
        </w:sectPr>
      </w:pPr>
    </w:p>
    <w:bookmarkStart w:id="189" w:name="page190"/>
    <w:bookmarkEnd w:id="18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4" w:lineRule="exact"/>
        <w:rPr>
          <w:sz w:val="20"/>
          <w:szCs w:val="20"/>
          <w:color w:val="auto"/>
        </w:rPr>
      </w:pPr>
    </w:p>
    <w:p>
      <w:pPr>
        <w:ind w:right="260" w:firstLine="8"/>
        <w:spacing w:after="0" w:line="276" w:lineRule="auto"/>
        <w:tabs>
          <w:tab w:leader="none" w:pos="105"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If the Security is not to bear interest prior to Maturity, insert</w:t>
      </w:r>
      <w:r>
        <w:rPr>
          <w:rFonts w:ascii="Times New Roman" w:cs="Times New Roman" w:eastAsia="Times New Roman" w:hAnsi="Times New Roman"/>
          <w:sz w:val="17"/>
          <w:szCs w:val="17"/>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w:t>
      </w:r>
    </w:p>
    <w:p>
      <w:pPr>
        <w:spacing w:after="0" w:line="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w:t>
      </w:r>
    </w:p>
    <w:p>
      <w:pPr>
        <w:spacing w:after="0" w:line="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w:t>
      </w:r>
    </w:p>
    <w:p>
      <w:pPr>
        <w:spacing w:after="0" w:line="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agency of the Company maintained for that purpose in , in such coin or currency of the United States of America as at the time of payment is legal tender for the payment of public and private debts.</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ind w:right="20"/>
        <w:spacing w:after="0" w:line="252" w:lineRule="auto"/>
        <w:rPr>
          <w:sz w:val="20"/>
          <w:szCs w:val="20"/>
          <w:color w:val="auto"/>
        </w:rPr>
      </w:pPr>
      <w:r>
        <w:rPr>
          <w:rFonts w:ascii="Times New Roman" w:cs="Times New Roman" w:eastAsia="Times New Roman" w:hAnsi="Times New Roman"/>
          <w:sz w:val="18"/>
          <w:szCs w:val="18"/>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89" w:lineRule="exact"/>
        <w:rPr>
          <w:sz w:val="20"/>
          <w:szCs w:val="20"/>
          <w:color w:val="auto"/>
        </w:rPr>
      </w:pPr>
    </w:p>
    <w:p>
      <w:pPr>
        <w:ind w:right="260" w:firstLine="8"/>
        <w:spacing w:after="0" w:line="282" w:lineRule="auto"/>
        <w:tabs>
          <w:tab w:leader="none" w:pos="10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this Security is a Global Security, insert</w:t>
      </w:r>
      <w:r>
        <w:rPr>
          <w:rFonts w:ascii="Times New Roman" w:cs="Times New Roman" w:eastAsia="Times New Roman" w:hAnsi="Times New Roman"/>
          <w:sz w:val="18"/>
          <w:szCs w:val="18"/>
          <w:color w:val="auto"/>
        </w:rPr>
        <w:t xml:space="preserve"> — All payments of principal, premium or Make-Whole Amount, if any, and interest in respect of this Security will be made by the Company in immediately available funds.]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380"/>
          </w:cols>
          <w:pgMar w:left="240" w:top="270" w:right="2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instrument to be duly executed under its facsimile corporate seal.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-7620</wp:posOffset>
            </wp:positionV>
            <wp:extent cx="571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142875</wp:posOffset>
            </wp:positionV>
            <wp:extent cx="31127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Secretary</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219"/>
          </w:cols>
          <w:pgMar w:left="240" w:top="270" w:right="1440"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Indenture, dated as of , 201 (herein called the “Indenture”) between the Company and [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and the aggregate principal</w:t>
      </w:r>
    </w:p>
    <w:p>
      <w:pPr>
        <w:spacing w:after="0" w:line="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may not be redeemed prior to the Stated Maturity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If applicable, insert — The Securities are subject to redemption [ (l)</w:t>
            </w:r>
          </w:p>
        </w:tc>
        <w:tc>
          <w:tcPr>
            <w:tcW w:w="2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 If applicable, insert — on</w:t>
            </w:r>
          </w:p>
        </w:tc>
        <w:tc>
          <w:tcPr>
            <w:tcW w:w="36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in any year commencing with the</w:t>
            </w: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18"/>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3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and ending with the year</w:t>
            </w:r>
          </w:p>
        </w:tc>
        <w:tc>
          <w:tcPr>
            <w:tcW w:w="8000" w:type="dxa"/>
            <w:vAlign w:val="bottom"/>
            <w:gridSpan w:val="12"/>
          </w:tcPr>
          <w:p>
            <w:pPr>
              <w:ind w:left="220"/>
              <w:spacing w:after="0"/>
              <w:rPr>
                <w:sz w:val="20"/>
                <w:szCs w:val="20"/>
                <w:color w:val="auto"/>
              </w:rPr>
            </w:pPr>
            <w:r>
              <w:rPr>
                <w:rFonts w:ascii="Times New Roman" w:cs="Times New Roman" w:eastAsia="Times New Roman" w:hAnsi="Times New Roman"/>
                <w:sz w:val="18"/>
                <w:szCs w:val="18"/>
                <w:color w:val="auto"/>
              </w:rPr>
              <w:t>through operation of the sinking fund for this series at a Redemption Price equal to 100% of the principal</w:t>
            </w:r>
          </w:p>
        </w:tc>
      </w:tr>
      <w:tr>
        <w:trPr>
          <w:trHeight w:val="194"/>
        </w:trPr>
        <w:tc>
          <w:tcPr>
            <w:tcW w:w="51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rPr>
              <w:t>amount, and (2) ] [ If applicable, insert — at any time [on or after</w:t>
            </w:r>
          </w:p>
        </w:tc>
        <w:tc>
          <w:tcPr>
            <w:tcW w:w="6240" w:type="dxa"/>
            <w:vAlign w:val="bottom"/>
            <w:gridSpan w:val="11"/>
          </w:tcPr>
          <w:p>
            <w:pPr>
              <w:ind w:left="160"/>
              <w:spacing w:after="0" w:line="194" w:lineRule="exact"/>
              <w:rPr>
                <w:sz w:val="20"/>
                <w:szCs w:val="20"/>
                <w:color w:val="auto"/>
              </w:rPr>
            </w:pPr>
            <w:r>
              <w:rPr>
                <w:rFonts w:ascii="Times New Roman" w:cs="Times New Roman" w:eastAsia="Times New Roman" w:hAnsi="Times New Roman"/>
                <w:sz w:val="18"/>
                <w:szCs w:val="18"/>
                <w:color w:val="auto"/>
                <w:w w:val="99"/>
              </w:rPr>
              <w:t>], as a whole or in part, at the election of the Company, at the following Redemption</w:t>
            </w:r>
          </w:p>
        </w:tc>
      </w:tr>
      <w:tr>
        <w:trPr>
          <w:trHeight w:val="20"/>
        </w:trPr>
        <w:tc>
          <w:tcPr>
            <w:tcW w:w="1400" w:type="dxa"/>
            <w:vAlign w:val="bottom"/>
            <w:gridSpan w:val="4"/>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5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Prices (expressed as percentages of the principal amount):</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4"/>
        </w:trPr>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redeemed on or before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43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 and if redeemed during the 12-month period beginning</w:t>
            </w:r>
          </w:p>
        </w:tc>
        <w:tc>
          <w:tcPr>
            <w:tcW w:w="362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of the years indicated at the</w:t>
            </w:r>
          </w:p>
        </w:tc>
      </w:tr>
      <w:tr>
        <w:trPr>
          <w:trHeight w:val="234"/>
        </w:trPr>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Redemption Prices indicated below.</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2"/>
        </w:trPr>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Redemption Price</w:t>
            </w:r>
          </w:p>
        </w:tc>
        <w:tc>
          <w:tcPr>
            <w:tcW w:w="8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00" w:type="dxa"/>
            <w:vAlign w:val="bottom"/>
            <w:gridSpan w:val="2"/>
          </w:tcPr>
          <w:p>
            <w:pPr>
              <w:spacing w:after="0"/>
              <w:rPr>
                <w:sz w:val="24"/>
                <w:szCs w:val="24"/>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Redemption Price</w:t>
            </w:r>
          </w:p>
        </w:tc>
      </w:tr>
      <w:tr>
        <w:trPr>
          <w:trHeight w:val="27"/>
        </w:trPr>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392"/>
        </w:trPr>
        <w:tc>
          <w:tcPr>
            <w:tcW w:w="3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thereafter at a Redemption Price equal to</w:t>
            </w:r>
          </w:p>
        </w:tc>
        <w:tc>
          <w:tcPr>
            <w:tcW w:w="8000" w:type="dxa"/>
            <w:vAlign w:val="bottom"/>
            <w:gridSpan w:val="12"/>
          </w:tcPr>
          <w:p>
            <w:pPr>
              <w:ind w:left="440"/>
              <w:spacing w:after="0"/>
              <w:rPr>
                <w:sz w:val="20"/>
                <w:szCs w:val="20"/>
                <w:color w:val="auto"/>
              </w:rPr>
            </w:pPr>
            <w:r>
              <w:rPr>
                <w:rFonts w:ascii="Times New Roman" w:cs="Times New Roman" w:eastAsia="Times New Roman" w:hAnsi="Times New Roman"/>
                <w:sz w:val="18"/>
                <w:szCs w:val="18"/>
                <w:color w:val="auto"/>
                <w:w w:val="99"/>
              </w:rPr>
              <w:t>% of the principal amount, together in the case of any such redemption [ If applicable, insert — (whether</w:t>
            </w: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76" w:lineRule="exact"/>
        <w:rPr>
          <w:sz w:val="20"/>
          <w:szCs w:val="20"/>
          <w:color w:val="auto"/>
        </w:rPr>
      </w:pPr>
    </w:p>
    <w:p>
      <w:pPr>
        <w:ind w:right="100" w:firstLine="8"/>
        <w:spacing w:after="0" w:line="258" w:lineRule="auto"/>
        <w:tabs>
          <w:tab w:leader="none" w:pos="10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are subject to redemption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3440" w:type="dxa"/>
            <w:vAlign w:val="bottom"/>
            <w:gridSpan w:val="2"/>
            <w:vMerge w:val="restart"/>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Redemption Price for</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Price for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Redemption Otherwise Than</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80" w:type="dxa"/>
            <w:vAlign w:val="bottom"/>
          </w:tcPr>
          <w:p>
            <w:pPr>
              <w:spacing w:after="0"/>
              <w:rPr>
                <w:sz w:val="12"/>
                <w:szCs w:val="12"/>
                <w:color w:val="auto"/>
              </w:rPr>
            </w:pPr>
          </w:p>
        </w:tc>
        <w:tc>
          <w:tcPr>
            <w:tcW w:w="3440" w:type="dxa"/>
            <w:vAlign w:val="bottom"/>
            <w:gridSpan w:val="2"/>
          </w:tcPr>
          <w:p>
            <w:pPr>
              <w:jc w:val="center"/>
              <w:ind w:right="1560"/>
              <w:spacing w:after="0" w:line="149" w:lineRule="exact"/>
              <w:rPr>
                <w:sz w:val="20"/>
                <w:szCs w:val="20"/>
                <w:color w:val="auto"/>
              </w:rPr>
            </w:pPr>
            <w:r>
              <w:rPr>
                <w:rFonts w:ascii="Times New Roman" w:cs="Times New Roman" w:eastAsia="Times New Roman" w:hAnsi="Times New Roman"/>
                <w:sz w:val="14"/>
                <w:szCs w:val="14"/>
                <w:b w:val="1"/>
                <w:bCs w:val="1"/>
                <w:color w:val="auto"/>
              </w:rPr>
              <w:t>Redemption Through</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Operation of the</w:t>
            </w:r>
          </w:p>
        </w:tc>
        <w:tc>
          <w:tcPr>
            <w:tcW w:w="0" w:type="dxa"/>
            <w:vAlign w:val="bottom"/>
          </w:tcPr>
          <w:p>
            <w:pPr>
              <w:spacing w:after="0"/>
              <w:rPr>
                <w:sz w:val="1"/>
                <w:szCs w:val="1"/>
                <w:color w:val="auto"/>
              </w:rPr>
            </w:pPr>
          </w:p>
        </w:tc>
      </w:tr>
      <w:tr>
        <w:trPr>
          <w:trHeight w:val="160"/>
        </w:trPr>
        <w:tc>
          <w:tcPr>
            <w:tcW w:w="320" w:type="dxa"/>
            <w:vAlign w:val="bottom"/>
            <w:vMerge w:val="continue"/>
          </w:tcPr>
          <w:p>
            <w:pPr>
              <w:spacing w:after="0"/>
              <w:rPr>
                <w:sz w:val="13"/>
                <w:szCs w:val="13"/>
                <w:color w:val="auto"/>
              </w:rPr>
            </w:pPr>
          </w:p>
        </w:tc>
        <w:tc>
          <w:tcPr>
            <w:tcW w:w="5880" w:type="dxa"/>
            <w:vAlign w:val="bottom"/>
          </w:tcPr>
          <w:p>
            <w:pPr>
              <w:spacing w:after="0"/>
              <w:rPr>
                <w:sz w:val="13"/>
                <w:szCs w:val="13"/>
                <w:color w:val="auto"/>
              </w:rPr>
            </w:pPr>
          </w:p>
        </w:tc>
        <w:tc>
          <w:tcPr>
            <w:tcW w:w="3440" w:type="dxa"/>
            <w:vAlign w:val="bottom"/>
            <w:gridSpan w:val="2"/>
          </w:tcPr>
          <w:p>
            <w:pPr>
              <w:jc w:val="center"/>
              <w:ind w:right="1560"/>
              <w:spacing w:after="0" w:line="160" w:lineRule="exact"/>
              <w:rPr>
                <w:sz w:val="20"/>
                <w:szCs w:val="20"/>
                <w:color w:val="auto"/>
              </w:rPr>
            </w:pPr>
            <w:r>
              <w:rPr>
                <w:rFonts w:ascii="Times New Roman" w:cs="Times New Roman" w:eastAsia="Times New Roman" w:hAnsi="Times New Roman"/>
                <w:sz w:val="14"/>
                <w:szCs w:val="14"/>
                <w:b w:val="1"/>
                <w:bCs w:val="1"/>
                <w:color w:val="auto"/>
              </w:rPr>
              <w:t>Operation of the Sinking Fund</w:t>
            </w:r>
          </w:p>
        </w:tc>
        <w:tc>
          <w:tcPr>
            <w:tcW w:w="1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Sinking Fund</w:t>
            </w:r>
          </w:p>
        </w:tc>
        <w:tc>
          <w:tcPr>
            <w:tcW w:w="0" w:type="dxa"/>
            <w:vAlign w:val="bottom"/>
          </w:tcPr>
          <w:p>
            <w:pPr>
              <w:spacing w:after="0"/>
              <w:rPr>
                <w:sz w:val="1"/>
                <w:szCs w:val="1"/>
                <w:color w:val="auto"/>
              </w:rPr>
            </w:pPr>
          </w:p>
        </w:tc>
      </w:tr>
      <w:tr>
        <w:trPr>
          <w:trHeight w:val="27"/>
        </w:trPr>
        <w:tc>
          <w:tcPr>
            <w:tcW w:w="320" w:type="dxa"/>
            <w:vAlign w:val="bottom"/>
            <w:shd w:val="clear" w:color="auto" w:fill="000000"/>
          </w:tcPr>
          <w:p>
            <w:pPr>
              <w:spacing w:after="0"/>
              <w:rPr>
                <w:sz w:val="2"/>
                <w:szCs w:val="2"/>
                <w:color w:val="auto"/>
              </w:rPr>
            </w:pPr>
          </w:p>
        </w:tc>
        <w:tc>
          <w:tcPr>
            <w:tcW w:w="588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0" w:right="239" w:bottom="1440" w:gutter="0" w:footer="0" w:header="0"/>
        </w:sectPr>
      </w:pPr>
    </w:p>
    <w:bookmarkStart w:id="192" w:name="page193"/>
    <w:bookmarkEnd w:id="19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thereafter at a Redemption Price equal to % of the principal amount, together in the case of any such redemption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Notwithstanding the foregoing, the Company may not, prior to , redeem any Securities as contemplated by [Clause (2) of] the preceding paragraph as a part of, or in anticipation of, any refunding operation by the application, directly or indirectly, of moneys borrowed having an</w:t>
      </w:r>
    </w:p>
    <w:tbl>
      <w:tblPr>
        <w:tblLayout w:type="fixed"/>
        <w:tblInd w:w="0" w:type="dxa"/>
        <w:tblCellMar>
          <w:top w:w="0" w:type="dxa"/>
          <w:left w:w="0" w:type="dxa"/>
          <w:bottom w:w="0" w:type="dxa"/>
          <w:right w:w="0" w:type="dxa"/>
        </w:tblCellMar>
      </w:tblPr>
      <w:tr>
        <w:trPr>
          <w:trHeight w:val="234"/>
        </w:trPr>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interest cost to the Company (calculated in accordance with generally accepted financial practice) of less than</w:t>
            </w:r>
          </w:p>
        </w:tc>
        <w:tc>
          <w:tcPr>
            <w:tcW w:w="1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per annum.]</w:t>
            </w:r>
          </w:p>
        </w:tc>
        <w:tc>
          <w:tcPr>
            <w:tcW w:w="1080" w:type="dxa"/>
            <w:vAlign w:val="bottom"/>
          </w:tcPr>
          <w:p>
            <w:pPr>
              <w:spacing w:after="0"/>
              <w:rPr>
                <w:sz w:val="20"/>
                <w:szCs w:val="20"/>
                <w:color w:val="auto"/>
              </w:rPr>
            </w:pPr>
          </w:p>
        </w:tc>
      </w:tr>
      <w:tr>
        <w:trPr>
          <w:trHeight w:val="373"/>
        </w:trPr>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If applicable, insert — The sinking fund for the Securities provides for the redemption on</w:t>
            </w:r>
          </w:p>
        </w:tc>
        <w:tc>
          <w:tcPr>
            <w:tcW w:w="3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 each year, beginning with the year</w:t>
            </w: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and ending</w:t>
            </w:r>
          </w:p>
        </w:tc>
      </w:tr>
      <w:tr>
        <w:trPr>
          <w:trHeight w:val="20"/>
        </w:trPr>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r>
      <w:tr>
        <w:trPr>
          <w:trHeight w:val="23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the year</w:t>
            </w:r>
          </w:p>
        </w:tc>
        <w:tc>
          <w:tcPr>
            <w:tcW w:w="1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[not less than] $</w:t>
            </w:r>
          </w:p>
        </w:tc>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[(“mandatory sinking fund”) and not more than $</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aggregate principal amount of the Securities.</w:t>
            </w:r>
          </w:p>
        </w:tc>
      </w:tr>
    </w:tbl>
    <w:p>
      <w:pPr>
        <w:ind w:right="540"/>
        <w:spacing w:after="0" w:line="261" w:lineRule="auto"/>
        <w:rPr>
          <w:sz w:val="20"/>
          <w:szCs w:val="20"/>
          <w:color w:val="auto"/>
        </w:rPr>
      </w:pPr>
      <w:r>
        <w:rPr>
          <w:rFonts w:ascii="Times New Roman" w:cs="Times New Roman" w:eastAsia="Times New Roman" w:hAnsi="Times New Roman"/>
          <w:sz w:val="18"/>
          <w:szCs w:val="18"/>
          <w:color w:val="auto"/>
        </w:rPr>
        <w:t xml:space="preserve">[The Securities acquired or redeemed by the Company otherwise than through [mandatory] sinking fund payments may be credited against subsequent [mandatory] sinking fund payments otherwise required to be made in the [ </w:t>
      </w:r>
      <w:r>
        <w:rPr>
          <w:rFonts w:ascii="Times New Roman" w:cs="Times New Roman" w:eastAsia="Times New Roman" w:hAnsi="Times New Roman"/>
          <w:sz w:val="18"/>
          <w:szCs w:val="18"/>
          <w:u w:val="single" w:color="auto"/>
          <w:color w:val="auto"/>
        </w:rPr>
        <w:t>describe order</w:t>
      </w:r>
      <w:r>
        <w:rPr>
          <w:rFonts w:ascii="Times New Roman" w:cs="Times New Roman" w:eastAsia="Times New Roman" w:hAnsi="Times New Roman"/>
          <w:sz w:val="18"/>
          <w:szCs w:val="18"/>
          <w:color w:val="auto"/>
        </w:rPr>
        <w:t xml:space="preserve"> ] order in which they become due.]]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Notice of redemption will be given by mail to Holders of Securities, not less than 30 nor more than 60 days prior to the Redemption Date, all as provided in the Indenture.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193" w:name="page194"/>
    <w:bookmarkEnd w:id="193"/>
    <w:p>
      <w:pPr>
        <w:ind w:right="5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Security is subordinated to the prior payment in full in cash of Senior Indebtedness to the extent set forth in Article Sixteen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 and any integral multiple thereof.</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194" w:name="page195"/>
    <w:bookmarkEnd w:id="194"/>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FORMS OF CERTIFICATION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B-1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CERTIFICATE TO BE GIVEN BY PERSON ENTITLED TO RECEIVE BEARER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SECURITY OR TO OBTAIN INTEREST PAYABLE PRIOR TO THE EXCHANGE DATE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spacing w:after="0" w:line="2" w:lineRule="exact"/>
        <w:rPr>
          <w:sz w:val="20"/>
          <w:szCs w:val="20"/>
          <w:color w:val="auto"/>
        </w:rPr>
      </w:pPr>
    </w:p>
    <w:p>
      <w:pPr>
        <w:ind w:right="60" w:firstLine="8"/>
        <w:spacing w:after="0" w:line="251" w:lineRule="auto"/>
        <w:tabs>
          <w:tab w:leader="none" w:pos="24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branches of United States financial institutions (financial institutions, as defined in United States Treasury Regulations Section 2.165-12(c)(1)(v)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NN,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-7620</wp:posOffset>
            </wp:positionV>
            <wp:extent cx="571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 be dated no earlier than the 15th day prior to (i) the Exchange Date or (ii) the relevant Interest Payment Date occurring prior to the Exchange Date, as applicable]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380"/>
          </w:cols>
          <w:pgMar w:left="240" w:top="270" w:right="279" w:bottom="1440" w:gutter="0" w:footer="0" w:header="0"/>
        </w:sectPr>
      </w:pPr>
    </w:p>
    <w:bookmarkStart w:id="195" w:name="page196"/>
    <w:bookmarkEnd w:id="195"/>
    <w:p>
      <w:pPr>
        <w:jc w:val="right"/>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292100</wp:posOffset>
            </wp:positionV>
            <wp:extent cx="28987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B-1-2</w:t>
      </w:r>
    </w:p>
    <w:p>
      <w:pPr>
        <w:sectPr>
          <w:pgSz w:w="11900" w:h="16838" w:orient="portrait"/>
          <w:cols w:equalWidth="0" w:num="1">
            <w:col w:w="9019"/>
          </w:cols>
          <w:pgMar w:left="1440" w:top="270" w:right="1440" w:bottom="1440" w:gutter="0" w:footer="0" w:header="0"/>
        </w:sectPr>
      </w:pPr>
    </w:p>
    <w:bookmarkStart w:id="196" w:name="page197"/>
    <w:bookmarkEnd w:id="19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ind w:left="260" w:right="2220"/>
        <w:spacing w:after="0" w:line="289" w:lineRule="auto"/>
        <w:rPr>
          <w:sz w:val="20"/>
          <w:szCs w:val="20"/>
          <w:color w:val="auto"/>
        </w:rPr>
      </w:pPr>
      <w:r>
        <w:rPr>
          <w:rFonts w:ascii="Times New Roman" w:cs="Times New Roman" w:eastAsia="Times New Roman" w:hAnsi="Times New Roman"/>
          <w:sz w:val="17"/>
          <w:szCs w:val="17"/>
          <w:color w:val="auto"/>
        </w:rPr>
        <w:t>FORM OF CERTIFICATE TO BE GIVEN BY EUROCLEAR AND CLEARSTREAM S.A. IN CONNECTION WITH THE EXCHANGE OF A PORTION OF A TEMPORARY GLOBAL SECURITY OR TO OBTAIN INTEREST PAYABLE PRIOR TO THE EXCHANGE DATE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NN,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w:t>
      </w:r>
    </w:p>
    <w:p>
      <w:pPr>
        <w:spacing w:after="0" w:line="2" w:lineRule="exact"/>
        <w:rPr>
          <w:sz w:val="20"/>
          <w:szCs w:val="20"/>
          <w:color w:val="auto"/>
        </w:rPr>
      </w:pPr>
    </w:p>
    <w:p>
      <w:pPr>
        <w:ind w:right="160" w:firstLine="8"/>
        <w:spacing w:after="0" w:line="261" w:lineRule="auto"/>
        <w:tabs>
          <w:tab w:leader="none" w:pos="21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have certified that they have not acquired the Securities for purposes of resale directly or indirectly to a United States person or to a person within the United States or its possessions.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commenced or threatened in connection with which this certificate is or would be relevant, we irrevocably authorize you to produce this certificate or a copy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to any interested party in such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dated no earlier than the Exchange Date or the relevant Interest Payment Date occurring prior to the Exchange Date, as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Guaranty Trust Company of New York, Brussels Office, as Operator of the Euroclear System Clearstream Banking Luxembourg]</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400"/>
          </w:cols>
          <w:pgMar w:left="240" w:top="270" w:right="259" w:bottom="1440" w:gutter="0" w:footer="0" w:header="0"/>
        </w:sectPr>
      </w:pPr>
    </w:p>
    <w:bookmarkStart w:id="197" w:name="page198"/>
    <w:bookmarkEnd w:id="197"/>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B-2-2</w:t>
      </w:r>
    </w:p>
    <w:p>
      <w:pPr>
        <w:sectPr>
          <w:pgSz w:w="11900" w:h="16838" w:orient="portrait"/>
          <w:cols w:equalWidth="0" w:num="1">
            <w:col w:w="9019"/>
          </w:cols>
          <w:pgMar w:left="1440" w:top="270" w:right="1440"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174625</wp:posOffset>
            </wp:positionV>
            <wp:extent cx="2204085"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0408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Tower at Peabody Place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Peabody Place, Suite 1300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Memphis, Tennessee 38103</w:t>
      </w:r>
    </w:p>
    <w:p>
      <w:pPr>
        <w:spacing w:after="0" w:line="9" w:lineRule="exact"/>
        <w:rPr>
          <w:sz w:val="20"/>
          <w:szCs w:val="20"/>
          <w:color w:val="auto"/>
        </w:rPr>
      </w:pPr>
    </w:p>
    <w:p>
      <w:pPr>
        <w:jc w:val="both"/>
        <w:ind w:left="5140" w:right="5140" w:firstLine="12"/>
        <w:spacing w:after="0" w:line="519" w:lineRule="auto"/>
        <w:tabs>
          <w:tab w:leader="none" w:pos="5585"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543-5900 March 16, 2017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207 Mockingbird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City, Tennessee 37604</w:t>
      </w:r>
    </w:p>
    <w:p>
      <w:pPr>
        <w:spacing w:after="0" w:line="207" w:lineRule="exact"/>
        <w:rPr>
          <w:sz w:val="20"/>
          <w:szCs w:val="20"/>
          <w:color w:val="auto"/>
        </w:rPr>
      </w:pPr>
    </w:p>
    <w:p>
      <w:pPr>
        <w:ind w:left="460"/>
        <w:spacing w:after="0"/>
        <w:tabs>
          <w:tab w:leader="none" w:pos="920" w:val="left"/>
        </w:tabs>
        <w:rPr>
          <w:sz w:val="20"/>
          <w:szCs w:val="20"/>
          <w:color w:val="auto"/>
        </w:rPr>
      </w:pPr>
      <w:r>
        <w:rPr>
          <w:rFonts w:ascii="Times New Roman" w:cs="Times New Roman" w:eastAsia="Times New Roman" w:hAnsi="Times New Roman"/>
          <w:sz w:val="18"/>
          <w:szCs w:val="18"/>
          <w:color w:val="auto"/>
        </w:rPr>
        <w:t>Re:</w:t>
        <w:tab/>
        <w:t>Shelf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11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have acted as counsel to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its filing of a shelf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the prospectus constituting a part thereof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on the first date above,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We have been requested by the Company to render this opinion in connection with the filing of the Registration Statement.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Prospectus provides that it will be supplemented in the future by one or more supplements to the Prospectus (each, a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as supplemented by various Prospectus Supplements, will provide for the registration by the Company of an indeterminate amount of:</w:t>
      </w:r>
    </w:p>
    <w:p>
      <w:pPr>
        <w:spacing w:after="0" w:line="9" w:lineRule="exact"/>
        <w:rPr>
          <w:sz w:val="20"/>
          <w:szCs w:val="20"/>
          <w:color w:val="auto"/>
        </w:rPr>
      </w:pPr>
    </w:p>
    <w:p>
      <w:pPr>
        <w:ind w:firstLine="8"/>
        <w:spacing w:after="0" w:line="251" w:lineRule="auto"/>
        <w:tabs>
          <w:tab w:leader="none" w:pos="21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 which may be either senior debt securities or subordinated debt securities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to be issued pursuant to indentures between the Company and a trustee or bank to be named therein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in the forms filed as Exhibits 4.4 and 4.6 to the Registration Statement, as such indentures may be supplemented for any series of Debt Securities (collectively,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(ii) shares of preferred stock, $0.01 par value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shares of common stock, $0.01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(iv) warrants to purchase shares of Preferred Stock, shares of Common Stock and/or Debt Securities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(v) units comprised of shares of Preferred Stock, shares of Common Stock, Warrants and Debt Securities in any combination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and/or (vi) any combination of the foregoing. The Debt Securities, the Preferred Stock, the Common Stock, the Warrants and the Units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Any Debt Securities may be exchangeable and/or convertible into shares of Common Stock or Preferred Stock. The Preferred Stock may also be exchangeable for and/or convertible into shares of Common Stock or another series of Preferred Stock. The Units may be exchangeable and/or settled into the Securities comprising the Units.</w:t>
      </w:r>
    </w:p>
    <w:p>
      <w:pPr>
        <w:spacing w:after="0" w:line="194" w:lineRule="exact"/>
        <w:rPr>
          <w:sz w:val="20"/>
          <w:szCs w:val="20"/>
          <w:color w:val="auto"/>
        </w:rPr>
      </w:pPr>
    </w:p>
    <w:p>
      <w:pPr>
        <w:jc w:val="both"/>
        <w:ind w:right="120" w:firstLine="456"/>
        <w:spacing w:after="0" w:line="261" w:lineRule="auto"/>
        <w:rPr>
          <w:sz w:val="20"/>
          <w:szCs w:val="20"/>
          <w:color w:val="auto"/>
        </w:rPr>
      </w:pPr>
      <w:r>
        <w:rPr>
          <w:rFonts w:ascii="Times New Roman" w:cs="Times New Roman" w:eastAsia="Times New Roman" w:hAnsi="Times New Roman"/>
          <w:sz w:val="18"/>
          <w:szCs w:val="18"/>
          <w:color w:val="auto"/>
        </w:rPr>
        <w:t>In rendering our opinion, we have reviewed the Registration Statement and the exhibits thereto. We have also reviewed such corporate documents and records of the Company, such certificates of public officials and such other matters as we have deemed necessary or appropriate for purposes of this opinion. We also have been furnished with, and with your consent have relied upon, certificates of officers of the Company with respect to certain factual matters and we have not independently established such factual matters.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Except to the extent we opine as to the binding effect and/or enforceability of certain documents as set forth in paragraphs 1, 4, 5 and 6 below, we have assumed that all documents referenced below are the valid and binding obligations of and enforceable against the parties thereto. We have also assumed the authenticity of all documents submitted to us as originals, the genuineness of all signatures, the conformity to authentic original documents of all documents submitted to us as certified, conformed or photostatic copies and the legal capacities of all natural persons.</w:t>
      </w:r>
    </w:p>
    <w:p>
      <w:pPr>
        <w:sectPr>
          <w:pgSz w:w="11900" w:h="16838" w:orient="portrait"/>
          <w:cols w:equalWidth="0" w:num="1">
            <w:col w:w="11420"/>
          </w:cols>
          <w:pgMar w:left="240" w:top="117"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foregoing, and subject to the assumptions, limitations and qualifications set forth herein, we are of the opinion that:</w:t>
      </w:r>
    </w:p>
    <w:p>
      <w:pPr>
        <w:spacing w:after="0" w:line="117" w:lineRule="exact"/>
        <w:rPr>
          <w:sz w:val="20"/>
          <w:szCs w:val="20"/>
          <w:color w:val="auto"/>
        </w:rPr>
      </w:pPr>
    </w:p>
    <w:p>
      <w:pPr>
        <w:ind w:left="-460" w:firstLine="464"/>
        <w:spacing w:after="0" w:line="253" w:lineRule="auto"/>
        <w:tabs>
          <w:tab w:leader="none" w:pos="17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When the Debt Securities have been duly established in accordance with the Indenture (including, without limitation, the adoption by the Board of Directors of the Company of a resolution duly authorizing the issuance and delivery of the Debt Securities), duly authenticated by the Trustee and duly executed and delivered on behalf of the Company against payment therefor in an amount that the Board of Directors of the Company determines and in accordance with the terms and provisions of such Indenture and as contemplated by the Registration Statement, the Prospectus and the related Prospectus Supplement(s), and (b) when the Registration Statement and any required post-effective amendment thereto and any and all Prospectus Supplement(s) required by applicable laws have all become effective under the Securities Act, and (c) assuming that the terms of the Debt Securities as executed and delivered are as described in the Registration Statement, the Prospectus and the related Prospectus Supplement(s), and (d) assuming that the Debt Securities as executed and delivered do not violate any law applicable to the Company or result in a default under or breach of any agreement or instrument binding upon the Company, and (e) assuming that the Debt Securities as executed and delivered comply with all requirements and restrictions, if any, applicable to the Company, whether imposed by any court or governmental or regulatory body having jurisdiction over the Company, and (f) assuming that the Debt Securities are then offered, issued and sold as contemplated in the Registration Statement, the Prospectus and the related Prospectus Supplement(s), then the Debt Securities (including any Debt Securities issued in exchange or in settlement of Units that are exchangeable or settled into Debt Securities) will constitute valid and binding obligations of the Company, enforceable against the Company in accordance with the terms of the Debt Securities.</w:t>
      </w:r>
    </w:p>
    <w:p>
      <w:pPr>
        <w:spacing w:after="0" w:line="80" w:lineRule="exact"/>
        <w:rPr>
          <w:rFonts w:ascii="Times New Roman" w:cs="Times New Roman" w:eastAsia="Times New Roman" w:hAnsi="Times New Roman"/>
          <w:sz w:val="18"/>
          <w:szCs w:val="18"/>
          <w:color w:val="auto"/>
        </w:rPr>
      </w:pPr>
    </w:p>
    <w:p>
      <w:pPr>
        <w:ind w:left="-460" w:firstLine="464"/>
        <w:spacing w:after="0" w:line="252" w:lineRule="auto"/>
        <w:tabs>
          <w:tab w:leader="none" w:pos="17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When a new class or series of Preferred Stock has been duly established in accordance with the terms of the Company’s Restated Certificate of Incorporation, as amended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the Company’s Amended and Restated By-Laws, as amended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applicable law (in the event that the Preferred Stock is a new class or series of Preferred Stock), and upon adoption by the Board of Directors of the Company of a resolution in form and content as required by applicable law, and (b) assuming that appropriate articles of amendment to the Company’s Charter relating to such class or series of Preferred Stock have been duly approved by the Company’s Board of Directors and been filed with and accepted for record by the Secretary of State of the State of Delaware, and (c) assuming that the Registration Statement and any required post-effective amendment(s) thereto and any and all Prospectus Supplement(s) required by applicable laws have become effective under the Securities Act, and (d) assuming that upon the issuance of such Preferred Stock, the total number of issued and outstanding shares of the applicable class or series of Preferred Stock will not exceed the total number of shares of Preferred Stock or the number of shares of such class or series of Preferred Stock that the Company is then authorized to issue under its Charter, then upon the offer, issuance and delivery of and payment for such shares in an amount that the Board of Directors determines and in the manner contemplated by the Registration Statement, the Prospectus and the related Prospectus Supplement(s) and by such resolution, such shares of such class or series of Preferred Stock (including any Preferred Stock duly issued upon (i) the exchange or conversion of any shares of Preferred Stock that are exchangeable or convertible into another class or series of Preferred Stock, (ii) the exercise of any duly issued Warrants exercisable for Preferred Stock, (iii) the exchange or conversion of Debt Securities that are exchangeable or convertible into Preferred Stock or (iv) the exchange or settlement of Units that are exchangeable or able to be settled for Preferred Stock), will be validly issued, fully paid and nonassessable.</w:t>
      </w:r>
    </w:p>
    <w:p>
      <w:pPr>
        <w:spacing w:after="0" w:line="89" w:lineRule="exact"/>
        <w:rPr>
          <w:rFonts w:ascii="Times New Roman" w:cs="Times New Roman" w:eastAsia="Times New Roman" w:hAnsi="Times New Roman"/>
          <w:sz w:val="18"/>
          <w:szCs w:val="18"/>
          <w:color w:val="auto"/>
        </w:rPr>
      </w:pPr>
    </w:p>
    <w:p>
      <w:pPr>
        <w:ind w:left="-460" w:right="40" w:firstLine="464"/>
        <w:spacing w:after="0" w:line="254" w:lineRule="auto"/>
        <w:tabs>
          <w:tab w:leader="none" w:pos="17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Upon adoption by the Board of Directors of the Company of a resolution in form and content as required by applicable law authorizing the issuance and sale of Common Stock, and (b) assuming that the Registration Statement and any required post-effective amendment(s) thereto and any and all Prospectus Supplement(s) required by applicable laws have become effective under the Securities Act, and (c) assuming that upon the issuance of such Common Stock, the total number of issued and outstanding shares of Common Stock will not exceed the total number of shares of Common Stock that the Company is then authorized to issue under its Charter, then upon the offer, issuance and delivery of and payment for such shares in an amount that the Board of Directors determines and in the manner contemplated by the Registration Statement, the Prospectus and the related Prospectus Supplement(s) and by such resolution, such shares of Common Stock being issued by the Company (including any Common Stock duly issued upon (i) the exchange or conversion of any shares of Preferred Stock that are exchangeable or convertible into Common Stock, (ii) the exercise of any duly issued Warrants exercisable for Common Stock, (iii) the exchange or conversion of Debt Securities that are exchangeable or convertible into Common Stock, or (iv) the exchange or settlement of Units that are exchangeable or able to be settled for Common Stock), will be validly issued, fully paid and nonassessable.</w:t>
      </w:r>
    </w:p>
    <w:p>
      <w:pPr>
        <w:sectPr>
          <w:pgSz w:w="11900" w:h="16838" w:orient="portrait"/>
          <w:cols w:equalWidth="0" w:num="1">
            <w:col w:w="10940"/>
          </w:cols>
          <w:pgMar w:left="700" w:top="270" w:right="259" w:bottom="1440" w:gutter="0" w:footer="0" w:header="0"/>
        </w:sectPr>
      </w:pPr>
    </w:p>
    <w:bookmarkStart w:id="200" w:name="page201"/>
    <w:bookmarkEnd w:id="200"/>
    <w:p>
      <w:pPr>
        <w:ind w:right="140" w:firstLine="464"/>
        <w:spacing w:after="0" w:line="276" w:lineRule="auto"/>
        <w:tabs>
          <w:tab w:leader="none" w:pos="636"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When a warrant agreement relating to the Warrants has been duly authorized (the “</w:t>
      </w:r>
      <w:r>
        <w:rPr>
          <w:rFonts w:ascii="Times New Roman" w:cs="Times New Roman" w:eastAsia="Times New Roman" w:hAnsi="Times New Roman"/>
          <w:sz w:val="17"/>
          <w:szCs w:val="17"/>
          <w:u w:val="single" w:color="auto"/>
          <w:color w:val="auto"/>
        </w:rPr>
        <w:t>Warrant Agreement</w:t>
      </w:r>
      <w:r>
        <w:rPr>
          <w:rFonts w:ascii="Times New Roman" w:cs="Times New Roman" w:eastAsia="Times New Roman" w:hAnsi="Times New Roman"/>
          <w:sz w:val="17"/>
          <w:szCs w:val="17"/>
          <w:color w:val="auto"/>
        </w:rPr>
        <w:t>”), executed and delivered and the Warrants and the securities of the Company for which the Warrants will be exercisable have been duly authorized by the Company’s Board of Directors, and</w:t>
      </w:r>
    </w:p>
    <w:p>
      <w:pPr>
        <w:ind w:firstLine="8"/>
        <w:spacing w:after="0" w:line="251" w:lineRule="auto"/>
        <w:tabs>
          <w:tab w:leader="none" w:pos="25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terms of the Warrants and of their issuance and sale have been duly established in conformity with the Company’s Charter and Bylaws and the Warrant Agreement, and (c) assuming that the Registration Statement and any required post-effective amendment(s) thereto and any and all Prospectus Supplement(s) required by applicable laws have all become effective under the Securities Act, and (d) assuming that the terms of the Warrants as executed and delivered are as described in the Registration Statement, the Prospectus and the related Prospectus Supplement(s), and (e) assuming that the Warrants, as executed and delivered, do not violate any law applicable to the Company or result in a default under or breach of any agreement or instrument binding upon the Company, and (f) assuming that the Warrants as executed and delivered comply with all requirements and restrictions, if any, applicable to the Company, whether imposed by any court or governmental or regulatory body having jurisdiction over the Company, and (g) assuming that the Warrants are then offered, issued and sold as contemplated in the Registration Statement, the Prospectus and the Prospectus Supplement(s), then upon issuance of and delivery of and payment for such Warrants in an amount that the Board of Directors of the Company determines and in the manner contemplated by the Registration Statement, the Prospectus and the related Prospectus Supplement and the Warrant Agreement and by such resolution, the Warrants (including any Warrants issued upon the exchange or settlement of Units that are exchangeable or able to be settled for Warrants) will constitute valid and binding obligations of the Company, enforceable against the Company in accordance with their terms, and the Warrants will be validly issued.</w:t>
      </w:r>
    </w:p>
    <w:p>
      <w:pPr>
        <w:spacing w:after="0" w:line="85" w:lineRule="exact"/>
        <w:rPr>
          <w:rFonts w:ascii="Times New Roman" w:cs="Times New Roman" w:eastAsia="Times New Roman" w:hAnsi="Times New Roman"/>
          <w:sz w:val="18"/>
          <w:szCs w:val="18"/>
          <w:color w:val="auto"/>
        </w:rPr>
      </w:pPr>
    </w:p>
    <w:p>
      <w:pPr>
        <w:ind w:right="120" w:firstLine="464"/>
        <w:spacing w:after="0" w:line="253" w:lineRule="auto"/>
        <w:tabs>
          <w:tab w:leader="none" w:pos="63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When a unit agreement relating to the Units has been duly authorized (the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executed and delivered and the Units have been duly authorized by the Company’s Board of Directors, and (b) assuming that the terms of the Units and of their issuance and sale have been duly established in conformity with the Unit Agreement, and (c) assuming that the Registration Statement and any required post-effective amendment(s) thereto and any and all Prospectus Supplement(s) required by applicable laws have all become effective under the Securities Act, and (d) assuming that the terms of the Units as executed and delivered are as described in the Registration Statement, the Prospectus and the related Prospectus Supplement(s), and (e) assuming that the Units, as executed and delivered, do not violate any law applicable to the Company or result in a default under or breach of any agreement or instrument binding upon the Company, and (f) assuming that the Units as executed and delivered comply with all requirements and restrictions, if any, applicable to the Company, whether imposed by any court or governmental or regulatory body having jurisdiction over the Company, and (g) assuming that the Units are then offered, issued and sold as contemplated in the Registration Statement, the Prospectus and the Prospectus Supplement(s), then upon issuance of and delivery of and payment for such Units in an amount that the Board of Directors of the Company determines and in the manner contemplated by the Registration Statement, the Prospectus and the related Prospectus Supplement and the Unit Agreement and by such resolution, the Units will constitute valid and binding obligations of the Company.</w:t>
      </w:r>
    </w:p>
    <w:p>
      <w:pPr>
        <w:spacing w:after="0" w:line="19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opinions set forth in paragraphs 1, 4 and 5 above are subject to the following exceptions, limitations and qualifications: (i) the effect of bankruptcy, insolvency, reorganization, arrangement, moratorium, fraudulent conveyance, fraudulent transfer and other similar laws relating to or affecting the rights of creditors; (ii) the effect of general principles of equity (including, without limitation, concepts of materiality, reasonableness, good faith and fair dealing and the possible unavailability of specific performance, injunctive relief and other equitable remedies), regardless of whether considered in a proceeding at law or in equity; (iii) the effect of public policy considerations that may limit the rights of the parties to obtain further remedies; (iv) we express no opinion with respect to the enforceability of provisions relating to choice of law, choice of venue, jurisdiction or waivers of jury trial; and (v) we express no opinion with respect to the enforceability of any waiver of any usury defense.</w:t>
      </w:r>
    </w:p>
    <w:p>
      <w:pPr>
        <w:spacing w:after="0" w:line="189"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To the extent that the obligations of the Company with respect to the Securities may be dependent on such matters, we assume for purposes of this opinion that the other party under the Indenture for any Debt Securities, under the Warrant Agreement for any Warrants, under the Unit Agreement for any Units, namely, the Trustee, the warrant agent, the unit agent is duly organized, validly existing and in good standing under the laws of its jurisdiction of organization; that such other party is duly qualified to engage in the activities contemplated by such Indenture, Warrant Agreement or Unit Agreement, as applicable; that such Indenture, Warrant Agreement or Unit</w:t>
      </w:r>
    </w:p>
    <w:p>
      <w:pPr>
        <w:sectPr>
          <w:pgSz w:w="11900" w:h="16838" w:orient="portrait"/>
          <w:cols w:equalWidth="0" w:num="1">
            <w:col w:w="11420"/>
          </w:cols>
          <w:pgMar w:left="240" w:top="270" w:right="239" w:bottom="1440" w:gutter="0" w:footer="0" w:header="0"/>
        </w:sectPr>
      </w:pPr>
    </w:p>
    <w:bookmarkStart w:id="201" w:name="page202"/>
    <w:bookmarkEnd w:id="201"/>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has been duly authorized, executed and delivered by such other party and constitutes the legally valid, binding and enforceable obligation of such other party, enforceable against such other party in accordance with its terms; that such other party is in compliance, generally and with respect to performance of its obligations under such Indenture, Warrant Agreement or Unit Agreement, as applicable, with all applicable laws and regulations; and that such other party has the requisite organizational and legal power and authority to perform its obligations under such Indenture, Warrant Agreement or Unit Agreement, as applicable.</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opinions expressed herein are limited to the laws of the State of Delaware and the laws of the State of New York. We do not express any opinion with respect to the law of any other jurisdiction or to the securities or “blue sky” laws of any jurisdiction. The opinions expressed in this opinion letter are strictly limited to the matters stated in this opinion letter and no other opinions are to be implied.</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opinion is rendered as of the date hereof, and we assume no obligation to advise you of changes in law or fact (or the effect thereof on the opinions expressed herein) that hereafter may come to our attention. This opinion is being rendered for the benefit of the Company in connection with the matters addressed herein.</w:t>
      </w:r>
    </w:p>
    <w:p>
      <w:pPr>
        <w:spacing w:after="0" w:line="176"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7"/>
          <w:szCs w:val="17"/>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and any Prospectus Supplement under the caption “Legal Matters.” In giving such consent, we do not thereby admit that we are an “expert” within the meaning of the Securities Act.</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Bass, Berry &amp; Sims PLC</w:t>
      </w:r>
    </w:p>
    <w:p>
      <w:pPr>
        <w:sectPr>
          <w:pgSz w:w="11900" w:h="16838" w:orient="portrait"/>
          <w:cols w:equalWidth="0" w:num="1">
            <w:col w:w="11360"/>
          </w:cols>
          <w:pgMar w:left="240" w:top="270" w:right="29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Fiscal Years Ended December 31, 2012 through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ratio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For Fiscal Years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2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 and minority interest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(22,950)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13,172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25,178</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20,341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charges</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67,584</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33,205</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13,325</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3,148</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4,842</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Distributed income of equity investees</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3,706</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2,868</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2,538</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Pre-tax losses (gains) of equity investees</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6,427</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5,440</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1,646</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Interest capitalized</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(946</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Adjusted Earnings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68,837</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28,326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25,010</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58,986</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28,145</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10,051</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1,827</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interest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946</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1,754</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844</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estimate within rental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774</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Fixed Charges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3,148</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4,842</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0.5x</w:t>
            </w: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2.2x</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9.0x</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5.2x</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875030" cy="6858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7503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our report dated March 16, 2017 relating to the financial statements, and the effectiveness of internal control over financial reporting, which appears in NN, Inc.’s Annual Report on Form 10-K for the year ended December 31, 2016. We also consent to the reference to us under the heading “Experts” in such Registration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ectPr>
          <w:pgSz w:w="11900" w:h="16838" w:orient="portrait"/>
          <w:cols w:equalWidth="0" w:num="1">
            <w:col w:w="11420"/>
          </w:cols>
          <w:pgMar w:left="240" w:top="117" w:right="2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28, 2014, related to the consolidated financial statements of Autocam Corporation as of and for the years ended December 31, 2013, 2012, and 2011, appearing in the Amendment to the Current Report on Form 8-K of NN, Inc. dated October 27, 2014, and to the reference to us under the heading “Experts” in the Prospectus, which is a part of this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Michigan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ectPr>
          <w:pgSz w:w="11900" w:h="16838" w:orient="portrait"/>
          <w:cols w:equalWidth="0" w:num="1">
            <w:col w:w="11420"/>
          </w:cols>
          <w:pgMar w:left="240" w:top="117" w:right="2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December 30, 2015, with respect to the consolidated financial statements of Precision Engineered Products Holdings, Inc. appearing in the Amendment to the Current Report on Form 8-K/A of NN, Inc. dated December 30, 2015, included in the Registration Statement (Form S-3 No. 333-00000) and related Prospectus of NN, Inc. for the registration of $400 million of its debt securities, preferred stock, common stock, warrants, and units.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Rhode Island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p>
      <w:pPr>
        <w:sectPr>
          <w:pgSz w:w="11900" w:h="16838" w:orient="portrait"/>
          <w:cols w:equalWidth="0" w:num="1">
            <w:col w:w="11420"/>
          </w:cols>
          <w:pgMar w:left="240" w:top="117" w:right="2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16, 2017, related to the financial statements of Wuxi Weifu Autocam Precision Machinery Company, Ltd. as of and for the year ended December 31, 2016, appearing in the Annual Report on Form 10-K of NN, Inc. for the year ended December 31, 2016, and to the reference to us under the heading “Experts” in the Prospectus, which is a part of this Registration Statement.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1)"/>
      <w:numFmt w:val="decimal"/>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
      <w:numFmt w:val="bullet"/>
      <w:start w:val="1"/>
    </w:lvl>
    <w:lvl w:ilvl="1">
      <w:lvlJc w:val="left"/>
      <w:lvlText w:val="(%2)"/>
      <w:numFmt w:val="decimal"/>
      <w:start w:val="2"/>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1)"/>
      <w:numFmt w:val="decimal"/>
      <w:start w:val="1"/>
    </w:lvl>
  </w:abstractNum>
  <w:abstractNum w:abstractNumId="10">
    <w:nsid w:val="1CA0C5FA"/>
    <w:multiLevelType w:val="hybridMultilevel"/>
    <w:lvl w:ilvl="0">
      <w:lvlJc w:val="left"/>
      <w:lvlText w:val="•"/>
      <w:numFmt w:val="bullet"/>
      <w:start w:val="1"/>
    </w:lvl>
    <w:lvl w:ilvl="1">
      <w:lvlJc w:val="left"/>
      <w:lvlText w:val="(%2)"/>
      <w:numFmt w:val="decimal"/>
      <w:start w:val="1"/>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
      <w:numFmt w:val="bullet"/>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
      <w:numFmt w:val="bullet"/>
      <w:start w:val="1"/>
    </w:lvl>
  </w:abstractNum>
  <w:abstractNum w:abstractNumId="33">
    <w:nsid w:val="2708C9AF"/>
    <w:multiLevelType w:val="hybridMultilevel"/>
    <w:lvl w:ilvl="0">
      <w:lvlJc w:val="left"/>
      <w:lvlText w:val="•"/>
      <w:numFmt w:val="bullet"/>
      <w:start w:val="1"/>
    </w:lvl>
  </w:abstractNum>
  <w:abstractNum w:abstractNumId="34">
    <w:nsid w:val="5B25ACE2"/>
    <w:multiLevelType w:val="hybridMultilevel"/>
    <w:lvl w:ilvl="0">
      <w:lvlJc w:val="left"/>
      <w:lvlText w:val="•"/>
      <w:numFmt w:val="bullet"/>
      <w:start w:val="1"/>
    </w:lvl>
  </w:abstractNum>
  <w:abstractNum w:abstractNumId="35">
    <w:nsid w:val="175DFCF0"/>
    <w:multiLevelType w:val="hybridMultilevel"/>
    <w:lvl w:ilvl="0">
      <w:lvlJc w:val="left"/>
      <w:lvlText w:val="•"/>
      <w:numFmt w:val="bullet"/>
      <w:start w:val="1"/>
    </w:lvl>
  </w:abstractNum>
  <w:abstractNum w:abstractNumId="36">
    <w:nsid w:val="4F97E3E4"/>
    <w:multiLevelType w:val="hybridMultilevel"/>
    <w:lvl w:ilvl="0">
      <w:lvlJc w:val="left"/>
      <w:lvlText w:val="•"/>
      <w:numFmt w:val="bullet"/>
      <w:start w:val="1"/>
    </w:lvl>
  </w:abstractNum>
  <w:abstractNum w:abstractNumId="37">
    <w:nsid w:val="53B0A9E"/>
    <w:multiLevelType w:val="hybridMultilevel"/>
    <w:lvl w:ilvl="0">
      <w:lvlJc w:val="left"/>
      <w:lvlText w:val="•"/>
      <w:numFmt w:val="bullet"/>
      <w:start w:val="1"/>
    </w:lvl>
  </w:abstractNum>
  <w:abstractNum w:abstractNumId="38">
    <w:nsid w:val="34FD6B4F"/>
    <w:multiLevelType w:val="hybridMultilevel"/>
    <w:lvl w:ilvl="0">
      <w:lvlJc w:val="left"/>
      <w:lvlText w:val="*"/>
      <w:numFmt w:val="bullet"/>
      <w:start w:val="1"/>
    </w:lvl>
  </w:abstractNum>
  <w:abstractNum w:abstractNumId="39">
    <w:nsid w:val="5915FF32"/>
    <w:multiLevelType w:val="hybridMultilevel"/>
    <w:lvl w:ilvl="0">
      <w:lvlJc w:val="left"/>
      <w:lvlText w:val="(%1)"/>
      <w:numFmt w:val="lowerLetter"/>
      <w:start w:val="1"/>
    </w:lvl>
  </w:abstractNum>
  <w:abstractNum w:abstractNumId="40">
    <w:nsid w:val="56438D15"/>
    <w:multiLevelType w:val="hybridMultilevel"/>
    <w:lvl w:ilvl="0">
      <w:lvlJc w:val="left"/>
      <w:lvlText w:val="(%1)"/>
      <w:numFmt w:val="decimal"/>
      <w:start w:val="1"/>
    </w:lvl>
    <w:lvl w:ilvl="1">
      <w:lvlJc w:val="left"/>
      <w:lvlText w:val="(%2)"/>
      <w:numFmt w:val="lowerRoman"/>
      <w:start w:val="1"/>
    </w:lvl>
  </w:abstractNum>
  <w:abstractNum w:abstractNumId="41">
    <w:nsid w:val="519E3149"/>
    <w:multiLevelType w:val="hybridMultilevel"/>
    <w:lvl w:ilvl="0">
      <w:lvlJc w:val="left"/>
      <w:lvlText w:val="(%1)"/>
      <w:numFmt w:val="decimal"/>
      <w:start w:val="2"/>
    </w:lvl>
    <w:lvl w:ilvl="1">
      <w:lvlJc w:val="left"/>
      <w:lvlText w:val="(%2)"/>
      <w:numFmt w:val="lowerRoman"/>
      <w:start w:val="1"/>
    </w:lvl>
  </w:abstractNum>
  <w:abstractNum w:abstractNumId="42">
    <w:nsid w:val="2C6E4AFD"/>
    <w:multiLevelType w:val="hybridMultilevel"/>
    <w:lvl w:ilvl="0">
      <w:lvlJc w:val="left"/>
      <w:lvlText w:val="(%1)"/>
      <w:numFmt w:val="decimal"/>
      <w:start w:val="5"/>
    </w:lvl>
    <w:lvl w:ilvl="1">
      <w:lvlJc w:val="left"/>
      <w:lvlText w:val="(%2)"/>
      <w:numFmt w:val="lowerRoman"/>
      <w:start w:val="1"/>
    </w:lvl>
  </w:abstractNum>
  <w:abstractNum w:abstractNumId="43">
    <w:nsid w:val="17A1B582"/>
    <w:multiLevelType w:val="hybridMultilevel"/>
    <w:lvl w:ilvl="0">
      <w:lvlJc w:val="left"/>
      <w:lvlText w:val="*"/>
      <w:numFmt w:val="bullet"/>
      <w:start w:val="1"/>
    </w:lvl>
  </w:abstractNum>
  <w:abstractNum w:abstractNumId="44">
    <w:nsid w:val="4DF72E4E"/>
    <w:multiLevelType w:val="hybridMultilevel"/>
    <w:lvl w:ilvl="0">
      <w:lvlJc w:val="left"/>
      <w:lvlText w:val="†"/>
      <w:numFmt w:val="bullet"/>
      <w:start w:val="1"/>
    </w:lvl>
  </w:abstractNum>
  <w:abstractNum w:abstractNumId="45">
    <w:nsid w:val="5046B5A9"/>
    <w:multiLevelType w:val="hybridMultilevel"/>
    <w:lvl w:ilvl="0">
      <w:lvlJc w:val="left"/>
      <w:lvlText w:val="(%1)"/>
      <w:numFmt w:val="decimal"/>
      <w:start w:val="1"/>
    </w:lvl>
  </w:abstractNum>
  <w:abstractNum w:abstractNumId="46">
    <w:nsid w:val="5D888A08"/>
    <w:multiLevelType w:val="hybridMultilevel"/>
    <w:lvl w:ilvl="0">
      <w:lvlJc w:val="left"/>
      <w:lvlText w:val="["/>
      <w:numFmt w:val="bullet"/>
      <w:start w:val="1"/>
    </w:lvl>
  </w:abstractNum>
  <w:abstractNum w:abstractNumId="47">
    <w:nsid w:val="2A082C70"/>
    <w:multiLevelType w:val="hybridMultilevel"/>
    <w:lvl w:ilvl="0">
      <w:lvlJc w:val="left"/>
      <w:lvlText w:val="(%1)"/>
      <w:numFmt w:val="decimal"/>
      <w:start w:val="1"/>
    </w:lvl>
  </w:abstractNum>
  <w:abstractNum w:abstractNumId="48">
    <w:nsid w:val="5EC6AFD4"/>
    <w:multiLevelType w:val="hybridMultilevel"/>
    <w:lvl w:ilvl="0">
      <w:lvlJc w:val="left"/>
      <w:lvlText w:val="(%1)"/>
      <w:numFmt w:val="lowerRoman"/>
      <w:start w:val="1"/>
    </w:lvl>
  </w:abstractNum>
  <w:abstractNum w:abstractNumId="49">
    <w:nsid w:val="19E21BB2"/>
    <w:multiLevelType w:val="hybridMultilevel"/>
    <w:lvl w:ilvl="0">
      <w:lvlJc w:val="left"/>
      <w:lvlText w:val="(%1)"/>
      <w:numFmt w:val="lowerRoman"/>
      <w:start w:val="1"/>
    </w:lvl>
  </w:abstractNum>
  <w:abstractNum w:abstractNumId="50">
    <w:nsid w:val="75E0858A"/>
    <w:multiLevelType w:val="hybridMultilevel"/>
    <w:lvl w:ilvl="0">
      <w:lvlJc w:val="left"/>
      <w:lvlText w:val="(%1)"/>
      <w:numFmt w:val="decimal"/>
      <w:start w:val="1"/>
    </w:lvl>
  </w:abstractNum>
  <w:abstractNum w:abstractNumId="51">
    <w:nsid w:val="57A61A29"/>
    <w:multiLevelType w:val="hybridMultilevel"/>
    <w:lvl w:ilvl="0">
      <w:lvlJc w:val="left"/>
      <w:lvlText w:val="(%1)"/>
      <w:numFmt w:val="lowerLetter"/>
      <w:start w:val="1"/>
    </w:lvl>
  </w:abstractNum>
  <w:abstractNum w:abstractNumId="52">
    <w:nsid w:val="5399C654"/>
    <w:multiLevelType w:val="hybridMultilevel"/>
    <w:lvl w:ilvl="0">
      <w:lvlJc w:val="left"/>
      <w:lvlText w:val="(%1)"/>
      <w:numFmt w:val="lowerLetter"/>
      <w:start w:val="6"/>
    </w:lvl>
  </w:abstractNum>
  <w:abstractNum w:abstractNumId="53">
    <w:nsid w:val="20EE1348"/>
    <w:multiLevelType w:val="hybridMultilevel"/>
    <w:lvl w:ilvl="0">
      <w:lvlJc w:val="left"/>
      <w:lvlText w:val="(%1)"/>
      <w:numFmt w:val="decimal"/>
      <w:start w:val="2"/>
    </w:lvl>
  </w:abstractNum>
  <w:abstractNum w:abstractNumId="54">
    <w:nsid w:val="4427069A"/>
    <w:multiLevelType w:val="hybridMultilevel"/>
    <w:lvl w:ilvl="0">
      <w:lvlJc w:val="left"/>
      <w:lvlText w:val="(%1)"/>
      <w:numFmt w:val="decimal"/>
      <w:start w:val="1"/>
    </w:lvl>
  </w:abstractNum>
  <w:abstractNum w:abstractNumId="55">
    <w:nsid w:val="B37E80A"/>
    <w:multiLevelType w:val="hybridMultilevel"/>
    <w:lvl w:ilvl="0">
      <w:lvlJc w:val="left"/>
      <w:lvlText w:val="(%1)"/>
      <w:numFmt w:val="decimal"/>
      <w:start w:val="4"/>
    </w:lvl>
  </w:abstractNum>
  <w:abstractNum w:abstractNumId="56">
    <w:nsid w:val="2157F6BC"/>
    <w:multiLevelType w:val="hybridMultilevel"/>
    <w:lvl w:ilvl="0">
      <w:lvlJc w:val="left"/>
      <w:lvlText w:val="(%1)"/>
      <w:numFmt w:val="decimal"/>
      <w:start w:val="17"/>
    </w:lvl>
  </w:abstractNum>
  <w:abstractNum w:abstractNumId="57">
    <w:nsid w:val="704E1DD5"/>
    <w:multiLevelType w:val="hybridMultilevel"/>
    <w:lvl w:ilvl="0">
      <w:lvlJc w:val="left"/>
      <w:lvlText w:val="(%1)"/>
      <w:numFmt w:val="lowerRoman"/>
      <w:start w:val="1"/>
    </w:lvl>
  </w:abstractNum>
  <w:abstractNum w:abstractNumId="58">
    <w:nsid w:val="57D2F10E"/>
    <w:multiLevelType w:val="hybridMultilevel"/>
    <w:lvl w:ilvl="0">
      <w:lvlJc w:val="left"/>
      <w:lvlText w:val="(%1)"/>
      <w:numFmt w:val="lowerLetter"/>
      <w:start w:val="1"/>
    </w:lvl>
  </w:abstractNum>
  <w:abstractNum w:abstractNumId="59">
    <w:nsid w:val="BFFAE18"/>
    <w:multiLevelType w:val="hybridMultilevel"/>
    <w:lvl w:ilvl="0">
      <w:lvlJc w:val="left"/>
      <w:lvlText w:val="(%1)"/>
      <w:numFmt w:val="lowerRoman"/>
      <w:start w:val="2"/>
    </w:lvl>
  </w:abstractNum>
  <w:abstractNum w:abstractNumId="60">
    <w:nsid w:val="E3E47A8"/>
    <w:multiLevelType w:val="hybridMultilevel"/>
    <w:lvl w:ilvl="0">
      <w:lvlJc w:val="left"/>
      <w:lvlText w:val="(%1)"/>
      <w:numFmt w:val="lowerLetter"/>
      <w:start w:val="1"/>
    </w:lvl>
  </w:abstractNum>
  <w:abstractNum w:abstractNumId="61">
    <w:nsid w:val="2E48F044"/>
    <w:multiLevelType w:val="hybridMultilevel"/>
    <w:lvl w:ilvl="0">
      <w:lvlJc w:val="left"/>
      <w:lvlText w:val="(%1)"/>
      <w:numFmt w:val="lowerLetter"/>
      <w:start w:val="2"/>
    </w:lvl>
  </w:abstractNum>
  <w:abstractNum w:abstractNumId="62">
    <w:nsid w:val="49D0FEAC"/>
    <w:multiLevelType w:val="hybridMultilevel"/>
    <w:lvl w:ilvl="0">
      <w:lvlJc w:val="left"/>
      <w:lvlText w:val="(%1)"/>
      <w:numFmt w:val="lowerLetter"/>
      <w:start w:val="24"/>
    </w:lvl>
  </w:abstractNum>
  <w:abstractNum w:abstractNumId="63">
    <w:nsid w:val="4BEE5A5B"/>
    <w:multiLevelType w:val="hybridMultilevel"/>
    <w:lvl w:ilvl="0">
      <w:lvlJc w:val="left"/>
      <w:lvlText w:val="(%1)"/>
      <w:numFmt w:val="lowerLetter"/>
      <w:start w:val="26"/>
    </w:lvl>
  </w:abstractNum>
  <w:abstractNum w:abstractNumId="64">
    <w:nsid w:val="5551B9F3"/>
    <w:multiLevelType w:val="hybridMultilevel"/>
    <w:lvl w:ilvl="0">
      <w:lvlJc w:val="left"/>
      <w:lvlText w:val="(%1)"/>
      <w:numFmt w:val="lowerRoman"/>
      <w:start w:val="2"/>
    </w:lvl>
  </w:abstractNum>
  <w:abstractNum w:abstractNumId="65">
    <w:nsid w:val="24F6AB8E"/>
    <w:multiLevelType w:val="hybridMultilevel"/>
    <w:lvl w:ilvl="0">
      <w:lvlJc w:val="left"/>
      <w:lvlText w:val="(%1)"/>
      <w:numFmt w:val="decimal"/>
      <w:start w:val="1"/>
    </w:lvl>
  </w:abstractNum>
  <w:abstractNum w:abstractNumId="66">
    <w:nsid w:val="634C574C"/>
    <w:multiLevelType w:val="hybridMultilevel"/>
    <w:lvl w:ilvl="0">
      <w:lvlJc w:val="left"/>
      <w:lvlText w:val="(%1)"/>
      <w:numFmt w:val="decimal"/>
      <w:start w:val="1"/>
    </w:lvl>
  </w:abstractNum>
  <w:abstractNum w:abstractNumId="67">
    <w:nsid w:val="24E99DD7"/>
    <w:multiLevelType w:val="hybridMultilevel"/>
    <w:lvl w:ilvl="0">
      <w:lvlJc w:val="left"/>
      <w:lvlText w:val="(%1)"/>
      <w:numFmt w:val="upperLetter"/>
      <w:start w:val="1"/>
    </w:lvl>
  </w:abstractNum>
  <w:abstractNum w:abstractNumId="68">
    <w:nsid w:val="2A31B62D"/>
    <w:multiLevelType w:val="hybridMultilevel"/>
    <w:lvl w:ilvl="0">
      <w:lvlJc w:val="left"/>
      <w:lvlText w:val="(%1)"/>
      <w:numFmt w:val="lowerRoman"/>
      <w:start w:val="1"/>
    </w:lvl>
  </w:abstractNum>
  <w:abstractNum w:abstractNumId="69">
    <w:nsid w:val="1849C29B"/>
    <w:multiLevelType w:val="hybridMultilevel"/>
    <w:lvl w:ilvl="0">
      <w:lvlJc w:val="left"/>
      <w:lvlText w:val="(%1)"/>
      <w:numFmt w:val="decimal"/>
      <w:start w:val="2"/>
    </w:lvl>
  </w:abstractNum>
  <w:abstractNum w:abstractNumId="70">
    <w:nsid w:val="7DFF9D09"/>
    <w:multiLevelType w:val="hybridMultilevel"/>
    <w:lvl w:ilvl="0">
      <w:lvlJc w:val="left"/>
      <w:lvlText w:val="(%1)"/>
      <w:numFmt w:val="decimal"/>
      <w:start w:val="1"/>
    </w:lvl>
  </w:abstractNum>
  <w:abstractNum w:abstractNumId="71">
    <w:nsid w:val="754342"/>
    <w:multiLevelType w:val="hybridMultilevel"/>
    <w:lvl w:ilvl="0">
      <w:lvlJc w:val="left"/>
      <w:lvlText w:val="(%1)"/>
      <w:numFmt w:val="upperLetter"/>
      <w:start w:val="1"/>
    </w:lvl>
  </w:abstractNum>
  <w:abstractNum w:abstractNumId="72">
    <w:nsid w:val="69E7F3E5"/>
    <w:multiLevelType w:val="hybridMultilevel"/>
    <w:lvl w:ilvl="0">
      <w:lvlJc w:val="left"/>
      <w:lvlText w:val="(%1)"/>
      <w:numFmt w:val="decimal"/>
      <w:start w:val="7"/>
    </w:lvl>
  </w:abstractNum>
  <w:abstractNum w:abstractNumId="73">
    <w:nsid w:val="2A6DE806"/>
    <w:multiLevelType w:val="hybridMultilevel"/>
    <w:lvl w:ilvl="0">
      <w:lvlJc w:val="left"/>
      <w:lvlText w:val="(%1)"/>
      <w:numFmt w:val="decimal"/>
      <w:start w:val="1"/>
    </w:lvl>
  </w:abstractNum>
  <w:abstractNum w:abstractNumId="74">
    <w:nsid w:val="1816F8C4"/>
    <w:multiLevelType w:val="hybridMultilevel"/>
    <w:lvl w:ilvl="0">
      <w:lvlJc w:val="left"/>
      <w:lvlText w:val="(%1)"/>
      <w:numFmt w:val="upperLetter"/>
      <w:start w:val="1"/>
    </w:lvl>
  </w:abstractNum>
  <w:abstractNum w:abstractNumId="75">
    <w:nsid w:val="37DF2233"/>
    <w:multiLevelType w:val="hybridMultilevel"/>
    <w:lvl w:ilvl="0">
      <w:lvlJc w:val="left"/>
      <w:lvlText w:val="(%1)"/>
      <w:numFmt w:val="decimal"/>
      <w:start w:val="2"/>
    </w:lvl>
  </w:abstractNum>
  <w:abstractNum w:abstractNumId="76">
    <w:nsid w:val="7AB49DAF"/>
    <w:multiLevelType w:val="hybridMultilevel"/>
    <w:lvl w:ilvl="0">
      <w:lvlJc w:val="left"/>
      <w:lvlText w:val="(%1)"/>
      <w:numFmt w:val="decimal"/>
      <w:start w:val="1"/>
    </w:lvl>
  </w:abstractNum>
  <w:abstractNum w:abstractNumId="77">
    <w:nsid w:val="759F82CD"/>
    <w:multiLevelType w:val="hybridMultilevel"/>
    <w:lvl w:ilvl="0">
      <w:lvlJc w:val="left"/>
      <w:lvlText w:val="(%1)"/>
      <w:numFmt w:val="lowerRoman"/>
      <w:start w:val="1"/>
    </w:lvl>
  </w:abstractNum>
  <w:abstractNum w:abstractNumId="78">
    <w:nsid w:val="61E74EA3"/>
    <w:multiLevelType w:val="hybridMultilevel"/>
    <w:lvl w:ilvl="0">
      <w:lvlJc w:val="left"/>
      <w:lvlText w:val="(%1)"/>
      <w:numFmt w:val="decimal"/>
      <w:start w:val="1"/>
    </w:lvl>
  </w:abstractNum>
  <w:abstractNum w:abstractNumId="79">
    <w:nsid w:val="597B4D84"/>
    <w:multiLevelType w:val="hybridMultilevel"/>
    <w:lvl w:ilvl="0">
      <w:lvlJc w:val="left"/>
      <w:lvlText w:val="(%1)"/>
      <w:numFmt w:val="decimal"/>
      <w:start w:val="1"/>
    </w:lvl>
  </w:abstractNum>
  <w:abstractNum w:abstractNumId="80">
    <w:nsid w:val="F819E7F"/>
    <w:multiLevelType w:val="hybridMultilevel"/>
    <w:lvl w:ilvl="0">
      <w:lvlJc w:val="left"/>
      <w:lvlText w:val="(%1)"/>
      <w:numFmt w:val="decimal"/>
      <w:start w:val="1"/>
    </w:lvl>
  </w:abstractNum>
  <w:abstractNum w:abstractNumId="81">
    <w:nsid w:val="57C7D42D"/>
    <w:multiLevelType w:val="hybridMultilevel"/>
    <w:lvl w:ilvl="0">
      <w:lvlJc w:val="left"/>
      <w:lvlText w:val="(%1)"/>
      <w:numFmt w:val="decimal"/>
      <w:start w:val="1"/>
    </w:lvl>
  </w:abstractNum>
  <w:abstractNum w:abstractNumId="82">
    <w:nsid w:val="312167AD"/>
    <w:multiLevelType w:val="hybridMultilevel"/>
    <w:lvl w:ilvl="0">
      <w:lvlJc w:val="left"/>
      <w:lvlText w:val="(%1)"/>
      <w:numFmt w:val="decimal"/>
      <w:start w:val="7"/>
    </w:lvl>
  </w:abstractNum>
  <w:abstractNum w:abstractNumId="83">
    <w:nsid w:val="631B64D4"/>
    <w:multiLevelType w:val="hybridMultilevel"/>
    <w:lvl w:ilvl="0">
      <w:lvlJc w:val="left"/>
      <w:lvlText w:val="(%1)"/>
      <w:numFmt w:val="lowerLetter"/>
      <w:start w:val="1"/>
    </w:lvl>
  </w:abstractNum>
  <w:abstractNum w:abstractNumId="84">
    <w:nsid w:val="78B5E776"/>
    <w:multiLevelType w:val="hybridMultilevel"/>
    <w:lvl w:ilvl="0">
      <w:lvlJc w:val="left"/>
      <w:lvlText w:val="(%1)"/>
      <w:numFmt w:val="decimal"/>
      <w:start w:val="1"/>
    </w:lvl>
  </w:abstractNum>
  <w:abstractNum w:abstractNumId="85">
    <w:nsid w:val="75486E47"/>
    <w:multiLevelType w:val="hybridMultilevel"/>
    <w:lvl w:ilvl="0">
      <w:lvlJc w:val="left"/>
      <w:lvlText w:val="(%1)"/>
      <w:numFmt w:val="lowerLetter"/>
      <w:start w:val="5"/>
    </w:lvl>
  </w:abstractNum>
  <w:abstractNum w:abstractNumId="86">
    <w:nsid w:val="6E534CDE"/>
    <w:multiLevelType w:val="hybridMultilevel"/>
    <w:lvl w:ilvl="0">
      <w:lvlJc w:val="left"/>
      <w:lvlText w:val="(%1)"/>
      <w:numFmt w:val="lowerLetter"/>
      <w:start w:val="6"/>
    </w:lvl>
  </w:abstractNum>
  <w:abstractNum w:abstractNumId="87">
    <w:nsid w:val="1A0DDE32"/>
    <w:multiLevelType w:val="hybridMultilevel"/>
    <w:lvl w:ilvl="0">
      <w:lvlJc w:val="left"/>
      <w:lvlText w:val="(%1)"/>
      <w:numFmt w:val="lowerLetter"/>
      <w:start w:val="1"/>
    </w:lvl>
  </w:abstractNum>
  <w:abstractNum w:abstractNumId="88">
    <w:nsid w:val="65968C1C"/>
    <w:multiLevelType w:val="hybridMultilevel"/>
    <w:lvl w:ilvl="0">
      <w:lvlJc w:val="left"/>
      <w:lvlText w:val="(%1)"/>
      <w:numFmt w:val="decimal"/>
      <w:start w:val="1"/>
    </w:lvl>
  </w:abstractNum>
  <w:abstractNum w:abstractNumId="89">
    <w:nsid w:val="46263DEC"/>
    <w:multiLevelType w:val="hybridMultilevel"/>
    <w:lvl w:ilvl="0">
      <w:lvlJc w:val="left"/>
      <w:lvlText w:val="(%1)"/>
      <w:numFmt w:val="lowerLetter"/>
      <w:start w:val="2"/>
    </w:lvl>
  </w:abstractNum>
  <w:abstractNum w:abstractNumId="90">
    <w:nsid w:val="260D8C4A"/>
    <w:multiLevelType w:val="hybridMultilevel"/>
    <w:lvl w:ilvl="0">
      <w:lvlJc w:val="left"/>
      <w:lvlText w:val="(%1)"/>
      <w:numFmt w:val="decimal"/>
      <w:start w:val="1"/>
    </w:lvl>
  </w:abstractNum>
  <w:abstractNum w:abstractNumId="91">
    <w:nsid w:val="73D4D3C4"/>
    <w:multiLevelType w:val="hybridMultilevel"/>
    <w:lvl w:ilvl="0">
      <w:lvlJc w:val="left"/>
      <w:lvlText w:val="(%1)"/>
      <w:numFmt w:val="lowerLetter"/>
      <w:start w:val="4"/>
    </w:lvl>
  </w:abstractNum>
  <w:abstractNum w:abstractNumId="92">
    <w:nsid w:val="746F2E30"/>
    <w:multiLevelType w:val="hybridMultilevel"/>
    <w:lvl w:ilvl="0">
      <w:lvlJc w:val="left"/>
      <w:lvlText w:val="(%1)"/>
      <w:numFmt w:val="decimal"/>
      <w:start w:val="1"/>
    </w:lvl>
  </w:abstractNum>
  <w:abstractNum w:abstractNumId="93">
    <w:nsid w:val="6FDE8AF6"/>
    <w:multiLevelType w:val="hybridMultilevel"/>
    <w:lvl w:ilvl="0">
      <w:lvlJc w:val="left"/>
      <w:lvlText w:val="(%1)"/>
      <w:numFmt w:val="lowerLetter"/>
      <w:start w:val="1"/>
    </w:lvl>
  </w:abstractNum>
  <w:abstractNum w:abstractNumId="94">
    <w:nsid w:val="3FC32E20"/>
    <w:multiLevelType w:val="hybridMultilevel"/>
    <w:lvl w:ilvl="0">
      <w:lvlJc w:val="left"/>
      <w:lvlText w:val="(%1)"/>
      <w:numFmt w:val="decimal"/>
      <w:start w:val="1"/>
    </w:lvl>
  </w:abstractNum>
  <w:abstractNum w:abstractNumId="95">
    <w:nsid w:val="49C0E823"/>
    <w:multiLevelType w:val="hybridMultilevel"/>
    <w:lvl w:ilvl="0">
      <w:lvlJc w:val="left"/>
      <w:lvlText w:val="(%1)"/>
      <w:numFmt w:val="decimal"/>
      <w:start w:val="1"/>
    </w:lvl>
  </w:abstractNum>
  <w:abstractNum w:abstractNumId="96">
    <w:nsid w:val="14D53685"/>
    <w:multiLevelType w:val="hybridMultilevel"/>
    <w:lvl w:ilvl="0">
      <w:lvlJc w:val="left"/>
      <w:lvlText w:val="(%1)"/>
      <w:numFmt w:val="decimal"/>
      <w:start w:val="4"/>
    </w:lvl>
  </w:abstractNum>
  <w:abstractNum w:abstractNumId="97">
    <w:nsid w:val="230F856C"/>
    <w:multiLevelType w:val="hybridMultilevel"/>
    <w:lvl w:ilvl="0">
      <w:lvlJc w:val="left"/>
      <w:lvlText w:val="(%1)"/>
      <w:numFmt w:val="decimal"/>
      <w:start w:val="1"/>
    </w:lvl>
  </w:abstractNum>
  <w:abstractNum w:abstractNumId="98">
    <w:nsid w:val="6EAA85FB"/>
    <w:multiLevelType w:val="hybridMultilevel"/>
    <w:lvl w:ilvl="0">
      <w:lvlJc w:val="left"/>
      <w:lvlText w:val="(%1)"/>
      <w:numFmt w:val="decimal"/>
      <w:start w:val="2"/>
    </w:lvl>
  </w:abstractNum>
  <w:abstractNum w:abstractNumId="99">
    <w:nsid w:val="3F06ECB2"/>
    <w:multiLevelType w:val="hybridMultilevel"/>
    <w:lvl w:ilvl="0">
      <w:lvlJc w:val="left"/>
      <w:lvlText w:val="(%1)"/>
      <w:numFmt w:val="decimal"/>
      <w:start w:val="1"/>
    </w:lvl>
  </w:abstractNum>
  <w:abstractNum w:abstractNumId="100">
    <w:nsid w:val="3B594807"/>
    <w:multiLevelType w:val="hybridMultilevel"/>
    <w:lvl w:ilvl="0">
      <w:lvlJc w:val="left"/>
      <w:lvlText w:val="(%1)"/>
      <w:numFmt w:val="decimal"/>
      <w:start w:val="1"/>
    </w:lvl>
  </w:abstractNum>
  <w:abstractNum w:abstractNumId="101">
    <w:nsid w:val="6CAA2304"/>
    <w:multiLevelType w:val="hybridMultilevel"/>
    <w:lvl w:ilvl="0">
      <w:lvlJc w:val="left"/>
      <w:lvlText w:val="(%1)"/>
      <w:numFmt w:val="decimal"/>
      <w:start w:val="4"/>
    </w:lvl>
  </w:abstractNum>
  <w:abstractNum w:abstractNumId="102">
    <w:nsid w:val="3F7C2FF4"/>
    <w:multiLevelType w:val="hybridMultilevel"/>
    <w:lvl w:ilvl="0">
      <w:lvlJc w:val="left"/>
      <w:lvlText w:val="(%1)"/>
      <w:numFmt w:val="upperLetter"/>
      <w:start w:val="4"/>
    </w:lvl>
  </w:abstractNum>
  <w:abstractNum w:abstractNumId="103">
    <w:nsid w:val="25413BEC"/>
    <w:multiLevelType w:val="hybridMultilevel"/>
    <w:lvl w:ilvl="0">
      <w:lvlJc w:val="left"/>
      <w:lvlText w:val="(%1)"/>
      <w:numFmt w:val="lowerLetter"/>
      <w:start w:val="1"/>
    </w:lvl>
  </w:abstractNum>
  <w:abstractNum w:abstractNumId="104">
    <w:nsid w:val="17180B0B"/>
    <w:multiLevelType w:val="hybridMultilevel"/>
    <w:lvl w:ilvl="0">
      <w:lvlJc w:val="left"/>
      <w:lvlText w:val="(%1)"/>
      <w:numFmt w:val="lowerLetter"/>
      <w:start w:val="2"/>
    </w:lvl>
  </w:abstractNum>
  <w:abstractNum w:abstractNumId="105">
    <w:nsid w:val="579328B9"/>
    <w:multiLevelType w:val="hybridMultilevel"/>
    <w:lvl w:ilvl="0">
      <w:lvlJc w:val="left"/>
      <w:lvlText w:val="(%1)"/>
      <w:numFmt w:val="lowerLetter"/>
      <w:start w:val="1"/>
    </w:lvl>
  </w:abstractNum>
  <w:abstractNum w:abstractNumId="106">
    <w:nsid w:val="5D205E20"/>
    <w:multiLevelType w:val="hybridMultilevel"/>
    <w:lvl w:ilvl="0">
      <w:lvlJc w:val="left"/>
      <w:lvlText w:val="(%1)"/>
      <w:numFmt w:val="lowerRoman"/>
      <w:start w:val="1"/>
    </w:lvl>
  </w:abstractNum>
  <w:abstractNum w:abstractNumId="107">
    <w:nsid w:val="11CCA8BA"/>
    <w:multiLevelType w:val="hybridMultilevel"/>
    <w:lvl w:ilvl="0">
      <w:lvlJc w:val="left"/>
      <w:lvlText w:val="(%1)"/>
      <w:numFmt w:val="lowerLetter"/>
      <w:start w:val="1"/>
    </w:lvl>
  </w:abstractNum>
  <w:abstractNum w:abstractNumId="108">
    <w:nsid w:val="4D32AB86"/>
    <w:multiLevelType w:val="hybridMultilevel"/>
    <w:lvl w:ilvl="0">
      <w:lvlJc w:val="left"/>
      <w:lvlText w:val="(%1)"/>
      <w:numFmt w:val="lowerLetter"/>
      <w:start w:val="2"/>
    </w:lvl>
  </w:abstractNum>
  <w:abstractNum w:abstractNumId="109">
    <w:nsid w:val="3F07ACC3"/>
    <w:multiLevelType w:val="hybridMultilevel"/>
    <w:lvl w:ilvl="0">
      <w:lvlJc w:val="left"/>
      <w:lvlText w:val="(%1)"/>
      <w:numFmt w:val="lowerRoman"/>
      <w:start w:val="2"/>
    </w:lvl>
  </w:abstractNum>
  <w:abstractNum w:abstractNumId="110">
    <w:nsid w:val="6B47F63E"/>
    <w:multiLevelType w:val="hybridMultilevel"/>
    <w:lvl w:ilvl="0">
      <w:lvlJc w:val="left"/>
      <w:lvlText w:val="(%1)"/>
      <w:numFmt w:val="decimal"/>
      <w:start w:val="1"/>
    </w:lvl>
  </w:abstractNum>
  <w:abstractNum w:abstractNumId="111">
    <w:nsid w:val="5CB44A05"/>
    <w:multiLevelType w:val="hybridMultilevel"/>
    <w:lvl w:ilvl="0">
      <w:lvlJc w:val="left"/>
      <w:lvlText w:val="(%1)"/>
      <w:numFmt w:val="decimal"/>
      <w:start w:val="7"/>
    </w:lvl>
  </w:abstractNum>
  <w:abstractNum w:abstractNumId="112">
    <w:nsid w:val="16CF80F1"/>
    <w:multiLevelType w:val="hybridMultilevel"/>
    <w:lvl w:ilvl="0">
      <w:lvlJc w:val="left"/>
      <w:lvlText w:val="(%1)"/>
      <w:numFmt w:val="decimal"/>
      <w:start w:val="3"/>
    </w:lvl>
  </w:abstractNum>
  <w:abstractNum w:abstractNumId="113">
    <w:nsid w:val="1C695DEC"/>
    <w:multiLevelType w:val="hybridMultilevel"/>
    <w:lvl w:ilvl="0">
      <w:lvlJc w:val="left"/>
      <w:lvlText w:val="(%1)"/>
      <w:numFmt w:val="decimal"/>
      <w:start w:val="4"/>
    </w:lvl>
  </w:abstractNum>
  <w:abstractNum w:abstractNumId="114">
    <w:nsid w:val="3FCFAED9"/>
    <w:multiLevelType w:val="hybridMultilevel"/>
    <w:lvl w:ilvl="0">
      <w:lvlJc w:val="left"/>
      <w:lvlText w:val="(%1)"/>
      <w:numFmt w:val="decimal"/>
      <w:start w:val="9"/>
    </w:lvl>
  </w:abstractNum>
  <w:abstractNum w:abstractNumId="115">
    <w:nsid w:val="F856867"/>
    <w:multiLevelType w:val="hybridMultilevel"/>
    <w:lvl w:ilvl="0">
      <w:lvlJc w:val="left"/>
      <w:lvlText w:val="(%1)"/>
      <w:numFmt w:val="decimal"/>
      <w:start w:val="1"/>
    </w:lvl>
  </w:abstractNum>
  <w:abstractNum w:abstractNumId="116">
    <w:nsid w:val="11B1CC33"/>
    <w:multiLevelType w:val="hybridMultilevel"/>
    <w:lvl w:ilvl="0">
      <w:lvlJc w:val="left"/>
      <w:lvlText w:val="(%1)"/>
      <w:numFmt w:val="decimal"/>
      <w:start w:val="1"/>
    </w:lvl>
  </w:abstractNum>
  <w:abstractNum w:abstractNumId="117">
    <w:nsid w:val="2E22FBB7"/>
    <w:multiLevelType w:val="hybridMultilevel"/>
    <w:lvl w:ilvl="0">
      <w:lvlJc w:val="left"/>
      <w:lvlText w:val="(%1)"/>
      <w:numFmt w:val="decimal"/>
      <w:start w:val="1"/>
    </w:lvl>
  </w:abstractNum>
  <w:abstractNum w:abstractNumId="118">
    <w:nsid w:val="29934699"/>
    <w:multiLevelType w:val="hybridMultilevel"/>
    <w:lvl w:ilvl="0">
      <w:lvlJc w:val="left"/>
      <w:lvlText w:val="(%1)"/>
      <w:numFmt w:val="decimal"/>
      <w:start w:val="4"/>
    </w:lvl>
  </w:abstractNum>
  <w:abstractNum w:abstractNumId="119">
    <w:nsid w:val="77485850"/>
    <w:multiLevelType w:val="hybridMultilevel"/>
    <w:lvl w:ilvl="0">
      <w:lvlJc w:val="left"/>
      <w:lvlText w:val="(%1)"/>
      <w:numFmt w:val="decimal"/>
      <w:start w:val="1"/>
    </w:lvl>
  </w:abstractNum>
  <w:abstractNum w:abstractNumId="120">
    <w:nsid w:val="744939A3"/>
    <w:multiLevelType w:val="hybridMultilevel"/>
    <w:lvl w:ilvl="0">
      <w:lvlJc w:val="left"/>
      <w:lvlText w:val="["/>
      <w:numFmt w:val="bullet"/>
      <w:start w:val="1"/>
    </w:lvl>
  </w:abstractNum>
  <w:abstractNum w:abstractNumId="121">
    <w:nsid w:val="4FA0D2E3"/>
    <w:multiLevelType w:val="hybridMultilevel"/>
    <w:lvl w:ilvl="0">
      <w:lvlJc w:val="left"/>
      <w:lvlText w:val="["/>
      <w:numFmt w:val="bullet"/>
      <w:start w:val="1"/>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lowerRoman"/>
      <w:start w:val="1"/>
    </w:lvl>
  </w:abstractNum>
  <w:abstractNum w:abstractNumId="124">
    <w:nsid w:val="3F7F5DD9"/>
    <w:multiLevelType w:val="hybridMultilevel"/>
    <w:lvl w:ilvl="0">
      <w:lvlJc w:val="left"/>
      <w:lvlText w:val="["/>
      <w:numFmt w:val="bullet"/>
      <w:start w:val="1"/>
    </w:lvl>
  </w:abstractNum>
  <w:abstractNum w:abstractNumId="125">
    <w:nsid w:val="2AE05A34"/>
    <w:multiLevelType w:val="hybridMultilevel"/>
    <w:lvl w:ilvl="0">
      <w:lvlJc w:val="left"/>
      <w:lvlText w:val="(%1)"/>
      <w:numFmt w:val="decimal"/>
      <w:start w:val="1"/>
    </w:lvl>
  </w:abstractNum>
  <w:abstractNum w:abstractNumId="126">
    <w:nsid w:val="32794FF7"/>
    <w:multiLevelType w:val="hybridMultilevel"/>
    <w:lvl w:ilvl="0">
      <w:lvlJc w:val="left"/>
      <w:lvlText w:val="(%1)"/>
      <w:numFmt w:val="lowerRoman"/>
      <w:start w:val="1"/>
    </w:lvl>
  </w:abstractNum>
  <w:abstractNum w:abstractNumId="127">
    <w:nsid w:val="5454945E"/>
    <w:multiLevelType w:val="hybridMultilevel"/>
    <w:lvl w:ilvl="0">
      <w:lvlJc w:val="left"/>
      <w:lvlText w:val="(%1)"/>
      <w:numFmt w:val="decimal"/>
      <w:start w:val="1"/>
    </w:lvl>
  </w:abstractNum>
  <w:abstractNum w:abstractNumId="128">
    <w:nsid w:val="4DEFDFA0"/>
    <w:multiLevelType w:val="hybridMultilevel"/>
    <w:lvl w:ilvl="0">
      <w:lvlJc w:val="left"/>
      <w:lvlText w:val="(%1)"/>
      <w:numFmt w:val="lowerLetter"/>
      <w:start w:val="1"/>
    </w:lvl>
  </w:abstractNum>
  <w:abstractNum w:abstractNumId="129">
    <w:nsid w:val="2123D5F2"/>
    <w:multiLevelType w:val="hybridMultilevel"/>
    <w:lvl w:ilvl="0">
      <w:lvlJc w:val="left"/>
      <w:lvlText w:val="(%1)"/>
      <w:numFmt w:val="lowerLetter"/>
      <w:start w:val="6"/>
    </w:lvl>
  </w:abstractNum>
  <w:abstractNum w:abstractNumId="130">
    <w:nsid w:val="135B8110"/>
    <w:multiLevelType w:val="hybridMultilevel"/>
    <w:lvl w:ilvl="0">
      <w:lvlJc w:val="left"/>
      <w:lvlText w:val="(%1)"/>
      <w:numFmt w:val="decimal"/>
      <w:start w:val="2"/>
    </w:lvl>
  </w:abstractNum>
  <w:abstractNum w:abstractNumId="131">
    <w:nsid w:val="94927A8"/>
    <w:multiLevelType w:val="hybridMultilevel"/>
    <w:lvl w:ilvl="0">
      <w:lvlJc w:val="left"/>
      <w:lvlText w:val="(%1)"/>
      <w:numFmt w:val="decimal"/>
      <w:start w:val="1"/>
    </w:lvl>
  </w:abstractNum>
  <w:abstractNum w:abstractNumId="132">
    <w:nsid w:val="DCDF8F6"/>
    <w:multiLevelType w:val="hybridMultilevel"/>
    <w:lvl w:ilvl="0">
      <w:lvlJc w:val="left"/>
      <w:lvlText w:val="(%1)"/>
      <w:numFmt w:val="decimal"/>
      <w:start w:val="6"/>
    </w:lvl>
  </w:abstractNum>
  <w:abstractNum w:abstractNumId="133">
    <w:nsid w:val="52D7B105"/>
    <w:multiLevelType w:val="hybridMultilevel"/>
    <w:lvl w:ilvl="0">
      <w:lvlJc w:val="left"/>
      <w:lvlText w:val="(%1)"/>
      <w:numFmt w:val="decimal"/>
      <w:start w:val="19"/>
    </w:lvl>
  </w:abstractNum>
  <w:abstractNum w:abstractNumId="134">
    <w:nsid w:val="2E8A6394"/>
    <w:multiLevelType w:val="hybridMultilevel"/>
    <w:lvl w:ilvl="0">
      <w:lvlJc w:val="left"/>
      <w:lvlText w:val="(%1)"/>
      <w:numFmt w:val="lowerRoman"/>
      <w:start w:val="1"/>
    </w:lvl>
  </w:abstractNum>
  <w:abstractNum w:abstractNumId="135">
    <w:nsid w:val="24E60401"/>
    <w:multiLevelType w:val="hybridMultilevel"/>
    <w:lvl w:ilvl="0">
      <w:lvlJc w:val="left"/>
      <w:lvlText w:val="(%1)"/>
      <w:numFmt w:val="lowerLetter"/>
      <w:start w:val="1"/>
    </w:lvl>
  </w:abstractNum>
  <w:abstractNum w:abstractNumId="136">
    <w:nsid w:val="2A6AD9BE"/>
    <w:multiLevelType w:val="hybridMultilevel"/>
    <w:lvl w:ilvl="0">
      <w:lvlJc w:val="left"/>
      <w:lvlText w:val="(%1)"/>
      <w:numFmt w:val="lowerRoman"/>
      <w:start w:val="2"/>
    </w:lvl>
  </w:abstractNum>
  <w:abstractNum w:abstractNumId="137">
    <w:nsid w:val="BAAC1B4"/>
    <w:multiLevelType w:val="hybridMultilevel"/>
    <w:lvl w:ilvl="0">
      <w:lvlJc w:val="left"/>
      <w:lvlText w:val="(%1)"/>
      <w:numFmt w:val="lowerLetter"/>
      <w:start w:val="1"/>
    </w:lvl>
  </w:abstractNum>
  <w:abstractNum w:abstractNumId="138">
    <w:nsid w:val="36B2ACBC"/>
    <w:multiLevelType w:val="hybridMultilevel"/>
    <w:lvl w:ilvl="0">
      <w:lvlJc w:val="left"/>
      <w:lvlText w:val="(%1)"/>
      <w:numFmt w:val="lowerLetter"/>
      <w:start w:val="2"/>
    </w:lvl>
  </w:abstractNum>
  <w:abstractNum w:abstractNumId="139">
    <w:nsid w:val="779D8544"/>
    <w:multiLevelType w:val="hybridMultilevel"/>
    <w:lvl w:ilvl="0">
      <w:lvlJc w:val="left"/>
      <w:lvlText w:val="(%1)"/>
      <w:numFmt w:val="lowerRoman"/>
      <w:start w:val="1"/>
    </w:lvl>
  </w:abstractNum>
  <w:abstractNum w:abstractNumId="140">
    <w:nsid w:val="4AB26E78"/>
    <w:multiLevelType w:val="hybridMultilevel"/>
    <w:lvl w:ilvl="0">
      <w:lvlJc w:val="left"/>
      <w:lvlText w:val="(%1)"/>
      <w:numFmt w:val="lowerLetter"/>
      <w:start w:val="24"/>
    </w:lvl>
  </w:abstractNum>
  <w:abstractNum w:abstractNumId="141">
    <w:nsid w:val="21FAA2FA"/>
    <w:multiLevelType w:val="hybridMultilevel"/>
    <w:lvl w:ilvl="0">
      <w:lvlJc w:val="left"/>
      <w:lvlText w:val="(%1)"/>
      <w:numFmt w:val="lowerLetter"/>
      <w:start w:val="26"/>
    </w:lvl>
  </w:abstractNum>
  <w:abstractNum w:abstractNumId="142">
    <w:nsid w:val="5451CF49"/>
    <w:multiLevelType w:val="hybridMultilevel"/>
    <w:lvl w:ilvl="0">
      <w:lvlJc w:val="left"/>
      <w:lvlText w:val="(%1)"/>
      <w:numFmt w:val="lowerRoman"/>
      <w:start w:val="2"/>
    </w:lvl>
  </w:abstractNum>
  <w:abstractNum w:abstractNumId="143">
    <w:nsid w:val="6181EF69"/>
    <w:multiLevelType w:val="hybridMultilevel"/>
    <w:lvl w:ilvl="0">
      <w:lvlJc w:val="left"/>
      <w:lvlText w:val="(%1)"/>
      <w:numFmt w:val="decimal"/>
      <w:start w:val="1"/>
    </w:lvl>
  </w:abstractNum>
  <w:abstractNum w:abstractNumId="144">
    <w:nsid w:val="3E6400E6"/>
    <w:multiLevelType w:val="hybridMultilevel"/>
    <w:lvl w:ilvl="0">
      <w:lvlJc w:val="left"/>
      <w:lvlText w:val="(%1)"/>
      <w:numFmt w:val="upperLetter"/>
      <w:start w:val="1"/>
    </w:lvl>
  </w:abstractNum>
  <w:abstractNum w:abstractNumId="145">
    <w:nsid w:val="14217E23"/>
    <w:multiLevelType w:val="hybridMultilevel"/>
    <w:lvl w:ilvl="0">
      <w:lvlJc w:val="left"/>
      <w:lvlText w:val="(%1)"/>
      <w:numFmt w:val="lowerRoman"/>
      <w:start w:val="3"/>
    </w:lvl>
  </w:abstractNum>
  <w:abstractNum w:abstractNumId="146">
    <w:nsid w:val="710757D0"/>
    <w:multiLevelType w:val="hybridMultilevel"/>
    <w:lvl w:ilvl="0">
      <w:lvlJc w:val="left"/>
      <w:lvlText w:val="(%1)"/>
      <w:numFmt w:val="decimal"/>
      <w:start w:val="2"/>
    </w:lvl>
  </w:abstractNum>
  <w:abstractNum w:abstractNumId="147">
    <w:nsid w:val="5015CD1A"/>
    <w:multiLevelType w:val="hybridMultilevel"/>
    <w:lvl w:ilvl="0">
      <w:lvlJc w:val="left"/>
      <w:lvlText w:val="(%1)"/>
      <w:numFmt w:val="decimal"/>
      <w:start w:val="1"/>
    </w:lvl>
  </w:abstractNum>
  <w:abstractNum w:abstractNumId="148">
    <w:nsid w:val="424479DA"/>
    <w:multiLevelType w:val="hybridMultilevel"/>
    <w:lvl w:ilvl="0">
      <w:lvlJc w:val="left"/>
      <w:lvlText w:val="(%1)"/>
      <w:numFmt w:val="upperLetter"/>
      <w:start w:val="1"/>
    </w:lvl>
  </w:abstractNum>
  <w:abstractNum w:abstractNumId="149">
    <w:nsid w:val="1A9A9E69"/>
    <w:multiLevelType w:val="hybridMultilevel"/>
    <w:lvl w:ilvl="0">
      <w:lvlJc w:val="left"/>
      <w:lvlText w:val="(%1)"/>
      <w:numFmt w:val="decimal"/>
      <w:start w:val="7"/>
    </w:lvl>
  </w:abstractNum>
  <w:abstractNum w:abstractNumId="150">
    <w:nsid w:val="475E256A"/>
    <w:multiLevelType w:val="hybridMultilevel"/>
    <w:lvl w:ilvl="0">
      <w:lvlJc w:val="left"/>
      <w:lvlText w:val="(%1)"/>
      <w:numFmt w:val="decimal"/>
      <w:start w:val="1"/>
    </w:lvl>
  </w:abstractNum>
  <w:abstractNum w:abstractNumId="151">
    <w:nsid w:val="368DB37E"/>
    <w:multiLevelType w:val="hybridMultilevel"/>
    <w:lvl w:ilvl="0">
      <w:lvlJc w:val="left"/>
      <w:lvlText w:val="(%1)"/>
      <w:numFmt w:val="upperLetter"/>
      <w:start w:val="1"/>
    </w:lvl>
  </w:abstractNum>
  <w:abstractNum w:abstractNumId="152">
    <w:nsid w:val="6A3B714C"/>
    <w:multiLevelType w:val="hybridMultilevel"/>
    <w:lvl w:ilvl="0">
      <w:lvlJc w:val="left"/>
      <w:lvlText w:val="(%1)"/>
      <w:numFmt w:val="decimal"/>
      <w:start w:val="2"/>
    </w:lvl>
  </w:abstractNum>
  <w:abstractNum w:abstractNumId="153">
    <w:nsid w:val="327B517E"/>
    <w:multiLevelType w:val="hybridMultilevel"/>
    <w:lvl w:ilvl="0">
      <w:lvlJc w:val="left"/>
      <w:lvlText w:val="(%1)"/>
      <w:numFmt w:val="decimal"/>
      <w:start w:val="1"/>
    </w:lvl>
  </w:abstractNum>
  <w:abstractNum w:abstractNumId="154">
    <w:nsid w:val="1F461B51"/>
    <w:multiLevelType w:val="hybridMultilevel"/>
    <w:lvl w:ilvl="0">
      <w:lvlJc w:val="left"/>
      <w:lvlText w:val="(%1)"/>
      <w:numFmt w:val="lowerRoman"/>
      <w:start w:val="1"/>
    </w:lvl>
  </w:abstractNum>
  <w:abstractNum w:abstractNumId="155">
    <w:nsid w:val="29BACF25"/>
    <w:multiLevelType w:val="hybridMultilevel"/>
    <w:lvl w:ilvl="0">
      <w:lvlJc w:val="left"/>
      <w:lvlText w:val="(%1)"/>
      <w:numFmt w:val="decimal"/>
      <w:start w:val="1"/>
    </w:lvl>
  </w:abstractNum>
  <w:abstractNum w:abstractNumId="156">
    <w:nsid w:val="5D5BABB3"/>
    <w:multiLevelType w:val="hybridMultilevel"/>
    <w:lvl w:ilvl="0">
      <w:lvlJc w:val="left"/>
      <w:lvlText w:val="(%1)"/>
      <w:numFmt w:val="decimal"/>
      <w:start w:val="1"/>
    </w:lvl>
  </w:abstractNum>
  <w:abstractNum w:abstractNumId="157">
    <w:nsid w:val="51BF6B48"/>
    <w:multiLevelType w:val="hybridMultilevel"/>
    <w:lvl w:ilvl="0">
      <w:lvlJc w:val="left"/>
      <w:lvlText w:val="(%1)"/>
      <w:numFmt w:val="decimal"/>
      <w:start w:val="1"/>
    </w:lvl>
  </w:abstractNum>
  <w:abstractNum w:abstractNumId="158">
    <w:nsid w:val="7E0F6384"/>
    <w:multiLevelType w:val="hybridMultilevel"/>
    <w:lvl w:ilvl="0">
      <w:lvlJc w:val="left"/>
      <w:lvlText w:val="(%1)"/>
      <w:numFmt w:val="decimal"/>
      <w:start w:val="1"/>
    </w:lvl>
  </w:abstractNum>
  <w:abstractNum w:abstractNumId="159">
    <w:nsid w:val="2B4B8B53"/>
    <w:multiLevelType w:val="hybridMultilevel"/>
    <w:lvl w:ilvl="0">
      <w:lvlJc w:val="left"/>
      <w:lvlText w:val="(%1)"/>
      <w:numFmt w:val="decimal"/>
      <w:start w:val="7"/>
    </w:lvl>
  </w:abstractNum>
  <w:abstractNum w:abstractNumId="160">
    <w:nsid w:val="72E3413A"/>
    <w:multiLevelType w:val="hybridMultilevel"/>
    <w:lvl w:ilvl="0">
      <w:lvlJc w:val="left"/>
      <w:lvlText w:val="(%1)"/>
      <w:numFmt w:val="decimal"/>
      <w:start w:val="1"/>
    </w:lvl>
  </w:abstractNum>
  <w:abstractNum w:abstractNumId="161">
    <w:nsid w:val="116AE494"/>
    <w:multiLevelType w:val="hybridMultilevel"/>
    <w:lvl w:ilvl="0">
      <w:lvlJc w:val="left"/>
      <w:lvlText w:val="(%1)"/>
      <w:numFmt w:val="lowerLetter"/>
      <w:start w:val="1"/>
    </w:lvl>
  </w:abstractNum>
  <w:abstractNum w:abstractNumId="162">
    <w:nsid w:val="3494B2FB"/>
    <w:multiLevelType w:val="hybridMultilevel"/>
    <w:lvl w:ilvl="0">
      <w:lvlJc w:val="left"/>
      <w:lvlText w:val="(%1)"/>
      <w:numFmt w:val="decimal"/>
      <w:start w:val="1"/>
    </w:lvl>
  </w:abstractNum>
  <w:abstractNum w:abstractNumId="163">
    <w:nsid w:val="B13A31"/>
    <w:multiLevelType w:val="hybridMultilevel"/>
    <w:lvl w:ilvl="0">
      <w:lvlJc w:val="left"/>
      <w:lvlText w:val="(%1)"/>
      <w:numFmt w:val="lowerLetter"/>
      <w:start w:val="5"/>
    </w:lvl>
  </w:abstractNum>
  <w:abstractNum w:abstractNumId="164">
    <w:nsid w:val="64429599"/>
    <w:multiLevelType w:val="hybridMultilevel"/>
    <w:lvl w:ilvl="0">
      <w:lvlJc w:val="left"/>
      <w:lvlText w:val="(%1)"/>
      <w:numFmt w:val="lowerLetter"/>
      <w:start w:val="1"/>
    </w:lvl>
  </w:abstractNum>
  <w:abstractNum w:abstractNumId="165">
    <w:nsid w:val="631F1690"/>
    <w:multiLevelType w:val="hybridMultilevel"/>
    <w:lvl w:ilvl="0">
      <w:lvlJc w:val="left"/>
      <w:lvlText w:val="(%1)"/>
      <w:numFmt w:val="lowerLetter"/>
      <w:start w:val="3"/>
    </w:lvl>
  </w:abstractNum>
  <w:abstractNum w:abstractNumId="166">
    <w:nsid w:val="25973E32"/>
    <w:multiLevelType w:val="hybridMultilevel"/>
    <w:lvl w:ilvl="0">
      <w:lvlJc w:val="left"/>
      <w:lvlText w:val="(%1)"/>
      <w:numFmt w:val="decimal"/>
      <w:start w:val="1"/>
    </w:lvl>
  </w:abstractNum>
  <w:abstractNum w:abstractNumId="167">
    <w:nsid w:val="EAD6F57"/>
    <w:multiLevelType w:val="hybridMultilevel"/>
    <w:lvl w:ilvl="0">
      <w:lvlJc w:val="left"/>
      <w:lvlText w:val="(%1)"/>
      <w:numFmt w:val="lowerLetter"/>
      <w:start w:val="2"/>
    </w:lvl>
  </w:abstractNum>
  <w:abstractNum w:abstractNumId="168">
    <w:nsid w:val="6EC9D844"/>
    <w:multiLevelType w:val="hybridMultilevel"/>
    <w:lvl w:ilvl="0">
      <w:lvlJc w:val="left"/>
      <w:lvlText w:val="(%1)"/>
      <w:numFmt w:val="lowerLetter"/>
      <w:start w:val="3"/>
    </w:lvl>
  </w:abstractNum>
  <w:abstractNum w:abstractNumId="169">
    <w:nsid w:val="5C49EAEE"/>
    <w:multiLevelType w:val="hybridMultilevel"/>
    <w:lvl w:ilvl="0">
      <w:lvlJc w:val="left"/>
      <w:lvlText w:val="(%1)"/>
      <w:numFmt w:val="decimal"/>
      <w:start w:val="1"/>
    </w:lvl>
  </w:abstractNum>
  <w:abstractNum w:abstractNumId="170">
    <w:nsid w:val="64AF49B"/>
    <w:multiLevelType w:val="hybridMultilevel"/>
    <w:lvl w:ilvl="0">
      <w:lvlJc w:val="left"/>
      <w:lvlText w:val="(%1)"/>
      <w:numFmt w:val="lowerLetter"/>
      <w:start w:val="4"/>
    </w:lvl>
  </w:abstractNum>
  <w:abstractNum w:abstractNumId="171">
    <w:nsid w:val="397C46BC"/>
    <w:multiLevelType w:val="hybridMultilevel"/>
    <w:lvl w:ilvl="0">
      <w:lvlJc w:val="left"/>
      <w:lvlText w:val="(%1)"/>
      <w:numFmt w:val="decimal"/>
      <w:start w:val="1"/>
    </w:lvl>
  </w:abstractNum>
  <w:abstractNum w:abstractNumId="172">
    <w:nsid w:val="7E448DE9"/>
    <w:multiLevelType w:val="hybridMultilevel"/>
    <w:lvl w:ilvl="0">
      <w:lvlJc w:val="left"/>
      <w:lvlText w:val="(%1)"/>
      <w:numFmt w:val="decimal"/>
      <w:start w:val="2"/>
    </w:lvl>
  </w:abstractNum>
  <w:abstractNum w:abstractNumId="173">
    <w:nsid w:val="5A9CC3E5"/>
    <w:multiLevelType w:val="hybridMultilevel"/>
    <w:lvl w:ilvl="0">
      <w:lvlJc w:val="left"/>
      <w:lvlText w:val="(%1)"/>
      <w:numFmt w:val="lowerLetter"/>
      <w:start w:val="1"/>
    </w:lvl>
  </w:abstractNum>
  <w:abstractNum w:abstractNumId="174">
    <w:nsid w:val="1AFE3625"/>
    <w:multiLevelType w:val="hybridMultilevel"/>
    <w:lvl w:ilvl="0">
      <w:lvlJc w:val="left"/>
      <w:lvlText w:val="(%1)"/>
      <w:numFmt w:val="decimal"/>
      <w:start w:val="1"/>
    </w:lvl>
  </w:abstractNum>
  <w:abstractNum w:abstractNumId="175">
    <w:nsid w:val="3CA88ECF"/>
    <w:multiLevelType w:val="hybridMultilevel"/>
    <w:lvl w:ilvl="0">
      <w:lvlJc w:val="left"/>
      <w:lvlText w:val="(%1)"/>
      <w:numFmt w:val="decimal"/>
      <w:start w:val="1"/>
    </w:lvl>
  </w:abstractNum>
  <w:abstractNum w:abstractNumId="176">
    <w:nsid w:val="6EBE4208"/>
    <w:multiLevelType w:val="hybridMultilevel"/>
    <w:lvl w:ilvl="0">
      <w:lvlJc w:val="left"/>
      <w:lvlText w:val="(%1)"/>
      <w:numFmt w:val="decimal"/>
      <w:start w:val="8"/>
    </w:lvl>
  </w:abstractNum>
  <w:abstractNum w:abstractNumId="177">
    <w:nsid w:val="C058DF5"/>
    <w:multiLevelType w:val="hybridMultilevel"/>
    <w:lvl w:ilvl="0">
      <w:lvlJc w:val="left"/>
      <w:lvlText w:val="(%1)"/>
      <w:numFmt w:val="decimal"/>
      <w:start w:val="1"/>
    </w:lvl>
  </w:abstractNum>
  <w:abstractNum w:abstractNumId="178">
    <w:nsid w:val="CBE5BE9"/>
    <w:multiLevelType w:val="hybridMultilevel"/>
    <w:lvl w:ilvl="0">
      <w:lvlJc w:val="left"/>
      <w:lvlText w:val="(%1)"/>
      <w:numFmt w:val="decimal"/>
      <w:start w:val="1"/>
    </w:lvl>
  </w:abstractNum>
  <w:abstractNum w:abstractNumId="179">
    <w:nsid w:val="3102BBE2"/>
    <w:multiLevelType w:val="hybridMultilevel"/>
    <w:lvl w:ilvl="0">
      <w:lvlJc w:val="left"/>
      <w:lvlText w:val="(%1)"/>
      <w:numFmt w:val="lowerRoman"/>
      <w:start w:val="1"/>
    </w:lvl>
  </w:abstractNum>
  <w:abstractNum w:abstractNumId="180">
    <w:nsid w:val="26A02C5E"/>
    <w:multiLevelType w:val="hybridMultilevel"/>
    <w:lvl w:ilvl="0">
      <w:lvlJc w:val="left"/>
      <w:lvlText w:val="(%1)"/>
      <w:numFmt w:val="decimal"/>
      <w:start w:val="1"/>
    </w:lvl>
  </w:abstractNum>
  <w:abstractNum w:abstractNumId="181">
    <w:nsid w:val="541C8153"/>
    <w:multiLevelType w:val="hybridMultilevel"/>
    <w:lvl w:ilvl="0">
      <w:lvlJc w:val="left"/>
      <w:lvlText w:val="(%1)"/>
      <w:numFmt w:val="upperLetter"/>
      <w:start w:val="4"/>
    </w:lvl>
  </w:abstractNum>
  <w:abstractNum w:abstractNumId="182">
    <w:nsid w:val="67906F60"/>
    <w:multiLevelType w:val="hybridMultilevel"/>
    <w:lvl w:ilvl="0">
      <w:lvlJc w:val="left"/>
      <w:lvlText w:val="(%1)"/>
      <w:numFmt w:val="lowerLetter"/>
      <w:start w:val="1"/>
    </w:lvl>
  </w:abstractNum>
  <w:abstractNum w:abstractNumId="183">
    <w:nsid w:val="10DB9DAA"/>
    <w:multiLevelType w:val="hybridMultilevel"/>
    <w:lvl w:ilvl="0">
      <w:lvlJc w:val="left"/>
      <w:lvlText w:val="(%1)"/>
      <w:numFmt w:val="lowerLetter"/>
      <w:start w:val="6"/>
    </w:lvl>
  </w:abstractNum>
  <w:abstractNum w:abstractNumId="184">
    <w:nsid w:val="697D2D2"/>
    <w:multiLevelType w:val="hybridMultilevel"/>
    <w:lvl w:ilvl="0">
      <w:lvlJc w:val="left"/>
      <w:lvlText w:val="(%1)"/>
      <w:numFmt w:val="lowerLetter"/>
      <w:start w:val="1"/>
    </w:lvl>
  </w:abstractNum>
  <w:abstractNum w:abstractNumId="185">
    <w:nsid w:val="6D68AB2"/>
    <w:multiLevelType w:val="hybridMultilevel"/>
    <w:lvl w:ilvl="0">
      <w:lvlJc w:val="left"/>
      <w:lvlText w:val="(%1)"/>
      <w:numFmt w:val="lowerRoman"/>
      <w:start w:val="1"/>
    </w:lvl>
  </w:abstractNum>
  <w:abstractNum w:abstractNumId="186">
    <w:nsid w:val="3A966CD0"/>
    <w:multiLevelType w:val="hybridMultilevel"/>
    <w:lvl w:ilvl="0">
      <w:lvlJc w:val="left"/>
      <w:lvlText w:val="(%1)"/>
      <w:numFmt w:val="lowerLetter"/>
      <w:start w:val="1"/>
    </w:lvl>
  </w:abstractNum>
  <w:abstractNum w:abstractNumId="187">
    <w:nsid w:val="63F37E85"/>
    <w:multiLevelType w:val="hybridMultilevel"/>
    <w:lvl w:ilvl="0">
      <w:lvlJc w:val="left"/>
      <w:lvlText w:val="(%1)"/>
      <w:numFmt w:val="lowerLetter"/>
      <w:start w:val="2"/>
    </w:lvl>
  </w:abstractNum>
  <w:abstractNum w:abstractNumId="188">
    <w:nsid w:val="5895F5FA"/>
    <w:multiLevelType w:val="hybridMultilevel"/>
    <w:lvl w:ilvl="0">
      <w:lvlJc w:val="left"/>
      <w:lvlText w:val="(%1)"/>
      <w:numFmt w:val="lowerLetter"/>
      <w:start w:val="2"/>
    </w:lvl>
  </w:abstractNum>
  <w:abstractNum w:abstractNumId="189">
    <w:nsid w:val="38A5D054"/>
    <w:multiLevelType w:val="hybridMultilevel"/>
    <w:lvl w:ilvl="0">
      <w:lvlJc w:val="left"/>
      <w:lvlText w:val="(%1)"/>
      <w:numFmt w:val="decimal"/>
      <w:start w:val="1"/>
    </w:lvl>
  </w:abstractNum>
  <w:abstractNum w:abstractNumId="190">
    <w:nsid w:val="F3F09D8"/>
    <w:multiLevelType w:val="hybridMultilevel"/>
    <w:lvl w:ilvl="0">
      <w:lvlJc w:val="left"/>
      <w:lvlText w:val="(%1)"/>
      <w:numFmt w:val="decimal"/>
      <w:start w:val="1"/>
    </w:lvl>
  </w:abstractNum>
  <w:abstractNum w:abstractNumId="191">
    <w:nsid w:val="4B793735"/>
    <w:multiLevelType w:val="hybridMultilevel"/>
    <w:lvl w:ilvl="0">
      <w:lvlJc w:val="left"/>
      <w:lvlText w:val="(%1)"/>
      <w:numFmt w:val="decimal"/>
      <w:start w:val="2"/>
    </w:lvl>
  </w:abstractNum>
  <w:abstractNum w:abstractNumId="192">
    <w:nsid w:val="4A10B4E8"/>
    <w:multiLevelType w:val="hybridMultilevel"/>
    <w:lvl w:ilvl="0">
      <w:lvlJc w:val="left"/>
      <w:lvlText w:val="(%1)"/>
      <w:numFmt w:val="decimal"/>
      <w:start w:val="7"/>
    </w:lvl>
  </w:abstractNum>
  <w:abstractNum w:abstractNumId="193">
    <w:nsid w:val="43D3BCD4"/>
    <w:multiLevelType w:val="hybridMultilevel"/>
    <w:lvl w:ilvl="0">
      <w:lvlJc w:val="left"/>
      <w:lvlText w:val="(%1)"/>
      <w:numFmt w:val="decimal"/>
      <w:start w:val="3"/>
    </w:lvl>
  </w:abstractNum>
  <w:abstractNum w:abstractNumId="194">
    <w:nsid w:val="4C2A7166"/>
    <w:multiLevelType w:val="hybridMultilevel"/>
    <w:lvl w:ilvl="0">
      <w:lvlJc w:val="left"/>
      <w:lvlText w:val="(%1)"/>
      <w:numFmt w:val="decimal"/>
      <w:start w:val="5"/>
    </w:lvl>
  </w:abstractNum>
  <w:abstractNum w:abstractNumId="195">
    <w:nsid w:val="2E534A82"/>
    <w:multiLevelType w:val="hybridMultilevel"/>
    <w:lvl w:ilvl="0">
      <w:lvlJc w:val="left"/>
      <w:lvlText w:val="(%1)"/>
      <w:numFmt w:val="decimal"/>
      <w:start w:val="1"/>
    </w:lvl>
  </w:abstractNum>
  <w:abstractNum w:abstractNumId="196">
    <w:nsid w:val="26F2D364"/>
    <w:multiLevelType w:val="hybridMultilevel"/>
    <w:lvl w:ilvl="0">
      <w:lvlJc w:val="left"/>
      <w:lvlText w:val="(%1)"/>
      <w:numFmt w:val="decimal"/>
      <w:start w:val="1"/>
    </w:lvl>
  </w:abstractNum>
  <w:abstractNum w:abstractNumId="197">
    <w:nsid w:val="71C1AF98"/>
    <w:multiLevelType w:val="hybridMultilevel"/>
    <w:lvl w:ilvl="0">
      <w:lvlJc w:val="left"/>
      <w:lvlText w:val="(%1)"/>
      <w:numFmt w:val="decimal"/>
      <w:start w:val="1"/>
    </w:lvl>
  </w:abstractNum>
  <w:abstractNum w:abstractNumId="198">
    <w:nsid w:val="3D00B9D9"/>
    <w:multiLevelType w:val="hybridMultilevel"/>
    <w:lvl w:ilvl="0">
      <w:lvlJc w:val="left"/>
      <w:lvlText w:val="(%1)"/>
      <w:numFmt w:val="decimal"/>
      <w:start w:val="4"/>
    </w:lvl>
  </w:abstractNum>
  <w:abstractNum w:abstractNumId="199">
    <w:nsid w:val="15BCABA8"/>
    <w:multiLevelType w:val="hybridMultilevel"/>
    <w:lvl w:ilvl="0">
      <w:lvlJc w:val="left"/>
      <w:lvlText w:val="(%1)"/>
      <w:numFmt w:val="decimal"/>
      <w:start w:val="1"/>
    </w:lvl>
  </w:abstractNum>
  <w:abstractNum w:abstractNumId="200">
    <w:nsid w:val="4E0B9A87"/>
    <w:multiLevelType w:val="hybridMultilevel"/>
    <w:lvl w:ilvl="0">
      <w:lvlJc w:val="left"/>
      <w:lvlText w:val="["/>
      <w:numFmt w:val="bullet"/>
      <w:start w:val="1"/>
    </w:lvl>
  </w:abstractNum>
  <w:abstractNum w:abstractNumId="201">
    <w:nsid w:val="434BAE75"/>
    <w:multiLevelType w:val="hybridMultilevel"/>
    <w:lvl w:ilvl="0">
      <w:lvlJc w:val="left"/>
      <w:lvlText w:val="["/>
      <w:numFmt w:val="bullet"/>
      <w:start w:val="1"/>
    </w:lvl>
  </w:abstractNum>
  <w:abstractNum w:abstractNumId="202">
    <w:nsid w:val="4F38F265"/>
    <w:multiLevelType w:val="hybridMultilevel"/>
    <w:lvl w:ilvl="0">
      <w:lvlJc w:val="left"/>
      <w:lvlText w:val="["/>
      <w:numFmt w:val="bullet"/>
      <w:start w:val="1"/>
    </w:lvl>
  </w:abstractNum>
  <w:abstractNum w:abstractNumId="203">
    <w:nsid w:val="4C502870"/>
    <w:multiLevelType w:val="hybridMultilevel"/>
    <w:lvl w:ilvl="0">
      <w:lvlJc w:val="left"/>
      <w:lvlText w:val="(%1)"/>
      <w:numFmt w:val="lowerLetter"/>
      <w:start w:val="1"/>
    </w:lvl>
  </w:abstractNum>
  <w:abstractNum w:abstractNumId="204">
    <w:nsid w:val="1DE8725A"/>
    <w:multiLevelType w:val="hybridMultilevel"/>
    <w:lvl w:ilvl="0">
      <w:lvlJc w:val="left"/>
      <w:lvlText w:val="(%1)"/>
      <w:numFmt w:val="lowerRoman"/>
      <w:start w:val="1"/>
    </w:lvl>
  </w:abstractNum>
  <w:abstractNum w:abstractNumId="205">
    <w:nsid w:val="6A37288A"/>
    <w:multiLevelType w:val="hybridMultilevel"/>
    <w:lvl w:ilvl="0">
      <w:lvlJc w:val="left"/>
      <w:lvlText w:val="(%1)"/>
      <w:numFmt w:val="decimal"/>
      <w:start w:val="901"/>
    </w:lvl>
  </w:abstractNum>
  <w:abstractNum w:abstractNumId="206">
    <w:nsid w:val="8F8B73F"/>
    <w:multiLevelType w:val="hybridMultilevel"/>
    <w:lvl w:ilvl="0">
      <w:lvlJc w:val="left"/>
      <w:lvlText w:val="(%1)"/>
      <w:numFmt w:val="lowerRoman"/>
      <w:start w:val="1"/>
    </w:lvl>
  </w:abstractNum>
  <w:abstractNum w:abstractNumId="207">
    <w:nsid w:val="CA6B462"/>
    <w:multiLevelType w:val="hybridMultilevel"/>
    <w:lvl w:ilvl="0">
      <w:lvlJc w:val="left"/>
      <w:lvlText w:val="%1."/>
      <w:numFmt w:val="decimal"/>
      <w:start w:val="1"/>
    </w:lvl>
  </w:abstractNum>
  <w:abstractNum w:abstractNumId="208">
    <w:nsid w:val="763CB680"/>
    <w:multiLevelType w:val="hybridMultilevel"/>
    <w:lvl w:ilvl="0">
      <w:lvlJc w:val="left"/>
      <w:lvlText w:val="%1"/>
      <w:numFmt w:val="lowerLetter"/>
      <w:start w:val="1"/>
    </w:lvl>
    <w:lvl w:ilvl="1">
      <w:lvlJc w:val="left"/>
      <w:lvlText w:val="%2."/>
      <w:numFmt w:val="decimal"/>
      <w:start w:val="4"/>
    </w:lvl>
  </w:abstractNum>
  <w:abstractNum w:abstractNumId="209">
    <w:nsid w:val="15B71329"/>
    <w:multiLevelType w:val="hybridMultilevel"/>
    <w:lvl w:ilvl="0">
      <w:lvlJc w:val="left"/>
      <w:lvlText w:val="(%1)"/>
      <w:numFmt w:val="lowerLetter"/>
      <w:start w:val="2"/>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2019-12-05T22:59:19Z</dcterms:created>
  <dcterms:modified xsi:type="dcterms:W3CDTF">2019-12-05T22:59:19Z</dcterms:modified>
</cp:coreProperties>
</file>