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spacing w:after="0"/>
        <w:rPr>
          <w:sz w:val="20"/>
          <w:szCs w:val="20"/>
          <w:color w:val="auto"/>
        </w:rPr>
      </w:pPr>
      <w:r>
        <w:rPr>
          <w:rFonts w:ascii="Arial" w:cs="Arial" w:eastAsia="Arial" w:hAnsi="Arial"/>
          <w:sz w:val="32"/>
          <w:szCs w:val="32"/>
          <w:b w:val="1"/>
          <w:bCs w:val="1"/>
          <w:color w:val="auto"/>
        </w:rPr>
        <w:drawing>
          <wp:anchor simplePos="0" relativeHeight="251657728" behindDoc="1" locked="0" layoutInCell="0" allowOverlap="1">
            <wp:simplePos x="0" y="0"/>
            <wp:positionH relativeFrom="page">
              <wp:posOffset>286385</wp:posOffset>
            </wp:positionH>
            <wp:positionV relativeFrom="page">
              <wp:posOffset>166370</wp:posOffset>
            </wp:positionV>
            <wp:extent cx="6997700" cy="88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6997700" cy="8890"/>
                    </a:xfrm>
                    <a:prstGeom prst="rect">
                      <a:avLst/>
                    </a:prstGeom>
                    <a:noFill/>
                  </pic:spPr>
                </pic:pic>
              </a:graphicData>
            </a:graphic>
          </wp:anchor>
        </w:drawing>
        <w:drawing>
          <wp:anchor simplePos="0" relativeHeight="251657728" behindDoc="1" locked="0" layoutInCell="0" allowOverlap="1">
            <wp:simplePos x="0" y="0"/>
            <wp:positionH relativeFrom="page">
              <wp:posOffset>286385</wp:posOffset>
            </wp:positionH>
            <wp:positionV relativeFrom="page">
              <wp:posOffset>208915</wp:posOffset>
            </wp:positionV>
            <wp:extent cx="6997700"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6997700" cy="8890"/>
                    </a:xfrm>
                    <a:prstGeom prst="rect">
                      <a:avLst/>
                    </a:prstGeom>
                    <a:noFill/>
                  </pic:spPr>
                </pic:pic>
              </a:graphicData>
            </a:graphic>
          </wp:anchor>
        </w:drawing>
        <w:t>UNITED STATES</w:t>
      </w:r>
    </w:p>
    <w:p>
      <w:pPr>
        <w:spacing w:after="0" w:line="31" w:lineRule="exact"/>
        <w:rPr>
          <w:sz w:val="24"/>
          <w:szCs w:val="24"/>
          <w:color w:val="auto"/>
        </w:rPr>
      </w:pPr>
    </w:p>
    <w:p>
      <w:pPr>
        <w:jc w:val="center"/>
        <w:spacing w:after="0"/>
        <w:rPr>
          <w:sz w:val="20"/>
          <w:szCs w:val="20"/>
          <w:color w:val="auto"/>
        </w:rPr>
      </w:pPr>
      <w:r>
        <w:rPr>
          <w:rFonts w:ascii="Arial" w:cs="Arial" w:eastAsia="Arial" w:hAnsi="Arial"/>
          <w:sz w:val="32"/>
          <w:szCs w:val="32"/>
          <w:b w:val="1"/>
          <w:bCs w:val="1"/>
          <w:color w:val="auto"/>
        </w:rPr>
        <w:t>SECURITIES AND EXCHANGE COMMISSION</w:t>
      </w:r>
    </w:p>
    <w:p>
      <w:pPr>
        <w:jc w:val="center"/>
        <w:spacing w:after="0"/>
        <w:rPr>
          <w:sz w:val="20"/>
          <w:szCs w:val="20"/>
          <w:color w:val="auto"/>
        </w:rPr>
      </w:pPr>
      <w:r>
        <w:rPr>
          <w:rFonts w:ascii="Arial" w:cs="Arial" w:eastAsia="Arial" w:hAnsi="Arial"/>
          <w:sz w:val="22"/>
          <w:szCs w:val="22"/>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2767965</wp:posOffset>
            </wp:positionH>
            <wp:positionV relativeFrom="paragraph">
              <wp:posOffset>210185</wp:posOffset>
            </wp:positionV>
            <wp:extent cx="1466215" cy="8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466215" cy="8890"/>
                    </a:xfrm>
                    <a:prstGeom prst="rect">
                      <a:avLst/>
                    </a:prstGeom>
                    <a:noFill/>
                  </pic:spPr>
                </pic:pic>
              </a:graphicData>
            </a:graphic>
          </wp:anchor>
        </w:drawing>
      </w:r>
    </w:p>
    <w:p>
      <w:pPr>
        <w:spacing w:after="0" w:line="200" w:lineRule="exact"/>
        <w:rPr>
          <w:sz w:val="24"/>
          <w:szCs w:val="24"/>
          <w:color w:val="auto"/>
        </w:rPr>
      </w:pPr>
    </w:p>
    <w:p>
      <w:pPr>
        <w:spacing w:after="0" w:line="259" w:lineRule="exact"/>
        <w:rPr>
          <w:sz w:val="24"/>
          <w:szCs w:val="24"/>
          <w:color w:val="auto"/>
        </w:rPr>
      </w:pPr>
    </w:p>
    <w:p>
      <w:pPr>
        <w:jc w:val="center"/>
        <w:spacing w:after="0"/>
        <w:rPr>
          <w:sz w:val="20"/>
          <w:szCs w:val="20"/>
          <w:color w:val="auto"/>
        </w:rPr>
      </w:pPr>
      <w:r>
        <w:rPr>
          <w:rFonts w:ascii="Arial" w:cs="Arial" w:eastAsia="Arial" w:hAnsi="Arial"/>
          <w:sz w:val="32"/>
          <w:szCs w:val="32"/>
          <w:b w:val="1"/>
          <w:bCs w:val="1"/>
          <w:color w:val="auto"/>
        </w:rPr>
        <w:t>FORM 8-K</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2767965</wp:posOffset>
            </wp:positionH>
            <wp:positionV relativeFrom="paragraph">
              <wp:posOffset>229870</wp:posOffset>
            </wp:positionV>
            <wp:extent cx="1466215" cy="88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466215" cy="8890"/>
                    </a:xfrm>
                    <a:prstGeom prst="rect">
                      <a:avLst/>
                    </a:prstGeom>
                    <a:noFill/>
                  </pic:spPr>
                </pic:pic>
              </a:graphicData>
            </a:graphic>
          </wp:anchor>
        </w:drawing>
      </w:r>
    </w:p>
    <w:p>
      <w:pPr>
        <w:spacing w:after="0" w:line="200" w:lineRule="exact"/>
        <w:rPr>
          <w:sz w:val="24"/>
          <w:szCs w:val="24"/>
          <w:color w:val="auto"/>
        </w:rPr>
      </w:pPr>
    </w:p>
    <w:p>
      <w:pPr>
        <w:spacing w:after="0" w:line="317" w:lineRule="exact"/>
        <w:rPr>
          <w:sz w:val="24"/>
          <w:szCs w:val="24"/>
          <w:color w:val="auto"/>
        </w:rPr>
      </w:pPr>
    </w:p>
    <w:p>
      <w:pPr>
        <w:jc w:val="center"/>
        <w:spacing w:after="0"/>
        <w:rPr>
          <w:sz w:val="20"/>
          <w:szCs w:val="20"/>
          <w:color w:val="auto"/>
        </w:rPr>
      </w:pPr>
      <w:r>
        <w:rPr>
          <w:rFonts w:ascii="Arial" w:cs="Arial" w:eastAsia="Arial" w:hAnsi="Arial"/>
          <w:sz w:val="22"/>
          <w:szCs w:val="22"/>
          <w:b w:val="1"/>
          <w:bCs w:val="1"/>
          <w:color w:val="auto"/>
        </w:rPr>
        <w:t>CURRENT REPORT</w:t>
      </w:r>
    </w:p>
    <w:p>
      <w:pPr>
        <w:spacing w:after="0" w:line="4" w:lineRule="exact"/>
        <w:rPr>
          <w:sz w:val="24"/>
          <w:szCs w:val="24"/>
          <w:color w:val="auto"/>
        </w:rPr>
      </w:pPr>
    </w:p>
    <w:p>
      <w:pPr>
        <w:jc w:val="center"/>
        <w:spacing w:after="0"/>
        <w:rPr>
          <w:sz w:val="20"/>
          <w:szCs w:val="20"/>
          <w:color w:val="auto"/>
        </w:rPr>
      </w:pPr>
      <w:r>
        <w:rPr>
          <w:rFonts w:ascii="Arial" w:cs="Arial" w:eastAsia="Arial" w:hAnsi="Arial"/>
          <w:sz w:val="22"/>
          <w:szCs w:val="22"/>
          <w:b w:val="1"/>
          <w:bCs w:val="1"/>
          <w:color w:val="auto"/>
        </w:rPr>
        <w:t>PURSUANT TO SECTION 13 OR 15(d)</w:t>
      </w:r>
    </w:p>
    <w:p>
      <w:pPr>
        <w:jc w:val="center"/>
        <w:spacing w:after="0"/>
        <w:rPr>
          <w:sz w:val="20"/>
          <w:szCs w:val="20"/>
          <w:color w:val="auto"/>
        </w:rPr>
      </w:pPr>
      <w:r>
        <w:rPr>
          <w:rFonts w:ascii="Arial" w:cs="Arial" w:eastAsia="Arial" w:hAnsi="Arial"/>
          <w:sz w:val="22"/>
          <w:szCs w:val="22"/>
          <w:b w:val="1"/>
          <w:bCs w:val="1"/>
          <w:color w:val="auto"/>
        </w:rPr>
        <w:t>OF THE SECURITIES EXCHANGE ACT OF 1934</w:t>
      </w:r>
    </w:p>
    <w:p>
      <w:pPr>
        <w:spacing w:after="0" w:line="142" w:lineRule="exact"/>
        <w:rPr>
          <w:sz w:val="24"/>
          <w:szCs w:val="24"/>
          <w:color w:val="auto"/>
        </w:rPr>
      </w:pPr>
    </w:p>
    <w:p>
      <w:pPr>
        <w:jc w:val="center"/>
        <w:spacing w:after="0"/>
        <w:rPr>
          <w:sz w:val="20"/>
          <w:szCs w:val="20"/>
          <w:color w:val="auto"/>
        </w:rPr>
      </w:pPr>
      <w:r>
        <w:rPr>
          <w:rFonts w:ascii="Arial" w:cs="Arial" w:eastAsia="Arial" w:hAnsi="Arial"/>
          <w:sz w:val="22"/>
          <w:szCs w:val="22"/>
          <w:b w:val="1"/>
          <w:bCs w:val="1"/>
          <w:color w:val="auto"/>
        </w:rPr>
        <w:t>Date of Report (Date of earliest event reported): February 4, 2019 (February 1, 2019)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2767965</wp:posOffset>
            </wp:positionH>
            <wp:positionV relativeFrom="paragraph">
              <wp:posOffset>217170</wp:posOffset>
            </wp:positionV>
            <wp:extent cx="1466215"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1466215" cy="8890"/>
                    </a:xfrm>
                    <a:prstGeom prst="rect">
                      <a:avLst/>
                    </a:prstGeom>
                    <a:noFill/>
                  </pic:spPr>
                </pic:pic>
              </a:graphicData>
            </a:graphic>
          </wp:anchor>
        </w:drawing>
        <w:drawing>
          <wp:anchor simplePos="0" relativeHeight="251657728" behindDoc="1" locked="0" layoutInCell="0" allowOverlap="1">
            <wp:simplePos x="0" y="0"/>
            <wp:positionH relativeFrom="column">
              <wp:posOffset>3111500</wp:posOffset>
            </wp:positionH>
            <wp:positionV relativeFrom="paragraph">
              <wp:posOffset>388620</wp:posOffset>
            </wp:positionV>
            <wp:extent cx="788670" cy="78867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88670" cy="788670"/>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366" w:lineRule="exact"/>
        <w:rPr>
          <w:sz w:val="24"/>
          <w:szCs w:val="24"/>
          <w:color w:val="auto"/>
        </w:rPr>
      </w:pPr>
    </w:p>
    <w:p>
      <w:pPr>
        <w:jc w:val="center"/>
        <w:spacing w:after="0"/>
        <w:rPr>
          <w:sz w:val="20"/>
          <w:szCs w:val="20"/>
          <w:color w:val="auto"/>
        </w:rPr>
      </w:pPr>
      <w:r>
        <w:rPr>
          <w:rFonts w:ascii="Arial" w:cs="Arial" w:eastAsia="Arial" w:hAnsi="Arial"/>
          <w:sz w:val="43"/>
          <w:szCs w:val="43"/>
          <w:b w:val="1"/>
          <w:bCs w:val="1"/>
          <w:color w:val="auto"/>
        </w:rPr>
        <w:t>NN, INC.</w:t>
      </w:r>
    </w:p>
    <w:p>
      <w:pPr>
        <w:spacing w:after="0" w:line="50"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(Exact name of registrant as specified in its charter)</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2767965</wp:posOffset>
            </wp:positionH>
            <wp:positionV relativeFrom="paragraph">
              <wp:posOffset>219075</wp:posOffset>
            </wp:positionV>
            <wp:extent cx="1466215" cy="88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1466215" cy="8890"/>
                    </a:xfrm>
                    <a:prstGeom prst="rect">
                      <a:avLst/>
                    </a:prstGeom>
                    <a:noFill/>
                  </pic:spPr>
                </pic:pic>
              </a:graphicData>
            </a:graphic>
          </wp:anchor>
        </w:drawing>
      </w:r>
    </w:p>
    <w:p>
      <w:pPr>
        <w:spacing w:after="0" w:line="200" w:lineRule="exact"/>
        <w:rPr>
          <w:sz w:val="24"/>
          <w:szCs w:val="24"/>
          <w:color w:val="auto"/>
        </w:rPr>
      </w:pPr>
    </w:p>
    <w:p>
      <w:pPr>
        <w:spacing w:after="0" w:line="363" w:lineRule="exact"/>
        <w:rPr>
          <w:sz w:val="24"/>
          <w:szCs w:val="24"/>
          <w:color w:val="auto"/>
        </w:rPr>
      </w:pPr>
    </w:p>
    <w:tbl>
      <w:tblPr>
        <w:tblLayout w:type="fixed"/>
        <w:tblInd w:w="1020" w:type="dxa"/>
        <w:tblCellMar>
          <w:top w:w="0" w:type="dxa"/>
          <w:left w:w="0" w:type="dxa"/>
          <w:bottom w:w="0" w:type="dxa"/>
          <w:right w:w="0" w:type="dxa"/>
        </w:tblCellMar>
      </w:tblPr>
      <w:tr>
        <w:trPr>
          <w:trHeight w:val="212"/>
        </w:trPr>
        <w:tc>
          <w:tcPr>
            <w:tcW w:w="4040" w:type="dxa"/>
            <w:vAlign w:val="bottom"/>
          </w:tcPr>
          <w:p>
            <w:pPr>
              <w:jc w:val="center"/>
              <w:ind w:right="2239"/>
              <w:spacing w:after="0"/>
              <w:rPr>
                <w:sz w:val="20"/>
                <w:szCs w:val="20"/>
                <w:color w:val="auto"/>
              </w:rPr>
            </w:pPr>
            <w:r>
              <w:rPr>
                <w:rFonts w:ascii="Arial" w:cs="Arial" w:eastAsia="Arial" w:hAnsi="Arial"/>
                <w:sz w:val="18"/>
                <w:szCs w:val="18"/>
                <w:b w:val="1"/>
                <w:bCs w:val="1"/>
                <w:color w:val="auto"/>
                <w:w w:val="91"/>
              </w:rPr>
              <w:t>Delaware</w:t>
            </w:r>
          </w:p>
        </w:tc>
        <w:tc>
          <w:tcPr>
            <w:tcW w:w="2320" w:type="dxa"/>
            <w:vAlign w:val="bottom"/>
          </w:tcPr>
          <w:p>
            <w:pPr>
              <w:ind w:left="180"/>
              <w:spacing w:after="0"/>
              <w:rPr>
                <w:sz w:val="20"/>
                <w:szCs w:val="20"/>
                <w:color w:val="auto"/>
              </w:rPr>
            </w:pPr>
            <w:r>
              <w:rPr>
                <w:rFonts w:ascii="Arial" w:cs="Arial" w:eastAsia="Arial" w:hAnsi="Arial"/>
                <w:sz w:val="18"/>
                <w:szCs w:val="18"/>
                <w:b w:val="1"/>
                <w:bCs w:val="1"/>
                <w:color w:val="auto"/>
              </w:rPr>
              <w:t>000-23486</w:t>
            </w:r>
          </w:p>
        </w:tc>
        <w:tc>
          <w:tcPr>
            <w:tcW w:w="2440" w:type="dxa"/>
            <w:vAlign w:val="bottom"/>
          </w:tcPr>
          <w:p>
            <w:pPr>
              <w:jc w:val="right"/>
              <w:ind w:right="41"/>
              <w:spacing w:after="0"/>
              <w:rPr>
                <w:sz w:val="20"/>
                <w:szCs w:val="20"/>
                <w:color w:val="auto"/>
              </w:rPr>
            </w:pPr>
            <w:r>
              <w:rPr>
                <w:rFonts w:ascii="Arial" w:cs="Arial" w:eastAsia="Arial" w:hAnsi="Arial"/>
                <w:sz w:val="18"/>
                <w:szCs w:val="18"/>
                <w:b w:val="1"/>
                <w:bCs w:val="1"/>
                <w:color w:val="auto"/>
              </w:rPr>
              <w:t>62-1096725</w:t>
            </w:r>
          </w:p>
        </w:tc>
      </w:tr>
      <w:tr>
        <w:trPr>
          <w:trHeight w:val="149"/>
        </w:trPr>
        <w:tc>
          <w:tcPr>
            <w:tcW w:w="4040" w:type="dxa"/>
            <w:vAlign w:val="bottom"/>
          </w:tcPr>
          <w:p>
            <w:pPr>
              <w:jc w:val="center"/>
              <w:ind w:right="2259"/>
              <w:spacing w:after="0" w:line="149" w:lineRule="exact"/>
              <w:rPr>
                <w:sz w:val="20"/>
                <w:szCs w:val="20"/>
                <w:color w:val="auto"/>
              </w:rPr>
            </w:pPr>
            <w:r>
              <w:rPr>
                <w:rFonts w:ascii="Arial" w:cs="Arial" w:eastAsia="Arial" w:hAnsi="Arial"/>
                <w:sz w:val="14"/>
                <w:szCs w:val="14"/>
                <w:b w:val="1"/>
                <w:bCs w:val="1"/>
                <w:color w:val="auto"/>
                <w:w w:val="93"/>
              </w:rPr>
              <w:t>(State or Other Jurisdiction</w:t>
            </w:r>
          </w:p>
        </w:tc>
        <w:tc>
          <w:tcPr>
            <w:tcW w:w="2320" w:type="dxa"/>
            <w:vAlign w:val="bottom"/>
          </w:tcPr>
          <w:p>
            <w:pPr>
              <w:ind w:left="160"/>
              <w:spacing w:after="0" w:line="149" w:lineRule="exact"/>
              <w:rPr>
                <w:sz w:val="20"/>
                <w:szCs w:val="20"/>
                <w:color w:val="auto"/>
              </w:rPr>
            </w:pPr>
            <w:r>
              <w:rPr>
                <w:rFonts w:ascii="Arial" w:cs="Arial" w:eastAsia="Arial" w:hAnsi="Arial"/>
                <w:sz w:val="14"/>
                <w:szCs w:val="14"/>
                <w:b w:val="1"/>
                <w:bCs w:val="1"/>
                <w:color w:val="auto"/>
              </w:rPr>
              <w:t>(Commission</w:t>
            </w:r>
          </w:p>
        </w:tc>
        <w:tc>
          <w:tcPr>
            <w:tcW w:w="2440" w:type="dxa"/>
            <w:vAlign w:val="bottom"/>
          </w:tcPr>
          <w:p>
            <w:pPr>
              <w:jc w:val="center"/>
              <w:ind w:left="1241"/>
              <w:spacing w:after="0" w:line="149" w:lineRule="exact"/>
              <w:rPr>
                <w:sz w:val="20"/>
                <w:szCs w:val="20"/>
                <w:color w:val="auto"/>
              </w:rPr>
            </w:pPr>
            <w:r>
              <w:rPr>
                <w:rFonts w:ascii="Arial" w:cs="Arial" w:eastAsia="Arial" w:hAnsi="Arial"/>
                <w:sz w:val="14"/>
                <w:szCs w:val="14"/>
                <w:b w:val="1"/>
                <w:bCs w:val="1"/>
                <w:color w:val="auto"/>
                <w:w w:val="96"/>
              </w:rPr>
              <w:t>(I.R.S. Employer</w:t>
            </w:r>
          </w:p>
        </w:tc>
      </w:tr>
      <w:tr>
        <w:trPr>
          <w:trHeight w:val="186"/>
        </w:trPr>
        <w:tc>
          <w:tcPr>
            <w:tcW w:w="4040" w:type="dxa"/>
            <w:vAlign w:val="bottom"/>
          </w:tcPr>
          <w:p>
            <w:pPr>
              <w:jc w:val="center"/>
              <w:ind w:right="2259"/>
              <w:spacing w:after="0"/>
              <w:rPr>
                <w:sz w:val="20"/>
                <w:szCs w:val="20"/>
                <w:color w:val="auto"/>
              </w:rPr>
            </w:pPr>
            <w:r>
              <w:rPr>
                <w:rFonts w:ascii="Arial" w:cs="Arial" w:eastAsia="Arial" w:hAnsi="Arial"/>
                <w:sz w:val="14"/>
                <w:szCs w:val="14"/>
                <w:b w:val="1"/>
                <w:bCs w:val="1"/>
                <w:color w:val="auto"/>
                <w:w w:val="94"/>
              </w:rPr>
              <w:t>of Incorporation)</w:t>
            </w:r>
          </w:p>
        </w:tc>
        <w:tc>
          <w:tcPr>
            <w:tcW w:w="2320" w:type="dxa"/>
            <w:vAlign w:val="bottom"/>
          </w:tcPr>
          <w:p>
            <w:pPr>
              <w:ind w:left="160"/>
              <w:spacing w:after="0"/>
              <w:rPr>
                <w:sz w:val="20"/>
                <w:szCs w:val="20"/>
                <w:color w:val="auto"/>
              </w:rPr>
            </w:pPr>
            <w:r>
              <w:rPr>
                <w:rFonts w:ascii="Arial" w:cs="Arial" w:eastAsia="Arial" w:hAnsi="Arial"/>
                <w:sz w:val="14"/>
                <w:szCs w:val="14"/>
                <w:b w:val="1"/>
                <w:bCs w:val="1"/>
                <w:color w:val="auto"/>
              </w:rPr>
              <w:t>File Number)</w:t>
            </w:r>
          </w:p>
        </w:tc>
        <w:tc>
          <w:tcPr>
            <w:tcW w:w="2440" w:type="dxa"/>
            <w:vAlign w:val="bottom"/>
          </w:tcPr>
          <w:p>
            <w:pPr>
              <w:jc w:val="center"/>
              <w:ind w:left="1241"/>
              <w:spacing w:after="0"/>
              <w:rPr>
                <w:sz w:val="20"/>
                <w:szCs w:val="20"/>
                <w:color w:val="auto"/>
              </w:rPr>
            </w:pPr>
            <w:r>
              <w:rPr>
                <w:rFonts w:ascii="Arial" w:cs="Arial" w:eastAsia="Arial" w:hAnsi="Arial"/>
                <w:sz w:val="14"/>
                <w:szCs w:val="14"/>
                <w:b w:val="1"/>
                <w:bCs w:val="1"/>
                <w:color w:val="auto"/>
                <w:w w:val="94"/>
              </w:rPr>
              <w:t>Identification No.)</w:t>
            </w:r>
          </w:p>
        </w:tc>
      </w:tr>
      <w:tr>
        <w:trPr>
          <w:trHeight w:val="412"/>
        </w:trPr>
        <w:tc>
          <w:tcPr>
            <w:tcW w:w="4040" w:type="dxa"/>
            <w:vAlign w:val="bottom"/>
          </w:tcPr>
          <w:p>
            <w:pPr>
              <w:jc w:val="center"/>
              <w:ind w:left="1219"/>
              <w:spacing w:after="0"/>
              <w:rPr>
                <w:sz w:val="20"/>
                <w:szCs w:val="20"/>
                <w:color w:val="auto"/>
              </w:rPr>
            </w:pPr>
            <w:r>
              <w:rPr>
                <w:rFonts w:ascii="Arial" w:cs="Arial" w:eastAsia="Arial" w:hAnsi="Arial"/>
                <w:sz w:val="18"/>
                <w:szCs w:val="18"/>
                <w:b w:val="1"/>
                <w:bCs w:val="1"/>
                <w:color w:val="auto"/>
                <w:w w:val="93"/>
              </w:rPr>
              <w:t>6210 Ardrey Kell Road</w:t>
            </w:r>
          </w:p>
        </w:tc>
        <w:tc>
          <w:tcPr>
            <w:tcW w:w="2320" w:type="dxa"/>
            <w:vAlign w:val="bottom"/>
          </w:tcPr>
          <w:p>
            <w:pPr>
              <w:spacing w:after="0"/>
              <w:rPr>
                <w:sz w:val="24"/>
                <w:szCs w:val="24"/>
                <w:color w:val="auto"/>
              </w:rPr>
            </w:pPr>
          </w:p>
        </w:tc>
        <w:tc>
          <w:tcPr>
            <w:tcW w:w="2440" w:type="dxa"/>
            <w:vAlign w:val="bottom"/>
          </w:tcPr>
          <w:p>
            <w:pPr>
              <w:spacing w:after="0"/>
              <w:rPr>
                <w:sz w:val="24"/>
                <w:szCs w:val="24"/>
                <w:color w:val="auto"/>
              </w:rPr>
            </w:pPr>
          </w:p>
        </w:tc>
      </w:tr>
      <w:tr>
        <w:trPr>
          <w:trHeight w:val="225"/>
        </w:trPr>
        <w:tc>
          <w:tcPr>
            <w:tcW w:w="4040" w:type="dxa"/>
            <w:vAlign w:val="bottom"/>
          </w:tcPr>
          <w:p>
            <w:pPr>
              <w:jc w:val="center"/>
              <w:ind w:left="1239"/>
              <w:spacing w:after="0"/>
              <w:rPr>
                <w:sz w:val="20"/>
                <w:szCs w:val="20"/>
                <w:color w:val="auto"/>
              </w:rPr>
            </w:pPr>
            <w:r>
              <w:rPr>
                <w:rFonts w:ascii="Arial" w:cs="Arial" w:eastAsia="Arial" w:hAnsi="Arial"/>
                <w:sz w:val="18"/>
                <w:szCs w:val="18"/>
                <w:b w:val="1"/>
                <w:bCs w:val="1"/>
                <w:color w:val="auto"/>
                <w:w w:val="93"/>
              </w:rPr>
              <w:t>Charlotte, North Carolina</w:t>
            </w:r>
          </w:p>
        </w:tc>
        <w:tc>
          <w:tcPr>
            <w:tcW w:w="2320" w:type="dxa"/>
            <w:vAlign w:val="bottom"/>
          </w:tcPr>
          <w:p>
            <w:pPr>
              <w:spacing w:after="0"/>
              <w:rPr>
                <w:sz w:val="19"/>
                <w:szCs w:val="19"/>
                <w:color w:val="auto"/>
              </w:rPr>
            </w:pPr>
          </w:p>
        </w:tc>
        <w:tc>
          <w:tcPr>
            <w:tcW w:w="2440" w:type="dxa"/>
            <w:vAlign w:val="bottom"/>
          </w:tcPr>
          <w:p>
            <w:pPr>
              <w:jc w:val="right"/>
              <w:ind w:right="261"/>
              <w:spacing w:after="0"/>
              <w:rPr>
                <w:sz w:val="20"/>
                <w:szCs w:val="20"/>
                <w:color w:val="auto"/>
              </w:rPr>
            </w:pPr>
            <w:r>
              <w:rPr>
                <w:rFonts w:ascii="Arial" w:cs="Arial" w:eastAsia="Arial" w:hAnsi="Arial"/>
                <w:sz w:val="18"/>
                <w:szCs w:val="18"/>
                <w:b w:val="1"/>
                <w:bCs w:val="1"/>
                <w:color w:val="auto"/>
              </w:rPr>
              <w:t>28277</w:t>
            </w:r>
          </w:p>
        </w:tc>
      </w:tr>
      <w:tr>
        <w:trPr>
          <w:trHeight w:val="186"/>
        </w:trPr>
        <w:tc>
          <w:tcPr>
            <w:tcW w:w="4040" w:type="dxa"/>
            <w:vAlign w:val="bottom"/>
          </w:tcPr>
          <w:p>
            <w:pPr>
              <w:jc w:val="center"/>
              <w:ind w:left="1219"/>
              <w:spacing w:after="0"/>
              <w:rPr>
                <w:sz w:val="20"/>
                <w:szCs w:val="20"/>
                <w:color w:val="auto"/>
              </w:rPr>
            </w:pPr>
            <w:r>
              <w:rPr>
                <w:rFonts w:ascii="Arial" w:cs="Arial" w:eastAsia="Arial" w:hAnsi="Arial"/>
                <w:sz w:val="14"/>
                <w:szCs w:val="14"/>
                <w:b w:val="1"/>
                <w:bCs w:val="1"/>
                <w:color w:val="auto"/>
                <w:w w:val="91"/>
              </w:rPr>
              <w:t>(Address of principal executive offices)</w:t>
            </w:r>
          </w:p>
        </w:tc>
        <w:tc>
          <w:tcPr>
            <w:tcW w:w="2320" w:type="dxa"/>
            <w:vAlign w:val="bottom"/>
          </w:tcPr>
          <w:p>
            <w:pPr>
              <w:spacing w:after="0"/>
              <w:rPr>
                <w:sz w:val="16"/>
                <w:szCs w:val="16"/>
                <w:color w:val="auto"/>
              </w:rPr>
            </w:pPr>
          </w:p>
        </w:tc>
        <w:tc>
          <w:tcPr>
            <w:tcW w:w="2440" w:type="dxa"/>
            <w:vAlign w:val="bottom"/>
          </w:tcPr>
          <w:p>
            <w:pPr>
              <w:jc w:val="center"/>
              <w:ind w:left="1241"/>
              <w:spacing w:after="0"/>
              <w:rPr>
                <w:sz w:val="20"/>
                <w:szCs w:val="20"/>
                <w:color w:val="auto"/>
              </w:rPr>
            </w:pPr>
            <w:r>
              <w:rPr>
                <w:rFonts w:ascii="Arial" w:cs="Arial" w:eastAsia="Arial" w:hAnsi="Arial"/>
                <w:sz w:val="14"/>
                <w:szCs w:val="14"/>
                <w:b w:val="1"/>
                <w:bCs w:val="1"/>
                <w:color w:val="auto"/>
                <w:w w:val="98"/>
              </w:rPr>
              <w:t>(Zip Code)</w:t>
            </w:r>
          </w:p>
        </w:tc>
      </w:tr>
    </w:tbl>
    <w:p>
      <w:pPr>
        <w:spacing w:after="0" w:line="156"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(980) 264-4300</w:t>
      </w:r>
    </w:p>
    <w:p>
      <w:pPr>
        <w:spacing w:after="0" w:line="21" w:lineRule="exact"/>
        <w:rPr>
          <w:sz w:val="24"/>
          <w:szCs w:val="24"/>
          <w:color w:val="auto"/>
        </w:rPr>
      </w:pPr>
    </w:p>
    <w:p>
      <w:pPr>
        <w:jc w:val="center"/>
        <w:spacing w:after="0"/>
        <w:rPr>
          <w:sz w:val="20"/>
          <w:szCs w:val="20"/>
          <w:color w:val="auto"/>
        </w:rPr>
      </w:pPr>
      <w:r>
        <w:rPr>
          <w:rFonts w:ascii="Arial" w:cs="Arial" w:eastAsia="Arial" w:hAnsi="Arial"/>
          <w:sz w:val="14"/>
          <w:szCs w:val="14"/>
          <w:b w:val="1"/>
          <w:bCs w:val="1"/>
          <w:color w:val="auto"/>
        </w:rPr>
        <w:t>(Registrant’s telephone number, including area code)</w:t>
      </w:r>
    </w:p>
    <w:p>
      <w:pPr>
        <w:spacing w:after="0" w:line="200" w:lineRule="exact"/>
        <w:rPr>
          <w:sz w:val="24"/>
          <w:szCs w:val="24"/>
          <w:color w:val="auto"/>
        </w:rPr>
      </w:pPr>
    </w:p>
    <w:p>
      <w:pPr>
        <w:spacing w:after="0" w:line="204" w:lineRule="exact"/>
        <w:rPr>
          <w:sz w:val="24"/>
          <w:szCs w:val="24"/>
          <w:color w:val="auto"/>
        </w:rPr>
      </w:pPr>
    </w:p>
    <w:p>
      <w:pPr>
        <w:jc w:val="center"/>
        <w:spacing w:after="0"/>
        <w:rPr>
          <w:sz w:val="20"/>
          <w:szCs w:val="20"/>
          <w:color w:val="auto"/>
        </w:rPr>
      </w:pPr>
      <w:r>
        <w:rPr>
          <w:rFonts w:ascii="Arial" w:cs="Arial" w:eastAsia="Arial" w:hAnsi="Arial"/>
          <w:sz w:val="14"/>
          <w:szCs w:val="14"/>
          <w:b w:val="1"/>
          <w:bCs w:val="1"/>
          <w:color w:val="auto"/>
        </w:rPr>
        <w:t>(Former name or former address, if changed since last report)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2767965</wp:posOffset>
            </wp:positionH>
            <wp:positionV relativeFrom="paragraph">
              <wp:posOffset>212090</wp:posOffset>
            </wp:positionV>
            <wp:extent cx="1466215" cy="889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1466215" cy="8890"/>
                    </a:xfrm>
                    <a:prstGeom prst="rect">
                      <a:avLst/>
                    </a:prstGeom>
                    <a:noFill/>
                  </pic:spPr>
                </pic:pic>
              </a:graphicData>
            </a:graphic>
          </wp:anchor>
        </w:drawing>
      </w:r>
    </w:p>
    <w:p>
      <w:pPr>
        <w:spacing w:after="0" w:line="200" w:lineRule="exact"/>
        <w:rPr>
          <w:sz w:val="24"/>
          <w:szCs w:val="24"/>
          <w:color w:val="auto"/>
        </w:rPr>
      </w:pPr>
    </w:p>
    <w:p>
      <w:pPr>
        <w:spacing w:after="0" w:line="289" w:lineRule="exact"/>
        <w:rPr>
          <w:sz w:val="24"/>
          <w:szCs w:val="24"/>
          <w:color w:val="auto"/>
        </w:rPr>
      </w:pPr>
    </w:p>
    <w:p>
      <w:pPr>
        <w:ind w:right="200"/>
        <w:spacing w:after="0" w:line="277" w:lineRule="auto"/>
        <w:rPr>
          <w:sz w:val="20"/>
          <w:szCs w:val="20"/>
          <w:color w:val="auto"/>
        </w:rPr>
      </w:pPr>
      <w:r>
        <w:rPr>
          <w:rFonts w:ascii="Arial" w:cs="Arial" w:eastAsia="Arial" w:hAnsi="Arial"/>
          <w:sz w:val="18"/>
          <w:szCs w:val="18"/>
          <w:color w:val="auto"/>
        </w:rPr>
        <w:t>Check the appropriate box if the Form 8-K filing is intended to simultaneously satisfy the filing obligation of the registrant under any of the following provisions (see General Instruction A.2. below):</w:t>
      </w:r>
    </w:p>
    <w:p>
      <w:pPr>
        <w:spacing w:after="0" w:line="76" w:lineRule="exact"/>
        <w:rPr>
          <w:sz w:val="24"/>
          <w:szCs w:val="24"/>
          <w:color w:val="auto"/>
        </w:rPr>
      </w:pPr>
    </w:p>
    <w:p>
      <w:pPr>
        <w:ind w:left="440" w:hanging="436"/>
        <w:spacing w:after="0"/>
        <w:tabs>
          <w:tab w:leader="none" w:pos="44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Written communications pursuant to Rule 425 under the Securities Act (17 CFR 230.425)</w:t>
      </w:r>
    </w:p>
    <w:p>
      <w:pPr>
        <w:spacing w:after="0" w:line="130" w:lineRule="exact"/>
        <w:rPr>
          <w:rFonts w:ascii="MS PGothic" w:cs="MS PGothic" w:eastAsia="MS PGothic" w:hAnsi="MS PGothic"/>
          <w:sz w:val="18"/>
          <w:szCs w:val="18"/>
          <w:color w:val="auto"/>
        </w:rPr>
      </w:pPr>
    </w:p>
    <w:p>
      <w:pPr>
        <w:ind w:left="440" w:hanging="436"/>
        <w:spacing w:after="0"/>
        <w:tabs>
          <w:tab w:leader="none" w:pos="44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Soliciting material pursuant to Rule 14a-12 under the Exchange Act (17 CFR 240.14a-12)</w:t>
      </w:r>
    </w:p>
    <w:p>
      <w:pPr>
        <w:spacing w:after="0" w:line="130" w:lineRule="exact"/>
        <w:rPr>
          <w:rFonts w:ascii="MS PGothic" w:cs="MS PGothic" w:eastAsia="MS PGothic" w:hAnsi="MS PGothic"/>
          <w:sz w:val="18"/>
          <w:szCs w:val="18"/>
          <w:color w:val="auto"/>
        </w:rPr>
      </w:pPr>
    </w:p>
    <w:p>
      <w:pPr>
        <w:ind w:left="440" w:hanging="436"/>
        <w:spacing w:after="0"/>
        <w:tabs>
          <w:tab w:leader="none" w:pos="44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Pre-commencement communications pursuant to Rule 14d-2(b) under the Exchange Act (17 CFR 240.14d- 2(b))</w:t>
      </w:r>
    </w:p>
    <w:p>
      <w:pPr>
        <w:spacing w:after="0" w:line="130" w:lineRule="exact"/>
        <w:rPr>
          <w:rFonts w:ascii="MS PGothic" w:cs="MS PGothic" w:eastAsia="MS PGothic" w:hAnsi="MS PGothic"/>
          <w:sz w:val="18"/>
          <w:szCs w:val="18"/>
          <w:color w:val="auto"/>
        </w:rPr>
      </w:pPr>
    </w:p>
    <w:p>
      <w:pPr>
        <w:ind w:left="440" w:hanging="436"/>
        <w:spacing w:after="0"/>
        <w:tabs>
          <w:tab w:leader="none" w:pos="44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Pre-commencement communications pursuant to Rule 13e-4(c) under the Exchange Act (17 CFR 240.13e- 4(c))</w:t>
      </w:r>
    </w:p>
    <w:p>
      <w:pPr>
        <w:spacing w:after="0" w:line="198" w:lineRule="exact"/>
        <w:rPr>
          <w:sz w:val="24"/>
          <w:szCs w:val="24"/>
          <w:color w:val="auto"/>
        </w:rPr>
      </w:pPr>
    </w:p>
    <w:p>
      <w:pPr>
        <w:ind w:right="300"/>
        <w:spacing w:after="0" w:line="277" w:lineRule="auto"/>
        <w:rPr>
          <w:sz w:val="20"/>
          <w:szCs w:val="20"/>
          <w:color w:val="auto"/>
        </w:rPr>
      </w:pPr>
      <w:r>
        <w:rPr>
          <w:rFonts w:ascii="Arial" w:cs="Arial" w:eastAsia="Arial" w:hAnsi="Arial"/>
          <w:sz w:val="18"/>
          <w:szCs w:val="18"/>
          <w:color w:val="auto"/>
        </w:rPr>
        <w:t>Indicate by check mark whether the registrant is an emerging growth company as defined in Rule 405 of the Securities Act of 1933 (§230.405 of this chapter) or Rule 12b-2 of the Securities Exchange Act of 1934 (§240.12b-2 of this chapter).</w:t>
      </w:r>
    </w:p>
    <w:p>
      <w:pPr>
        <w:spacing w:after="0" w:line="97" w:lineRule="exact"/>
        <w:rPr>
          <w:sz w:val="24"/>
          <w:szCs w:val="24"/>
          <w:color w:val="auto"/>
        </w:rPr>
      </w:pPr>
    </w:p>
    <w:p>
      <w:pPr>
        <w:ind w:left="8780"/>
        <w:spacing w:after="0" w:line="184" w:lineRule="exact"/>
        <w:rPr>
          <w:sz w:val="20"/>
          <w:szCs w:val="20"/>
          <w:color w:val="auto"/>
        </w:rPr>
      </w:pPr>
      <w:r>
        <w:rPr>
          <w:rFonts w:ascii="Arial" w:cs="Arial" w:eastAsia="Arial" w:hAnsi="Arial"/>
          <w:sz w:val="16"/>
          <w:szCs w:val="16"/>
          <w:color w:val="auto"/>
        </w:rPr>
        <w:t xml:space="preserve">Emerging growth company. </w:t>
      </w:r>
      <w:r>
        <w:rPr>
          <w:rFonts w:ascii="MS PGothic" w:cs="MS PGothic" w:eastAsia="MS PGothic" w:hAnsi="MS PGothic"/>
          <w:sz w:val="16"/>
          <w:szCs w:val="16"/>
          <w:color w:val="auto"/>
        </w:rPr>
        <w:t>☐</w:t>
      </w:r>
    </w:p>
    <w:p>
      <w:pPr>
        <w:spacing w:after="0" w:line="240" w:lineRule="exact"/>
        <w:rPr>
          <w:sz w:val="24"/>
          <w:szCs w:val="24"/>
          <w:color w:val="auto"/>
        </w:rPr>
      </w:pPr>
    </w:p>
    <w:p>
      <w:pPr>
        <w:ind w:right="280"/>
        <w:spacing w:after="0" w:line="233" w:lineRule="exact"/>
        <w:rPr>
          <w:sz w:val="20"/>
          <w:szCs w:val="20"/>
          <w:color w:val="auto"/>
        </w:rPr>
      </w:pPr>
      <w:r>
        <w:rPr>
          <w:rFonts w:ascii="Arial" w:cs="Arial" w:eastAsia="Arial" w:hAnsi="Arial"/>
          <w:sz w:val="18"/>
          <w:szCs w:val="18"/>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8"/>
          <w:szCs w:val="18"/>
          <w:color w:val="auto"/>
        </w:rPr>
        <w: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133350</wp:posOffset>
            </wp:positionV>
            <wp:extent cx="6997700" cy="889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6997700" cy="8890"/>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176530</wp:posOffset>
            </wp:positionV>
            <wp:extent cx="6997700" cy="889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6997700" cy="8890"/>
                    </a:xfrm>
                    <a:prstGeom prst="rect">
                      <a:avLst/>
                    </a:prstGeom>
                    <a:noFill/>
                  </pic:spPr>
                </pic:pic>
              </a:graphicData>
            </a:graphic>
          </wp:anchor>
        </w:drawing>
      </w:r>
    </w:p>
    <w:p>
      <w:pPr>
        <w:sectPr>
          <w:pgSz w:w="11900" w:h="16838" w:orient="portrait"/>
          <w:cols w:equalWidth="0" w:num="1">
            <w:col w:w="11020"/>
          </w:cols>
          <w:pgMar w:left="440" w:top="368" w:right="439" w:bottom="1440" w:gutter="0" w:footer="0" w:header="0"/>
        </w:sectPr>
      </w:pPr>
    </w:p>
    <w:bookmarkStart w:id="1" w:name="page2"/>
    <w:bookmarkEnd w:id="1"/>
    <w:p>
      <w:pPr>
        <w:ind w:left="1320" w:hanging="1309"/>
        <w:spacing w:after="0" w:line="282" w:lineRule="auto"/>
        <w:tabs>
          <w:tab w:leader="none" w:pos="1300" w:val="left"/>
        </w:tabs>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289165" cy="38735"/>
                    </a:xfrm>
                    <a:prstGeom prst="rect">
                      <a:avLst/>
                    </a:prstGeom>
                    <a:noFill/>
                  </pic:spPr>
                </pic:pic>
              </a:graphicData>
            </a:graphic>
          </wp:anchor>
        </w:drawing>
        <w:t>ITEM 5.02.</w:t>
      </w:r>
      <w:r>
        <w:rPr>
          <w:sz w:val="20"/>
          <w:szCs w:val="20"/>
          <w:color w:val="auto"/>
        </w:rPr>
        <w:tab/>
      </w:r>
      <w:r>
        <w:rPr>
          <w:rFonts w:ascii="Arial" w:cs="Arial" w:eastAsia="Arial" w:hAnsi="Arial"/>
          <w:sz w:val="18"/>
          <w:szCs w:val="18"/>
          <w:b w:val="1"/>
          <w:bCs w:val="1"/>
          <w:color w:val="auto"/>
        </w:rPr>
        <w:t>DEPARTURE OF DIRECTORS OR CERTAIN OFFICERS; ELECTION OF DIRECTORS; APPOINTMENT OF CERTAIN OFFICERS; COMPENSATORY ARRANGEMENTS OF CERTAIN OFFICERS.</w:t>
      </w:r>
    </w:p>
    <w:p>
      <w:pPr>
        <w:spacing w:after="0" w:line="58" w:lineRule="exact"/>
        <w:rPr>
          <w:sz w:val="20"/>
          <w:szCs w:val="20"/>
          <w:color w:val="auto"/>
        </w:rPr>
      </w:pPr>
    </w:p>
    <w:p>
      <w:pPr>
        <w:ind w:right="120"/>
        <w:spacing w:after="0" w:line="264" w:lineRule="auto"/>
        <w:rPr>
          <w:sz w:val="20"/>
          <w:szCs w:val="20"/>
          <w:color w:val="auto"/>
        </w:rPr>
      </w:pPr>
      <w:r>
        <w:rPr>
          <w:rFonts w:ascii="Arial" w:cs="Arial" w:eastAsia="Arial" w:hAnsi="Arial"/>
          <w:sz w:val="18"/>
          <w:szCs w:val="18"/>
          <w:color w:val="auto"/>
        </w:rPr>
        <w:t>On February 1, 2019, NN, Inc. (the “Company”) announced that Thomas C. Burwell, Jr., the Company’s Senior Vice President, Chief Financial Officer and Treasurer, will be departing the Company. Mr. Burwell has agreed to remain in his current role and assist with an orderly transition while a search for a replacement is conducted. The Company will focus on external candidates to fill the role.</w:t>
      </w:r>
    </w:p>
    <w:p>
      <w:pPr>
        <w:spacing w:after="0" w:line="326" w:lineRule="exact"/>
        <w:rPr>
          <w:sz w:val="20"/>
          <w:szCs w:val="20"/>
          <w:color w:val="auto"/>
        </w:rPr>
      </w:pPr>
    </w:p>
    <w:p>
      <w:pPr>
        <w:spacing w:after="0"/>
        <w:tabs>
          <w:tab w:leader="none" w:pos="1300" w:val="left"/>
        </w:tabs>
        <w:rPr>
          <w:sz w:val="20"/>
          <w:szCs w:val="20"/>
          <w:color w:val="auto"/>
        </w:rPr>
      </w:pPr>
      <w:r>
        <w:rPr>
          <w:rFonts w:ascii="Arial" w:cs="Arial" w:eastAsia="Arial" w:hAnsi="Arial"/>
          <w:sz w:val="18"/>
          <w:szCs w:val="18"/>
          <w:b w:val="1"/>
          <w:bCs w:val="1"/>
          <w:color w:val="auto"/>
        </w:rPr>
        <w:t>ITEM 7.01.</w:t>
      </w:r>
      <w:r>
        <w:rPr>
          <w:sz w:val="20"/>
          <w:szCs w:val="20"/>
          <w:color w:val="auto"/>
        </w:rPr>
        <w:tab/>
      </w:r>
      <w:r>
        <w:rPr>
          <w:rFonts w:ascii="Arial" w:cs="Arial" w:eastAsia="Arial" w:hAnsi="Arial"/>
          <w:sz w:val="17"/>
          <w:szCs w:val="17"/>
          <w:b w:val="1"/>
          <w:bCs w:val="1"/>
          <w:color w:val="auto"/>
        </w:rPr>
        <w:t>REGULATION FD DISCLOSURE.</w:t>
      </w:r>
    </w:p>
    <w:p>
      <w:pPr>
        <w:spacing w:after="0" w:line="121" w:lineRule="exact"/>
        <w:rPr>
          <w:sz w:val="20"/>
          <w:szCs w:val="20"/>
          <w:color w:val="auto"/>
        </w:rPr>
      </w:pPr>
    </w:p>
    <w:p>
      <w:pPr>
        <w:ind w:right="460"/>
        <w:spacing w:after="0" w:line="277" w:lineRule="auto"/>
        <w:rPr>
          <w:sz w:val="20"/>
          <w:szCs w:val="20"/>
          <w:color w:val="auto"/>
        </w:rPr>
      </w:pPr>
      <w:r>
        <w:rPr>
          <w:rFonts w:ascii="Arial" w:cs="Arial" w:eastAsia="Arial" w:hAnsi="Arial"/>
          <w:sz w:val="18"/>
          <w:szCs w:val="18"/>
          <w:color w:val="auto"/>
        </w:rPr>
        <w:t>On February 1, 2019, the Company issued a press release announcing the transition. A copy of the press release is furnished as Exhibit 99.1 to this Current Report on Form 8-K.</w:t>
      </w:r>
    </w:p>
    <w:p>
      <w:pPr>
        <w:spacing w:after="0" w:line="170" w:lineRule="exact"/>
        <w:rPr>
          <w:sz w:val="20"/>
          <w:szCs w:val="20"/>
          <w:color w:val="auto"/>
        </w:rPr>
      </w:pPr>
    </w:p>
    <w:p>
      <w:pPr>
        <w:jc w:val="both"/>
        <w:ind w:right="80"/>
        <w:spacing w:after="0" w:line="259" w:lineRule="auto"/>
        <w:rPr>
          <w:sz w:val="20"/>
          <w:szCs w:val="20"/>
          <w:color w:val="auto"/>
        </w:rPr>
      </w:pPr>
      <w:r>
        <w:rPr>
          <w:rFonts w:ascii="Arial" w:cs="Arial" w:eastAsia="Arial" w:hAnsi="Arial"/>
          <w:sz w:val="18"/>
          <w:szCs w:val="18"/>
          <w:color w:val="auto"/>
        </w:rPr>
        <w:t>The information, including the press release, furnished under this Item 7.01 shall not be deemed “filed” for the purposes of Section 18 of the Securities Exchange Act of 1934, as amended (the “Exchange Act”), or otherwise subject to the liabilities of that section, and shall not be deemed incorporated by reference into any other filing by the Company under the Exchange Act or the Securities Act of 1933, as amended, except as otherwise expressly stated in such filing.</w:t>
      </w:r>
    </w:p>
    <w:p>
      <w:pPr>
        <w:spacing w:after="0" w:line="331" w:lineRule="exact"/>
        <w:rPr>
          <w:sz w:val="20"/>
          <w:szCs w:val="20"/>
          <w:color w:val="auto"/>
        </w:rPr>
      </w:pPr>
    </w:p>
    <w:p>
      <w:pPr>
        <w:spacing w:after="0"/>
        <w:tabs>
          <w:tab w:leader="none" w:pos="1300" w:val="left"/>
        </w:tabs>
        <w:rPr>
          <w:sz w:val="20"/>
          <w:szCs w:val="20"/>
          <w:color w:val="auto"/>
        </w:rPr>
      </w:pPr>
      <w:r>
        <w:rPr>
          <w:rFonts w:ascii="Arial" w:cs="Arial" w:eastAsia="Arial" w:hAnsi="Arial"/>
          <w:sz w:val="18"/>
          <w:szCs w:val="18"/>
          <w:b w:val="1"/>
          <w:bCs w:val="1"/>
          <w:color w:val="auto"/>
        </w:rPr>
        <w:t>ITEM 9.01.</w:t>
      </w:r>
      <w:r>
        <w:rPr>
          <w:sz w:val="20"/>
          <w:szCs w:val="20"/>
          <w:color w:val="auto"/>
        </w:rPr>
        <w:tab/>
      </w:r>
      <w:r>
        <w:rPr>
          <w:rFonts w:ascii="Arial" w:cs="Arial" w:eastAsia="Arial" w:hAnsi="Arial"/>
          <w:sz w:val="18"/>
          <w:szCs w:val="18"/>
          <w:b w:val="1"/>
          <w:bCs w:val="1"/>
          <w:color w:val="auto"/>
        </w:rPr>
        <w:t>FINANCIAL STATEMENTS AND EXHIBITS.</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(d) Exhibits</w:t>
      </w:r>
    </w:p>
    <w:p>
      <w:pPr>
        <w:spacing w:after="0" w:line="248" w:lineRule="exact"/>
        <w:rPr>
          <w:sz w:val="20"/>
          <w:szCs w:val="20"/>
          <w:color w:val="auto"/>
        </w:rPr>
      </w:pPr>
    </w:p>
    <w:p>
      <w:pPr>
        <w:ind w:left="40"/>
        <w:spacing w:after="0"/>
        <w:rPr>
          <w:sz w:val="20"/>
          <w:szCs w:val="20"/>
          <w:color w:val="auto"/>
        </w:rPr>
      </w:pPr>
      <w:r>
        <w:rPr>
          <w:rFonts w:ascii="Arial" w:cs="Arial" w:eastAsia="Arial" w:hAnsi="Arial"/>
          <w:sz w:val="14"/>
          <w:szCs w:val="14"/>
          <w:b w:val="1"/>
          <w:bCs w:val="1"/>
          <w:color w:val="auto"/>
        </w:rPr>
        <w:t>Exhibit</w:t>
      </w:r>
    </w:p>
    <w:p>
      <w:pPr>
        <w:spacing w:after="0" w:line="4" w:lineRule="exact"/>
        <w:rPr>
          <w:sz w:val="20"/>
          <w:szCs w:val="20"/>
          <w:color w:val="auto"/>
        </w:rPr>
      </w:pPr>
    </w:p>
    <w:p>
      <w:pPr>
        <w:ind w:left="160"/>
        <w:spacing w:after="0"/>
        <w:tabs>
          <w:tab w:leader="none" w:pos="1020" w:val="left"/>
        </w:tabs>
        <w:rPr>
          <w:sz w:val="20"/>
          <w:szCs w:val="20"/>
          <w:color w:val="auto"/>
        </w:rPr>
      </w:pPr>
      <w:r>
        <w:rPr>
          <w:rFonts w:ascii="Arial" w:cs="Arial" w:eastAsia="Arial" w:hAnsi="Arial"/>
          <w:sz w:val="14"/>
          <w:szCs w:val="14"/>
          <w:b w:val="1"/>
          <w:bCs w:val="1"/>
          <w:color w:val="auto"/>
        </w:rPr>
        <w:t>No.</w:t>
      </w:r>
      <w:r>
        <w:rPr>
          <w:sz w:val="20"/>
          <w:szCs w:val="20"/>
          <w:color w:val="auto"/>
        </w:rPr>
        <w:tab/>
      </w:r>
      <w:r>
        <w:rPr>
          <w:rFonts w:ascii="Arial" w:cs="Arial" w:eastAsia="Arial" w:hAnsi="Arial"/>
          <w:sz w:val="14"/>
          <w:szCs w:val="14"/>
          <w:b w:val="1"/>
          <w:bCs w:val="1"/>
          <w:u w:val="single" w:color="auto"/>
          <w:color w:val="auto"/>
        </w:rPr>
        <w:t>Description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-3175</wp:posOffset>
            </wp:positionV>
            <wp:extent cx="325755" cy="889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325755" cy="8890"/>
                    </a:xfrm>
                    <a:prstGeom prst="rect">
                      <a:avLst/>
                    </a:prstGeom>
                    <a:noFill/>
                  </pic:spPr>
                </pic:pic>
              </a:graphicData>
            </a:graphic>
          </wp:anchor>
        </w:drawing>
      </w:r>
    </w:p>
    <w:p>
      <w:pPr>
        <w:spacing w:after="0" w:line="81" w:lineRule="exact"/>
        <w:rPr>
          <w:sz w:val="20"/>
          <w:szCs w:val="20"/>
          <w:color w:val="auto"/>
        </w:rPr>
      </w:pPr>
    </w:p>
    <w:p>
      <w:pPr>
        <w:spacing w:after="0"/>
        <w:tabs>
          <w:tab w:leader="none" w:pos="1020" w:val="left"/>
        </w:tabs>
        <w:rPr>
          <w:rFonts w:ascii="Arial" w:cs="Arial" w:eastAsia="Arial" w:hAnsi="Arial"/>
          <w:sz w:val="16"/>
          <w:szCs w:val="16"/>
          <w:u w:val="single" w:color="auto"/>
          <w:color w:val="0000EE"/>
        </w:rPr>
      </w:pPr>
      <w:r>
        <w:rPr>
          <w:rFonts w:ascii="Arial" w:cs="Arial" w:eastAsia="Arial" w:hAnsi="Arial"/>
          <w:sz w:val="18"/>
          <w:szCs w:val="18"/>
          <w:color w:val="auto"/>
        </w:rPr>
        <w:t>99.1</w:t>
      </w:r>
      <w:r>
        <w:rPr>
          <w:sz w:val="20"/>
          <w:szCs w:val="20"/>
          <w:color w:val="auto"/>
        </w:rPr>
        <w:tab/>
      </w:r>
      <w:hyperlink w:anchor="page4">
        <w:r>
          <w:rPr>
            <w:rFonts w:ascii="Arial" w:cs="Arial" w:eastAsia="Arial" w:hAnsi="Arial"/>
            <w:sz w:val="16"/>
            <w:szCs w:val="16"/>
            <w:u w:val="single" w:color="auto"/>
            <w:color w:val="0000EE"/>
          </w:rPr>
          <w:t>Press release issued by NN, Inc. dated February 1, 2019</w:t>
        </w:r>
      </w:hyperlink>
    </w:p>
    <w:p>
      <w:pPr>
        <w:sectPr>
          <w:pgSz w:w="11900" w:h="16838" w:orient="portrait"/>
          <w:cols w:equalWidth="0" w:num="1">
            <w:col w:w="11020"/>
          </w:cols>
          <w:pgMar w:left="440" w:top="270" w:right="439" w:bottom="1440" w:gutter="0" w:footer="0" w:header="0"/>
        </w:sectPr>
      </w:pPr>
    </w:p>
    <w:bookmarkStart w:id="2" w:name="page3"/>
    <w:bookmarkEnd w:id="2"/>
    <w:p>
      <w:pPr>
        <w:jc w:val="center"/>
        <w:ind w:right="20"/>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289165" cy="38735"/>
                    </a:xfrm>
                    <a:prstGeom prst="rect">
                      <a:avLst/>
                    </a:prstGeom>
                    <a:noFill/>
                  </pic:spPr>
                </pic:pic>
              </a:graphicData>
            </a:graphic>
          </wp:anchor>
        </w:drawing>
        <w:t>SIGNATURES</w:t>
      </w:r>
    </w:p>
    <w:p>
      <w:pPr>
        <w:spacing w:after="0" w:line="229" w:lineRule="exact"/>
        <w:rPr>
          <w:sz w:val="20"/>
          <w:szCs w:val="20"/>
          <w:color w:val="auto"/>
        </w:rPr>
      </w:pPr>
    </w:p>
    <w:p>
      <w:pPr>
        <w:ind w:right="320" w:firstLine="441"/>
        <w:spacing w:after="0" w:line="277" w:lineRule="auto"/>
        <w:rPr>
          <w:sz w:val="20"/>
          <w:szCs w:val="20"/>
          <w:color w:val="auto"/>
        </w:rPr>
      </w:pPr>
      <w:r>
        <w:rPr>
          <w:rFonts w:ascii="Arial" w:cs="Arial" w:eastAsia="Arial" w:hAnsi="Arial"/>
          <w:sz w:val="18"/>
          <w:szCs w:val="18"/>
          <w:color w:val="auto"/>
        </w:rPr>
        <w:t>Pursuant to the requirements of the Securities Exchange Act of 1934, the registrant has duly caused this report to be signed on its behalf by the undersigned hereunto duly authorized.</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color w:val="auto"/>
        </w:rPr>
        <w:t>Date: February 4, 2019</w:t>
      </w:r>
    </w:p>
    <w:p>
      <w:pPr>
        <w:spacing w:after="0" w:line="248" w:lineRule="exact"/>
        <w:rPr>
          <w:sz w:val="20"/>
          <w:szCs w:val="20"/>
          <w:color w:val="auto"/>
        </w:rPr>
      </w:pPr>
    </w:p>
    <w:p>
      <w:pPr>
        <w:ind w:left="6620"/>
        <w:spacing w:after="0"/>
        <w:rPr>
          <w:sz w:val="20"/>
          <w:szCs w:val="20"/>
          <w:color w:val="auto"/>
        </w:rPr>
      </w:pPr>
      <w:r>
        <w:rPr>
          <w:rFonts w:ascii="Arial" w:cs="Arial" w:eastAsia="Arial" w:hAnsi="Arial"/>
          <w:sz w:val="18"/>
          <w:szCs w:val="18"/>
          <w:b w:val="1"/>
          <w:bCs w:val="1"/>
          <w:color w:val="auto"/>
        </w:rPr>
        <w:t>NN, INC.</w:t>
      </w:r>
    </w:p>
    <w:p>
      <w:pPr>
        <w:spacing w:after="0" w:line="229" w:lineRule="exact"/>
        <w:rPr>
          <w:sz w:val="20"/>
          <w:szCs w:val="20"/>
          <w:color w:val="auto"/>
        </w:rPr>
      </w:pPr>
    </w:p>
    <w:tbl>
      <w:tblPr>
        <w:tblLayout w:type="fixed"/>
        <w:tblInd w:w="6620" w:type="dxa"/>
        <w:tblCellMar>
          <w:top w:w="0" w:type="dxa"/>
          <w:left w:w="0" w:type="dxa"/>
          <w:bottom w:w="0" w:type="dxa"/>
          <w:right w:w="0" w:type="dxa"/>
        </w:tblCellMar>
      </w:tblPr>
      <w:tr>
        <w:trPr>
          <w:trHeight w:val="230"/>
        </w:trPr>
        <w:tc>
          <w:tcPr>
            <w:tcW w:w="580" w:type="dxa"/>
            <w:vAlign w:val="bottom"/>
          </w:tcPr>
          <w:p>
            <w:pPr>
              <w:spacing w:after="0"/>
              <w:rPr>
                <w:sz w:val="20"/>
                <w:szCs w:val="20"/>
                <w:color w:val="auto"/>
              </w:rPr>
            </w:pPr>
            <w:r>
              <w:rPr>
                <w:rFonts w:ascii="Arial" w:cs="Arial" w:eastAsia="Arial" w:hAnsi="Arial"/>
                <w:sz w:val="18"/>
                <w:szCs w:val="18"/>
                <w:color w:val="auto"/>
              </w:rPr>
              <w:t>By:</w:t>
            </w:r>
          </w:p>
        </w:tc>
        <w:tc>
          <w:tcPr>
            <w:tcW w:w="384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/s/ Matthew S. Heiter</w:t>
            </w:r>
          </w:p>
        </w:tc>
      </w:tr>
      <w:tr>
        <w:trPr>
          <w:trHeight w:val="209"/>
        </w:trPr>
        <w:tc>
          <w:tcPr>
            <w:tcW w:w="580" w:type="dxa"/>
            <w:vAlign w:val="bottom"/>
          </w:tcPr>
          <w:p>
            <w:pPr>
              <w:spacing w:after="0"/>
              <w:rPr>
                <w:sz w:val="20"/>
                <w:szCs w:val="20"/>
                <w:color w:val="auto"/>
              </w:rPr>
            </w:pPr>
            <w:r>
              <w:rPr>
                <w:rFonts w:ascii="Arial" w:cs="Arial" w:eastAsia="Arial" w:hAnsi="Arial"/>
                <w:sz w:val="18"/>
                <w:szCs w:val="18"/>
                <w:color w:val="auto"/>
              </w:rPr>
              <w:t>Name:</w:t>
            </w:r>
          </w:p>
        </w:tc>
        <w:tc>
          <w:tcPr>
            <w:tcW w:w="3840" w:type="dxa"/>
            <w:vAlign w:val="bottom"/>
          </w:tcPr>
          <w:p>
            <w:pPr>
              <w:spacing w:after="0"/>
              <w:rPr>
                <w:sz w:val="20"/>
                <w:szCs w:val="20"/>
                <w:color w:val="auto"/>
              </w:rPr>
            </w:pPr>
            <w:r>
              <w:rPr>
                <w:rFonts w:ascii="Arial" w:cs="Arial" w:eastAsia="Arial" w:hAnsi="Arial"/>
                <w:sz w:val="18"/>
                <w:szCs w:val="18"/>
                <w:color w:val="auto"/>
              </w:rPr>
              <w:t>Matthew S. Heiter</w:t>
            </w:r>
          </w:p>
        </w:tc>
      </w:tr>
      <w:tr>
        <w:trPr>
          <w:trHeight w:val="230"/>
        </w:trPr>
        <w:tc>
          <w:tcPr>
            <w:tcW w:w="580" w:type="dxa"/>
            <w:vAlign w:val="bottom"/>
          </w:tcPr>
          <w:p>
            <w:pPr>
              <w:spacing w:after="0"/>
              <w:rPr>
                <w:sz w:val="20"/>
                <w:szCs w:val="20"/>
                <w:color w:val="auto"/>
              </w:rPr>
            </w:pPr>
            <w:r>
              <w:rPr>
                <w:rFonts w:ascii="Arial" w:cs="Arial" w:eastAsia="Arial" w:hAnsi="Arial"/>
                <w:sz w:val="18"/>
                <w:szCs w:val="18"/>
                <w:color w:val="auto"/>
              </w:rPr>
              <w:t>Title:</w:t>
            </w:r>
          </w:p>
        </w:tc>
        <w:tc>
          <w:tcPr>
            <w:tcW w:w="3840" w:type="dxa"/>
            <w:vAlign w:val="bottom"/>
          </w:tcPr>
          <w:p>
            <w:pPr>
              <w:spacing w:after="0"/>
              <w:rPr>
                <w:sz w:val="20"/>
                <w:szCs w:val="20"/>
                <w:color w:val="auto"/>
              </w:rPr>
            </w:pPr>
            <w:r>
              <w:rPr>
                <w:rFonts w:ascii="Arial" w:cs="Arial" w:eastAsia="Arial" w:hAnsi="Arial"/>
                <w:sz w:val="18"/>
                <w:szCs w:val="18"/>
                <w:color w:val="auto"/>
              </w:rPr>
              <w:t>Senior Vice President, General Counsel</w:t>
            </w:r>
          </w:p>
        </w:tc>
      </w:tr>
    </w:tbl>
    <w:p>
      <w:pPr>
        <w:sectPr>
          <w:pgSz w:w="11900" w:h="16838" w:orient="portrait"/>
          <w:cols w:equalWidth="0" w:num="1">
            <w:col w:w="11040"/>
          </w:cols>
          <w:pgMar w:left="440" w:top="270" w:right="419" w:bottom="1440" w:gutter="0" w:footer="0" w:header="0"/>
        </w:sectPr>
      </w:pPr>
    </w:p>
    <w:bookmarkStart w:id="3" w:name="page4"/>
    <w:bookmarkEnd w:id="3"/>
    <w:p>
      <w:pPr>
        <w:jc w:val="right"/>
        <w:spacing w:after="0"/>
        <w:rPr>
          <w:sz w:val="20"/>
          <w:szCs w:val="20"/>
          <w:color w:val="auto"/>
        </w:rPr>
      </w:pPr>
      <w:r>
        <w:rPr>
          <w:rFonts w:ascii="Arial" w:cs="Arial" w:eastAsia="Arial" w:hAnsi="Arial"/>
          <w:sz w:val="18"/>
          <w:szCs w:val="18"/>
          <w:b w:val="1"/>
          <w:bCs w:val="1"/>
          <w:color w:val="auto"/>
        </w:rPr>
        <w:t>Exhibit 99.1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4577715</wp:posOffset>
            </wp:positionH>
            <wp:positionV relativeFrom="paragraph">
              <wp:posOffset>172085</wp:posOffset>
            </wp:positionV>
            <wp:extent cx="1844040" cy="557530"/>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1844040" cy="557530"/>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917575</wp:posOffset>
            </wp:positionV>
            <wp:extent cx="823595" cy="797560"/>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823595" cy="79756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0" w:lineRule="exact"/>
        <w:rPr>
          <w:sz w:val="20"/>
          <w:szCs w:val="20"/>
          <w:color w:val="auto"/>
        </w:rPr>
      </w:pPr>
    </w:p>
    <w:p>
      <w:pPr>
        <w:ind w:left="5760"/>
        <w:spacing w:after="0"/>
        <w:rPr>
          <w:sz w:val="20"/>
          <w:szCs w:val="20"/>
          <w:color w:val="auto"/>
        </w:rPr>
      </w:pPr>
      <w:r>
        <w:rPr>
          <w:rFonts w:ascii="Arial" w:cs="Arial" w:eastAsia="Arial" w:hAnsi="Arial"/>
          <w:sz w:val="18"/>
          <w:szCs w:val="18"/>
          <w:color w:val="auto"/>
        </w:rPr>
        <w:t>RE: NN, Inc.</w:t>
      </w:r>
    </w:p>
    <w:p>
      <w:pPr>
        <w:spacing w:after="0" w:line="23" w:lineRule="exact"/>
        <w:rPr>
          <w:sz w:val="20"/>
          <w:szCs w:val="20"/>
          <w:color w:val="auto"/>
        </w:rPr>
      </w:pPr>
    </w:p>
    <w:p>
      <w:pPr>
        <w:ind w:left="5760"/>
        <w:spacing w:after="0"/>
        <w:rPr>
          <w:sz w:val="20"/>
          <w:szCs w:val="20"/>
          <w:color w:val="auto"/>
        </w:rPr>
      </w:pPr>
      <w:r>
        <w:rPr>
          <w:rFonts w:ascii="Arial" w:cs="Arial" w:eastAsia="Arial" w:hAnsi="Arial"/>
          <w:sz w:val="18"/>
          <w:szCs w:val="18"/>
          <w:color w:val="auto"/>
        </w:rPr>
        <w:t>6210 Ardrey Kell Road</w:t>
      </w:r>
    </w:p>
    <w:p>
      <w:pPr>
        <w:spacing w:after="0" w:line="9" w:lineRule="exact"/>
        <w:rPr>
          <w:sz w:val="20"/>
          <w:szCs w:val="20"/>
          <w:color w:val="auto"/>
        </w:rPr>
      </w:pPr>
    </w:p>
    <w:p>
      <w:pPr>
        <w:ind w:left="5760"/>
        <w:spacing w:after="0"/>
        <w:rPr>
          <w:sz w:val="20"/>
          <w:szCs w:val="20"/>
          <w:color w:val="auto"/>
        </w:rPr>
      </w:pPr>
      <w:r>
        <w:rPr>
          <w:rFonts w:ascii="Arial" w:cs="Arial" w:eastAsia="Arial" w:hAnsi="Arial"/>
          <w:sz w:val="18"/>
          <w:szCs w:val="18"/>
          <w:color w:val="auto"/>
        </w:rPr>
        <w:t>Charlotte, NC 28177</w:t>
      </w:r>
    </w:p>
    <w:p>
      <w:pPr>
        <w:spacing w:after="0" w:line="224" w:lineRule="exact"/>
        <w:rPr>
          <w:sz w:val="20"/>
          <w:szCs w:val="20"/>
          <w:color w:val="auto"/>
        </w:rPr>
      </w:pPr>
    </w:p>
    <w:p>
      <w:pPr>
        <w:spacing w:after="0"/>
        <w:rPr>
          <w:sz w:val="20"/>
          <w:szCs w:val="20"/>
          <w:color w:val="auto"/>
        </w:rPr>
      </w:pPr>
      <w:r>
        <w:rPr>
          <w:rFonts w:ascii="Arial" w:cs="Arial" w:eastAsia="Arial" w:hAnsi="Arial"/>
          <w:sz w:val="18"/>
          <w:szCs w:val="18"/>
          <w:color w:val="auto"/>
        </w:rPr>
        <w:t>FOR FURTHER INFORMATION:</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AT ABERNATHY MACGREGOR</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Claire Walsh</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(General info)</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(212) 371-5999</w:t>
      </w:r>
    </w:p>
    <w:p>
      <w:pPr>
        <w:spacing w:after="0" w:line="20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FOR IMMEDIATE RELEASE</w:t>
      </w:r>
    </w:p>
    <w:p>
      <w:pPr>
        <w:spacing w:after="0" w:line="27" w:lineRule="exact"/>
        <w:rPr>
          <w:sz w:val="20"/>
          <w:szCs w:val="20"/>
          <w:color w:val="auto"/>
        </w:rPr>
      </w:pPr>
    </w:p>
    <w:p>
      <w:pPr>
        <w:spacing w:after="0"/>
        <w:rPr>
          <w:sz w:val="20"/>
          <w:szCs w:val="20"/>
          <w:color w:val="auto"/>
        </w:rPr>
      </w:pPr>
      <w:r>
        <w:rPr>
          <w:rFonts w:ascii="Arial" w:cs="Arial" w:eastAsia="Arial" w:hAnsi="Arial"/>
          <w:sz w:val="18"/>
          <w:szCs w:val="18"/>
          <w:color w:val="auto"/>
        </w:rPr>
        <w:t>February 1, 2019</w:t>
      </w:r>
    </w:p>
    <w:p>
      <w:pPr>
        <w:spacing w:after="0" w:line="20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NN, INC. ANNOUNCES CFO TRANSITION</w:t>
      </w:r>
    </w:p>
    <w:p>
      <w:pPr>
        <w:spacing w:after="0" w:line="225" w:lineRule="exact"/>
        <w:rPr>
          <w:sz w:val="20"/>
          <w:szCs w:val="20"/>
          <w:color w:val="auto"/>
        </w:rPr>
      </w:pPr>
    </w:p>
    <w:p>
      <w:pPr>
        <w:ind w:right="100"/>
        <w:spacing w:after="0" w:line="266" w:lineRule="auto"/>
        <w:rPr>
          <w:sz w:val="20"/>
          <w:szCs w:val="20"/>
          <w:color w:val="auto"/>
        </w:rPr>
      </w:pPr>
      <w:r>
        <w:rPr>
          <w:rFonts w:ascii="Arial" w:cs="Arial" w:eastAsia="Arial" w:hAnsi="Arial"/>
          <w:sz w:val="18"/>
          <w:szCs w:val="18"/>
          <w:b w:val="1"/>
          <w:bCs w:val="1"/>
          <w:color w:val="auto"/>
        </w:rPr>
        <w:t>Charlotte, NC February 1, 2019 –</w:t>
      </w:r>
      <w:r>
        <w:rPr>
          <w:rFonts w:ascii="Arial" w:cs="Arial" w:eastAsia="Arial" w:hAnsi="Arial"/>
          <w:sz w:val="18"/>
          <w:szCs w:val="18"/>
          <w:color w:val="auto"/>
        </w:rPr>
        <w:t>NN, Inc., (NASDAQ: NNBR) a diversified industrial company, today announced that Chief Financial Officer</w:t>
      </w:r>
      <w:r>
        <w:rPr>
          <w:rFonts w:ascii="Arial" w:cs="Arial" w:eastAsia="Arial" w:hAnsi="Arial"/>
          <w:sz w:val="18"/>
          <w:szCs w:val="18"/>
          <w:b w:val="1"/>
          <w:bCs w:val="1"/>
          <w:color w:val="auto"/>
        </w:rPr>
        <w:t xml:space="preserve"> </w:t>
      </w:r>
      <w:r>
        <w:rPr>
          <w:rFonts w:ascii="Arial" w:cs="Arial" w:eastAsia="Arial" w:hAnsi="Arial"/>
          <w:sz w:val="18"/>
          <w:szCs w:val="18"/>
          <w:color w:val="auto"/>
        </w:rPr>
        <w:t>Thomas C. Burwell will be departing from the company. Mr. Burwell has agreed to remain in his current role and assist with an orderly transition while a search for a replacement is conducted. NN will focus on external candidates to fill the role.</w:t>
      </w:r>
    </w:p>
    <w:p>
      <w:pPr>
        <w:spacing w:after="0" w:line="180" w:lineRule="exact"/>
        <w:rPr>
          <w:sz w:val="20"/>
          <w:szCs w:val="20"/>
          <w:color w:val="auto"/>
        </w:rPr>
      </w:pPr>
    </w:p>
    <w:p>
      <w:pPr>
        <w:ind w:right="120"/>
        <w:spacing w:after="0" w:line="286" w:lineRule="auto"/>
        <w:rPr>
          <w:sz w:val="20"/>
          <w:szCs w:val="20"/>
          <w:color w:val="auto"/>
        </w:rPr>
      </w:pPr>
      <w:r>
        <w:rPr>
          <w:rFonts w:ascii="Arial" w:cs="Arial" w:eastAsia="Arial" w:hAnsi="Arial"/>
          <w:sz w:val="17"/>
          <w:szCs w:val="17"/>
          <w:color w:val="auto"/>
        </w:rPr>
        <w:t>Richard Holder, President &amp; Chief Executive Officer, commented, “I want to thank Tom for the significant contributions he has made to NN over the last 13 plus years. He has been an important part of our transformation into the diversified industrial company we are today. As we enter the next phase of our strategic plan, we believe now is the right time to make this transition, and we wish Tom all the best in his future endeavors.”</w:t>
      </w:r>
    </w:p>
    <w:p>
      <w:pPr>
        <w:spacing w:after="0" w:line="166" w:lineRule="exact"/>
        <w:rPr>
          <w:sz w:val="20"/>
          <w:szCs w:val="20"/>
          <w:color w:val="auto"/>
        </w:rPr>
      </w:pPr>
    </w:p>
    <w:p>
      <w:pPr>
        <w:ind w:right="240"/>
        <w:spacing w:after="0" w:line="277" w:lineRule="auto"/>
        <w:rPr>
          <w:sz w:val="20"/>
          <w:szCs w:val="20"/>
          <w:color w:val="auto"/>
        </w:rPr>
      </w:pPr>
      <w:r>
        <w:rPr>
          <w:rFonts w:ascii="Arial" w:cs="Arial" w:eastAsia="Arial" w:hAnsi="Arial"/>
          <w:sz w:val="18"/>
          <w:szCs w:val="18"/>
          <w:color w:val="auto"/>
        </w:rPr>
        <w:t>Mr. Burwell added, “I have enjoyed my time at NN and believe the company is well positioned to deliver on its strategic objectives. I look forward to working with the team to ensure a smooth transition and wish the company continued success.”</w:t>
      </w:r>
    </w:p>
    <w:p>
      <w:pPr>
        <w:spacing w:after="0" w:line="170" w:lineRule="exact"/>
        <w:rPr>
          <w:sz w:val="20"/>
          <w:szCs w:val="20"/>
          <w:color w:val="auto"/>
        </w:rPr>
      </w:pPr>
    </w:p>
    <w:p>
      <w:pPr>
        <w:ind w:right="300"/>
        <w:spacing w:after="0" w:line="264" w:lineRule="auto"/>
        <w:rPr>
          <w:sz w:val="20"/>
          <w:szCs w:val="20"/>
          <w:color w:val="auto"/>
        </w:rPr>
      </w:pPr>
      <w:r>
        <w:rPr>
          <w:rFonts w:ascii="Arial" w:cs="Arial" w:eastAsia="Arial" w:hAnsi="Arial"/>
          <w:sz w:val="18"/>
          <w:szCs w:val="18"/>
          <w:color w:val="auto"/>
        </w:rPr>
        <w:t>NN, Inc., a diversified industrial company combines advanced engineering and production capabilities with in-depth materials science expertise to design and manufacture high-precision components and assemblies for a variety of markets on a global basis. NN has 51 facilities in North America, Western Europe, Eastern Europe, South America and China.</w:t>
      </w:r>
    </w:p>
    <w:p>
      <w:pPr>
        <w:spacing w:after="0" w:line="181" w:lineRule="exact"/>
        <w:rPr>
          <w:sz w:val="20"/>
          <w:szCs w:val="20"/>
          <w:color w:val="auto"/>
        </w:rPr>
      </w:pPr>
    </w:p>
    <w:p>
      <w:pPr>
        <w:ind w:right="80"/>
        <w:spacing w:after="0" w:line="273" w:lineRule="auto"/>
        <w:rPr>
          <w:sz w:val="20"/>
          <w:szCs w:val="20"/>
          <w:color w:val="auto"/>
        </w:rPr>
      </w:pPr>
      <w:r>
        <w:rPr>
          <w:rFonts w:ascii="Arial" w:cs="Arial" w:eastAsia="Arial" w:hAnsi="Arial"/>
          <w:sz w:val="17"/>
          <w:szCs w:val="17"/>
          <w:i w:val="1"/>
          <w:iCs w:val="1"/>
          <w:color w:val="auto"/>
        </w:rPr>
        <w:t>Except for specific historical information, many of the matters discussed in this press release may express or imply projections of revenues or expenditures, statements of plans and objectives or future operations or statements of future economic performance. These, and similar statements, are forward-looking statements concerning matters that involve risks, uncertainties and other factors which may cause the actual performance of NN, Inc. and its subsidiaries to differ materially from those expressed or implied by this discussion. All forward-looking information is provided by the Company pursuant to the safe harbor established under the Private Securities Litigation Reform Act of 1995 and should be evaluated in the context of these factors. Forward-looking statements generally can be identified by the use of forward-looking</w:t>
      </w:r>
    </w:p>
    <w:p>
      <w:pPr>
        <w:sectPr>
          <w:pgSz w:w="11900" w:h="16838" w:orient="portrait"/>
          <w:cols w:equalWidth="0" w:num="1">
            <w:col w:w="11020"/>
          </w:cols>
          <w:pgMar w:left="440" w:top="121" w:right="439" w:bottom="1440" w:gutter="0" w:footer="0" w:header="0"/>
        </w:sectPr>
      </w:pPr>
    </w:p>
    <w:bookmarkStart w:id="4" w:name="page5"/>
    <w:bookmarkEnd w:id="4"/>
    <w:p>
      <w:pPr>
        <w:spacing w:after="0" w:line="287" w:lineRule="auto"/>
        <w:rPr>
          <w:sz w:val="20"/>
          <w:szCs w:val="20"/>
          <w:color w:val="auto"/>
        </w:rPr>
      </w:pPr>
      <w:r>
        <w:rPr>
          <w:rFonts w:ascii="Arial" w:cs="Arial" w:eastAsia="Arial" w:hAnsi="Arial"/>
          <w:sz w:val="16"/>
          <w:szCs w:val="16"/>
          <w:i w:val="1"/>
          <w:i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289165" cy="38735"/>
                    </a:xfrm>
                    <a:prstGeom prst="rect">
                      <a:avLst/>
                    </a:prstGeom>
                    <a:noFill/>
                  </pic:spPr>
                </pic:pic>
              </a:graphicData>
            </a:graphic>
          </wp:anchor>
        </w:drawing>
        <w:t>terminology such as “assumptions”, “target”, “guidance”, “outlook”, “plans”, “projection”, “may”, “will”, “would”, “expect”, “intend”, “estimate”, “anticipate”, “believe”, “potential” or “continue” (or the negative or other derivatives of each of these terms) or similar terminology. Factors which could materially affect actual results include, but are not limited to: general economic conditions and economic conditions in the industrial sector, inventory levels, regulatory compliance costs and the Company’s ability to manage these costs, start-up costs for new operations, debt reduction, competitive influences, risks that current customers will commence or increase captive production, risks of capacity underutilization, quality issues, availability and price of raw materials, currency and other risks associated with international trade, the Company’s dependence on certain major customers, and the successful implementation of the global growth plan including development of new products. Similarly, statements made herein and elsewhere regarding pending and completed transactions are also forward-looking statements, including statements relating to the future performance and prospects of an acquired business, the expected benefits of an acquisition on the Company’s future business and operations and the ability of the Company to successfully integrate recently acquired businesses or the possibility that the Company will be unable to execute on the intended redeployment of proceeds from a divestiture, whether due to a lack of favorable investment opportunities or otherwise.</w:t>
      </w:r>
    </w:p>
    <w:p>
      <w:pPr>
        <w:spacing w:after="0" w:line="173" w:lineRule="exact"/>
        <w:rPr>
          <w:sz w:val="20"/>
          <w:szCs w:val="20"/>
          <w:color w:val="auto"/>
        </w:rPr>
      </w:pPr>
    </w:p>
    <w:p>
      <w:pPr>
        <w:ind w:right="100"/>
        <w:spacing w:after="0" w:line="279" w:lineRule="auto"/>
        <w:rPr>
          <w:sz w:val="20"/>
          <w:szCs w:val="20"/>
          <w:color w:val="auto"/>
        </w:rPr>
      </w:pPr>
      <w:r>
        <w:rPr>
          <w:rFonts w:ascii="Arial" w:cs="Arial" w:eastAsia="Arial" w:hAnsi="Arial"/>
          <w:sz w:val="17"/>
          <w:szCs w:val="17"/>
          <w:i w:val="1"/>
          <w:iCs w:val="1"/>
          <w:color w:val="auto"/>
        </w:rPr>
        <w:t>For additional information concerning such risk factors and cautionary statements, please see the section titled “Risk Factors” in the Company’s periodic reports filed with the Securities and Exchange Commission, including, but not limited to, the Company’s Annual Report on Form 10-K for the fiscal year ended December 31, 2017. Except as required by law, we undertake no obligation to update or revise any forward-looking statements we make in our press releases, whether as a result of new information, future events or otherwise.</w:t>
      </w:r>
    </w:p>
    <w:sectPr>
      <w:pgSz w:w="11900" w:h="16838" w:orient="portrait"/>
      <w:cols w:equalWidth="0" w:num="1">
        <w:col w:w="10940"/>
      </w:cols>
      <w:pgMar w:left="440" w:top="274" w:right="51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327B23C6"/>
    <w:multiLevelType w:val="hybridMultilevel"/>
    <w:lvl w:ilvl="0">
      <w:lvlJc w:val="left"/>
      <w:lvlText w:val="☐"/>
      <w:numFmt w:val="bullet"/>
      <w:start w:val="1"/>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jpe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jpeg"/><Relationship Id="rId22" Type="http://schemas.openxmlformats.org/officeDocument/2006/relationships/image" Target="media/image15.jpeg"/><Relationship Id="rId23" Type="http://schemas.openxmlformats.org/officeDocument/2006/relationships/image" Target="media/image16.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2019-12-28T16:58:38Z</dcterms:created>
  <dcterms:modified xsi:type="dcterms:W3CDTF">2019-12-28T16:58:38Z</dcterms:modified>
</cp:coreProperties>
</file>