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WASHINGTON, D.C. 20549</w:t>
      </w:r>
    </w:p>
    <w:p>
      <w:pPr>
        <w:spacing w:after="0" w:line="203" w:lineRule="exact"/>
        <w:rPr>
          <w:sz w:val="24"/>
          <w:szCs w:val="24"/>
          <w:color w:val="auto"/>
        </w:rPr>
      </w:pPr>
    </w:p>
    <w:p>
      <w:pPr>
        <w:jc w:val="center"/>
        <w:ind w:right="-79"/>
        <w:spacing w:after="0"/>
        <w:rPr>
          <w:sz w:val="20"/>
          <w:szCs w:val="20"/>
          <w:color w:val="auto"/>
        </w:rPr>
      </w:pPr>
      <w:r>
        <w:rPr>
          <w:rFonts w:ascii="Arial" w:cs="Arial" w:eastAsia="Arial" w:hAnsi="Arial"/>
          <w:sz w:val="32"/>
          <w:szCs w:val="32"/>
          <w:color w:val="auto"/>
        </w:rPr>
        <w:t>SCHEDULE 13G*</w:t>
      </w:r>
    </w:p>
    <w:p>
      <w:pPr>
        <w:spacing w:after="0" w:line="32"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(Rule 13d-102)</w:t>
      </w:r>
    </w:p>
    <w:p>
      <w:pPr>
        <w:spacing w:after="0" w:line="236"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INFORMATION TO BE INCLUDED</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IN STATEMENTS FILED PURSUANT</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TO RULES 13d-1(b), (c), AND</w:t>
      </w:r>
    </w:p>
    <w:p>
      <w:pPr>
        <w:spacing w:after="0" w:line="9" w:lineRule="exact"/>
        <w:rPr>
          <w:sz w:val="24"/>
          <w:szCs w:val="24"/>
          <w:color w:val="auto"/>
        </w:rPr>
      </w:pPr>
    </w:p>
    <w:p>
      <w:pPr>
        <w:jc w:val="both"/>
        <w:ind w:left="4340" w:right="4240" w:hanging="37"/>
        <w:spacing w:after="0" w:line="265" w:lineRule="auto"/>
        <w:tabs>
          <w:tab w:leader="none" w:pos="4568" w:val="left"/>
        </w:tabs>
        <w:numPr>
          <w:ilvl w:val="0"/>
          <w:numId w:val="1"/>
        </w:numPr>
        <w:rPr>
          <w:rFonts w:ascii="Arial" w:cs="Arial" w:eastAsia="Arial" w:hAnsi="Arial"/>
          <w:sz w:val="17"/>
          <w:szCs w:val="17"/>
          <w:color w:val="auto"/>
        </w:rPr>
      </w:pPr>
      <w:r>
        <w:rPr>
          <w:rFonts w:ascii="Arial" w:cs="Arial" w:eastAsia="Arial" w:hAnsi="Arial"/>
          <w:sz w:val="17"/>
          <w:szCs w:val="17"/>
          <w:color w:val="auto"/>
        </w:rPr>
        <w:t>AND AMENDMENTS THERETO FILED PURSUANT TO RULE 13d-2</w:t>
      </w:r>
    </w:p>
    <w:p>
      <w:pPr>
        <w:ind w:left="4740"/>
        <w:spacing w:after="0"/>
        <w:rPr>
          <w:rFonts w:ascii="Arial" w:cs="Arial" w:eastAsia="Arial" w:hAnsi="Arial"/>
          <w:sz w:val="17"/>
          <w:szCs w:val="17"/>
          <w:color w:val="auto"/>
        </w:rPr>
      </w:pPr>
      <w:r>
        <w:rPr>
          <w:rFonts w:ascii="Arial" w:cs="Arial" w:eastAsia="Arial" w:hAnsi="Arial"/>
          <w:sz w:val="18"/>
          <w:szCs w:val="18"/>
          <w:color w:val="auto"/>
        </w:rPr>
        <w:t>(AMENDMENT NO.   )*</w:t>
      </w:r>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43"/>
          <w:szCs w:val="43"/>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Issuer)</w:t>
      </w:r>
    </w:p>
    <w:p>
      <w:pPr>
        <w:spacing w:after="0" w:line="27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(Title of Class of Securities)</w:t>
      </w:r>
    </w:p>
    <w:p>
      <w:pPr>
        <w:spacing w:after="0" w:line="266"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(Date of Event Which Requires Filing of this Statement)</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47" w:lineRule="exact"/>
        <w:rPr>
          <w:sz w:val="24"/>
          <w:szCs w:val="24"/>
          <w:color w:val="auto"/>
        </w:rPr>
      </w:pPr>
    </w:p>
    <w:p>
      <w:pPr>
        <w:jc w:val="both"/>
        <w:ind w:right="9900" w:firstLine="8"/>
        <w:spacing w:after="0" w:line="271" w:lineRule="exact"/>
        <w:tabs>
          <w:tab w:leader="none" w:pos="243" w:val="left"/>
        </w:tabs>
        <w:numPr>
          <w:ilvl w:val="0"/>
          <w:numId w:val="2"/>
        </w:numPr>
        <w:rPr>
          <w:rFonts w:ascii="MS PGothic" w:cs="MS PGothic" w:eastAsia="MS PGothic" w:hAnsi="MS PGothic"/>
          <w:sz w:val="19"/>
          <w:szCs w:val="19"/>
          <w:color w:val="auto"/>
        </w:rPr>
      </w:pPr>
      <w:r>
        <w:rPr>
          <w:rFonts w:ascii="Arial" w:cs="Arial" w:eastAsia="Arial" w:hAnsi="Arial"/>
          <w:sz w:val="19"/>
          <w:szCs w:val="19"/>
          <w:color w:val="auto"/>
        </w:rPr>
        <w:t xml:space="preserve">Rule 13d-1(b) </w:t>
      </w:r>
      <w:r>
        <w:rPr>
          <w:rFonts w:ascii="MS PGothic" w:cs="MS PGothic" w:eastAsia="MS PGothic" w:hAnsi="MS PGothic"/>
          <w:sz w:val="19"/>
          <w:szCs w:val="19"/>
          <w:color w:val="auto"/>
        </w:rPr>
        <w:t>☐</w:t>
      </w:r>
      <w:r>
        <w:rPr>
          <w:rFonts w:ascii="Arial" w:cs="Arial" w:eastAsia="Arial" w:hAnsi="Arial"/>
          <w:sz w:val="19"/>
          <w:szCs w:val="19"/>
          <w:color w:val="auto"/>
        </w:rPr>
        <w:t xml:space="preserve"> Rule 13d-1(c) </w:t>
      </w:r>
      <w:r>
        <w:rPr>
          <w:rFonts w:ascii="MS PGothic" w:cs="MS PGothic" w:eastAsia="MS PGothic" w:hAnsi="MS PGothic"/>
          <w:sz w:val="19"/>
          <w:szCs w:val="19"/>
          <w:color w:val="auto"/>
        </w:rPr>
        <w:t>☐</w:t>
      </w:r>
      <w:r>
        <w:rPr>
          <w:rFonts w:ascii="Arial" w:cs="Arial" w:eastAsia="Arial" w:hAnsi="Arial"/>
          <w:sz w:val="19"/>
          <w:szCs w:val="19"/>
          <w:color w:val="auto"/>
        </w:rPr>
        <w:t xml:space="preserve"> Rule 13d-1(d)</w:t>
      </w:r>
    </w:p>
    <w:p>
      <w:pPr>
        <w:spacing w:after="0" w:line="188" w:lineRule="exact"/>
        <w:rPr>
          <w:sz w:val="24"/>
          <w:szCs w:val="24"/>
          <w:color w:val="auto"/>
        </w:rPr>
      </w:pPr>
    </w:p>
    <w:p>
      <w:pPr>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3" w:lineRule="exact"/>
        <w:rPr>
          <w:sz w:val="24"/>
          <w:szCs w:val="24"/>
          <w:color w:val="auto"/>
        </w:rPr>
      </w:pPr>
    </w:p>
    <w:p>
      <w:pPr>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2720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680720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892" w:right="299" w:bottom="1440" w:gutter="0" w:footer="0" w:header="0"/>
        </w:sectPr>
      </w:pPr>
    </w:p>
    <w:bookmarkStart w:id="1" w:name="page2"/>
    <w:bookmarkEnd w:id="1"/>
    <w:p>
      <w:pPr>
        <w:ind w:left="1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64662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6466205"/>
                    </a:xfrm>
                    <a:prstGeom prst="rect">
                      <a:avLst/>
                    </a:prstGeom>
                    <a:noFill/>
                  </pic:spPr>
                </pic:pic>
              </a:graphicData>
            </a:graphic>
          </wp:anchor>
        </w:drawing>
        <w:t>NAMES OF REPORTING PERSONS</w:t>
      </w:r>
    </w:p>
    <w:p>
      <w:pPr>
        <w:spacing w:after="0" w:line="63" w:lineRule="exact"/>
        <w:rPr>
          <w:sz w:val="20"/>
          <w:szCs w:val="20"/>
          <w:color w:val="auto"/>
        </w:rPr>
      </w:pPr>
    </w:p>
    <w:p>
      <w:pPr>
        <w:ind w:left="1440" w:right="4100" w:hanging="817"/>
        <w:spacing w:after="0" w:line="181" w:lineRule="auto"/>
        <w:tabs>
          <w:tab w:leader="none" w:pos="1431" w:val="left"/>
        </w:tabs>
        <w:numPr>
          <w:ilvl w:val="0"/>
          <w:numId w:val="3"/>
        </w:numPr>
        <w:rPr>
          <w:rFonts w:ascii="Arial" w:cs="Arial" w:eastAsia="Arial" w:hAnsi="Arial"/>
          <w:sz w:val="45"/>
          <w:szCs w:val="45"/>
          <w:b w:val="1"/>
          <w:bCs w:val="1"/>
          <w:color w:val="auto"/>
          <w:vertAlign w:val="subscript"/>
        </w:rPr>
      </w:pPr>
      <w:r>
        <w:rPr>
          <w:rFonts w:ascii="Arial" w:cs="Arial" w:eastAsia="Arial" w:hAnsi="Arial"/>
          <w:sz w:val="16"/>
          <w:szCs w:val="16"/>
          <w:b w:val="1"/>
          <w:bCs w:val="1"/>
          <w:color w:val="auto"/>
        </w:rPr>
        <w:t xml:space="preserve">I.R.S. IDENTIFICATION NOS. OF ABOVE PERSONS (ENTITIES ONLY) </w:t>
      </w:r>
      <w:r>
        <w:rPr>
          <w:rFonts w:ascii="Arial" w:cs="Arial" w:eastAsia="Arial" w:hAnsi="Arial"/>
          <w:sz w:val="16"/>
          <w:szCs w:val="16"/>
          <w:color w:val="auto"/>
        </w:rPr>
        <w:t>RE Advisers Corporation (52-1694000)</w:t>
      </w:r>
    </w:p>
    <w:p>
      <w:pPr>
        <w:spacing w:after="0" w:line="2" w:lineRule="exact"/>
        <w:rPr>
          <w:rFonts w:ascii="Arial" w:cs="Arial" w:eastAsia="Arial" w:hAnsi="Arial"/>
          <w:sz w:val="45"/>
          <w:szCs w:val="45"/>
          <w:b w:val="1"/>
          <w:bCs w:val="1"/>
          <w:color w:val="auto"/>
          <w:vertAlign w:val="subscript"/>
        </w:rPr>
      </w:pPr>
    </w:p>
    <w:p>
      <w:pPr>
        <w:ind w:left="1440"/>
        <w:spacing w:after="0"/>
        <w:rPr>
          <w:rFonts w:ascii="Arial" w:cs="Arial" w:eastAsia="Arial" w:hAnsi="Arial"/>
          <w:sz w:val="45"/>
          <w:szCs w:val="45"/>
          <w:b w:val="1"/>
          <w:bCs w:val="1"/>
          <w:color w:val="auto"/>
          <w:vertAlign w:val="subscript"/>
        </w:rPr>
      </w:pPr>
      <w:r>
        <w:rPr>
          <w:rFonts w:ascii="Arial" w:cs="Arial" w:eastAsia="Arial" w:hAnsi="Arial"/>
          <w:sz w:val="18"/>
          <w:szCs w:val="18"/>
          <w:color w:val="auto"/>
        </w:rPr>
        <w:t>National Rural Electric Cooperative Association ("NRECA") (53-0116145)</w:t>
      </w:r>
    </w:p>
    <w:p>
      <w:pPr>
        <w:spacing w:after="0" w:line="8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CHECK THE APPROPRIATE BOX IF A MEMBER OF A GROUP</w:t>
      </w:r>
    </w:p>
    <w:p>
      <w:pPr>
        <w:ind w:left="1420" w:hanging="797"/>
        <w:spacing w:after="0" w:line="322" w:lineRule="exact"/>
        <w:tabs>
          <w:tab w:leader="none" w:pos="142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p>
      <w:pPr>
        <w:spacing w:after="0" w:line="36" w:lineRule="exact"/>
        <w:rPr>
          <w:rFonts w:ascii="Arial" w:cs="Arial" w:eastAsia="Arial" w:hAnsi="Arial"/>
          <w:sz w:val="32"/>
          <w:szCs w:val="32"/>
          <w:b w:val="1"/>
          <w:bCs w:val="1"/>
          <w:color w:val="auto"/>
        </w:rPr>
      </w:pPr>
    </w:p>
    <w:p>
      <w:pPr>
        <w:ind w:left="1420"/>
        <w:spacing w:after="0" w:line="207" w:lineRule="exact"/>
        <w:rPr>
          <w:rFonts w:ascii="Arial" w:cs="Arial" w:eastAsia="Arial" w:hAnsi="Arial"/>
          <w:sz w:val="32"/>
          <w:szCs w:val="32"/>
          <w:b w:val="1"/>
          <w:bCs w:val="1"/>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p>
      <w:pPr>
        <w:spacing w:after="0" w:line="51" w:lineRule="exact"/>
        <w:rPr>
          <w:rFonts w:ascii="Arial" w:cs="Arial" w:eastAsia="Arial" w:hAnsi="Arial"/>
          <w:sz w:val="32"/>
          <w:szCs w:val="32"/>
          <w:b w:val="1"/>
          <w:bCs w:val="1"/>
          <w:color w:val="auto"/>
        </w:rPr>
      </w:pPr>
    </w:p>
    <w:p>
      <w:pPr>
        <w:ind w:left="1420"/>
        <w:spacing w:after="0"/>
        <w:rPr>
          <w:rFonts w:ascii="Arial" w:cs="Arial" w:eastAsia="Arial" w:hAnsi="Arial"/>
          <w:sz w:val="32"/>
          <w:szCs w:val="32"/>
          <w:b w:val="1"/>
          <w:bCs w:val="1"/>
          <w:color w:val="auto"/>
        </w:rPr>
      </w:pPr>
      <w:r>
        <w:rPr>
          <w:rFonts w:ascii="Arial" w:cs="Arial" w:eastAsia="Arial" w:hAnsi="Arial"/>
          <w:sz w:val="18"/>
          <w:szCs w:val="18"/>
          <w:b w:val="1"/>
          <w:bCs w:val="1"/>
          <w:color w:val="auto"/>
        </w:rPr>
        <w:t>SEC USE ONLY</w:t>
      </w:r>
    </w:p>
    <w:p>
      <w:pPr>
        <w:ind w:left="620"/>
        <w:spacing w:after="0"/>
        <w:rPr>
          <w:sz w:val="20"/>
          <w:szCs w:val="20"/>
          <w:color w:val="auto"/>
        </w:rPr>
      </w:pPr>
      <w:r>
        <w:rPr>
          <w:rFonts w:ascii="Arial" w:cs="Arial" w:eastAsia="Arial" w:hAnsi="Arial"/>
          <w:sz w:val="32"/>
          <w:szCs w:val="32"/>
          <w:b w:val="1"/>
          <w:bCs w:val="1"/>
          <w:color w:val="auto"/>
        </w:rPr>
        <w:t>3</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10020" w:type="dxa"/>
            <w:vAlign w:val="bottom"/>
            <w:gridSpan w:val="3"/>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05"/>
        </w:trPr>
        <w:tc>
          <w:tcPr>
            <w:tcW w:w="1400" w:type="dxa"/>
            <w:vAlign w:val="bottom"/>
            <w:vMerge w:val="continue"/>
          </w:tcPr>
          <w:p>
            <w:pPr>
              <w:spacing w:after="0"/>
              <w:rPr>
                <w:sz w:val="24"/>
                <w:szCs w:val="24"/>
                <w:color w:val="auto"/>
              </w:rPr>
            </w:pPr>
          </w:p>
        </w:tc>
        <w:tc>
          <w:tcPr>
            <w:tcW w:w="10020" w:type="dxa"/>
            <w:vAlign w:val="bottom"/>
            <w:gridSpan w:val="3"/>
          </w:tcPr>
          <w:p>
            <w:pPr>
              <w:ind w:left="40"/>
              <w:spacing w:after="0"/>
              <w:rPr>
                <w:sz w:val="20"/>
                <w:szCs w:val="20"/>
                <w:color w:val="auto"/>
              </w:rPr>
            </w:pPr>
            <w:r>
              <w:rPr>
                <w:rFonts w:ascii="Arial" w:cs="Arial" w:eastAsia="Arial" w:hAnsi="Arial"/>
                <w:sz w:val="18"/>
                <w:szCs w:val="18"/>
                <w:color w:val="auto"/>
              </w:rPr>
              <w:t>RE Advisers Corporation, Virginia; NRECA, District of Columbia</w:t>
            </w: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w w:val="89"/>
              </w:rPr>
              <w:t>5</w:t>
            </w:r>
          </w:p>
        </w:tc>
        <w:tc>
          <w:tcPr>
            <w:tcW w:w="914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vMerge w:val="continue"/>
          </w:tcPr>
          <w:p>
            <w:pPr>
              <w:spacing w:after="0"/>
              <w:rPr>
                <w:sz w:val="24"/>
                <w:szCs w:val="24"/>
                <w:color w:val="auto"/>
              </w:rPr>
            </w:pPr>
          </w:p>
        </w:tc>
        <w:tc>
          <w:tcPr>
            <w:tcW w:w="9140" w:type="dxa"/>
            <w:vAlign w:val="bottom"/>
          </w:tcPr>
          <w:p>
            <w:pPr>
              <w:ind w:left="40"/>
              <w:spacing w:after="0"/>
              <w:rPr>
                <w:sz w:val="20"/>
                <w:szCs w:val="20"/>
                <w:color w:val="auto"/>
              </w:rPr>
            </w:pPr>
            <w:r>
              <w:rPr>
                <w:rFonts w:ascii="Arial" w:cs="Arial" w:eastAsia="Arial" w:hAnsi="Arial"/>
                <w:sz w:val="18"/>
                <w:szCs w:val="18"/>
                <w:color w:val="auto"/>
              </w:rPr>
              <w:t>2,397,250</w:t>
            </w: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9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w w:val="89"/>
              </w:rPr>
              <w:t>6</w:t>
            </w:r>
          </w:p>
        </w:tc>
        <w:tc>
          <w:tcPr>
            <w:tcW w:w="914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58"/>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20" w:type="dxa"/>
            <w:vAlign w:val="bottom"/>
            <w:tcBorders>
              <w:right w:val="single" w:sz="8" w:color="auto"/>
            </w:tcBorders>
            <w:vMerge w:val="continue"/>
          </w:tcPr>
          <w:p>
            <w:pPr>
              <w:spacing w:after="0"/>
              <w:rPr>
                <w:sz w:val="22"/>
                <w:szCs w:val="22"/>
                <w:color w:val="auto"/>
              </w:rPr>
            </w:pPr>
          </w:p>
        </w:tc>
        <w:tc>
          <w:tcPr>
            <w:tcW w:w="914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6"/>
        </w:trPr>
        <w:tc>
          <w:tcPr>
            <w:tcW w:w="2060" w:type="dxa"/>
            <w:vAlign w:val="bottom"/>
            <w:tcBorders>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220" w:type="dxa"/>
            <w:vAlign w:val="bottom"/>
            <w:tcBorders>
              <w:right w:val="single" w:sz="8" w:color="auto"/>
            </w:tcBorders>
          </w:tcPr>
          <w:p>
            <w:pPr>
              <w:spacing w:after="0"/>
              <w:rPr>
                <w:sz w:val="17"/>
                <w:szCs w:val="17"/>
                <w:color w:val="auto"/>
              </w:rPr>
            </w:pPr>
          </w:p>
        </w:tc>
        <w:tc>
          <w:tcPr>
            <w:tcW w:w="9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3"/>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20" w:type="dxa"/>
            <w:vAlign w:val="bottom"/>
            <w:tcBorders>
              <w:bottom w:val="single" w:sz="8" w:color="auto"/>
              <w:right w:val="single" w:sz="8" w:color="auto"/>
            </w:tcBorders>
          </w:tcPr>
          <w:p>
            <w:pPr>
              <w:spacing w:after="0"/>
              <w:rPr>
                <w:sz w:val="9"/>
                <w:szCs w:val="9"/>
                <w:color w:val="auto"/>
              </w:rPr>
            </w:pPr>
          </w:p>
        </w:tc>
        <w:tc>
          <w:tcPr>
            <w:tcW w:w="9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060" w:type="dxa"/>
            <w:vAlign w:val="bottom"/>
            <w:tcBorders>
              <w:right w:val="single" w:sz="8" w:color="auto"/>
            </w:tcBorders>
            <w:gridSpan w:val="2"/>
            <w:vMerge w:val="continue"/>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91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22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w w:val="89"/>
              </w:rPr>
              <w:t>7</w:t>
            </w:r>
          </w:p>
        </w:tc>
        <w:tc>
          <w:tcPr>
            <w:tcW w:w="9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060" w:type="dxa"/>
            <w:vAlign w:val="bottom"/>
            <w:tcBorders>
              <w:right w:val="single" w:sz="8" w:color="auto"/>
            </w:tcBorders>
            <w:gridSpan w:val="2"/>
            <w:vMerge w:val="continue"/>
          </w:tcPr>
          <w:p>
            <w:pPr>
              <w:spacing w:after="0"/>
              <w:rPr>
                <w:sz w:val="5"/>
                <w:szCs w:val="5"/>
                <w:color w:val="auto"/>
              </w:rPr>
            </w:pPr>
          </w:p>
        </w:tc>
        <w:tc>
          <w:tcPr>
            <w:tcW w:w="220" w:type="dxa"/>
            <w:vAlign w:val="bottom"/>
            <w:tcBorders>
              <w:right w:val="single" w:sz="8" w:color="auto"/>
            </w:tcBorders>
            <w:vMerge w:val="continue"/>
          </w:tcPr>
          <w:p>
            <w:pPr>
              <w:spacing w:after="0"/>
              <w:rPr>
                <w:sz w:val="5"/>
                <w:szCs w:val="5"/>
                <w:color w:val="auto"/>
              </w:rPr>
            </w:pPr>
          </w:p>
        </w:tc>
        <w:tc>
          <w:tcPr>
            <w:tcW w:w="9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2"/>
        </w:trPr>
        <w:tc>
          <w:tcPr>
            <w:tcW w:w="1400" w:type="dxa"/>
            <w:vAlign w:val="bottom"/>
          </w:tcPr>
          <w:p>
            <w:pPr>
              <w:jc w:val="center"/>
              <w:ind w:left="534"/>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vMerge w:val="continue"/>
          </w:tcPr>
          <w:p>
            <w:pPr>
              <w:spacing w:after="0"/>
              <w:rPr>
                <w:sz w:val="24"/>
                <w:szCs w:val="24"/>
                <w:color w:val="auto"/>
              </w:rPr>
            </w:pPr>
          </w:p>
        </w:tc>
        <w:tc>
          <w:tcPr>
            <w:tcW w:w="9140" w:type="dxa"/>
            <w:vAlign w:val="bottom"/>
          </w:tcPr>
          <w:p>
            <w:pPr>
              <w:ind w:left="40"/>
              <w:spacing w:after="0"/>
              <w:rPr>
                <w:sz w:val="20"/>
                <w:szCs w:val="20"/>
                <w:color w:val="auto"/>
              </w:rPr>
            </w:pPr>
            <w:r>
              <w:rPr>
                <w:rFonts w:ascii="Arial" w:cs="Arial" w:eastAsia="Arial" w:hAnsi="Arial"/>
                <w:sz w:val="18"/>
                <w:szCs w:val="18"/>
                <w:color w:val="auto"/>
              </w:rPr>
              <w:t>2,397,250</w:t>
            </w: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9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w w:val="89"/>
              </w:rPr>
              <w:t>8</w:t>
            </w:r>
          </w:p>
        </w:tc>
        <w:tc>
          <w:tcPr>
            <w:tcW w:w="914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vMerge w:val="continue"/>
          </w:tcPr>
          <w:p>
            <w:pPr>
              <w:spacing w:after="0"/>
              <w:rPr>
                <w:sz w:val="24"/>
                <w:szCs w:val="24"/>
                <w:color w:val="auto"/>
              </w:rPr>
            </w:pPr>
          </w:p>
        </w:tc>
        <w:tc>
          <w:tcPr>
            <w:tcW w:w="914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9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0020" w:type="dxa"/>
            <w:vAlign w:val="bottom"/>
            <w:gridSpan w:val="3"/>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color w:val="auto"/>
                <w:w w:val="99"/>
              </w:rPr>
              <w:t>2,397,250</w:t>
            </w:r>
          </w:p>
        </w:tc>
        <w:tc>
          <w:tcPr>
            <w:tcW w:w="9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10020" w:type="dxa"/>
            <w:vAlign w:val="bottom"/>
            <w:gridSpan w:val="3"/>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66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Pr>
          <w:p>
            <w:pPr>
              <w:spacing w:after="0"/>
              <w:rPr>
                <w:sz w:val="24"/>
                <w:szCs w:val="24"/>
                <w:color w:val="auto"/>
              </w:rPr>
            </w:pPr>
          </w:p>
        </w:tc>
        <w:tc>
          <w:tcPr>
            <w:tcW w:w="9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right w:val="single" w:sz="8" w:color="auto"/>
            </w:tcBorders>
          </w:tcPr>
          <w:p>
            <w:pPr>
              <w:spacing w:after="0"/>
              <w:rPr>
                <w:sz w:val="6"/>
                <w:szCs w:val="6"/>
                <w:color w:val="auto"/>
              </w:rPr>
            </w:pPr>
          </w:p>
        </w:tc>
        <w:tc>
          <w:tcPr>
            <w:tcW w:w="6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1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10020" w:type="dxa"/>
            <w:vAlign w:val="bottom"/>
            <w:gridSpan w:val="3"/>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5.69%</w:t>
            </w:r>
          </w:p>
        </w:tc>
        <w:tc>
          <w:tcPr>
            <w:tcW w:w="220" w:type="dxa"/>
            <w:vAlign w:val="bottom"/>
          </w:tcPr>
          <w:p>
            <w:pPr>
              <w:spacing w:after="0"/>
              <w:rPr>
                <w:sz w:val="24"/>
                <w:szCs w:val="24"/>
                <w:color w:val="auto"/>
              </w:rPr>
            </w:pPr>
          </w:p>
        </w:tc>
        <w:tc>
          <w:tcPr>
            <w:tcW w:w="9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10020" w:type="dxa"/>
            <w:vAlign w:val="bottom"/>
            <w:gridSpan w:val="3"/>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0020" w:type="dxa"/>
            <w:vAlign w:val="bottom"/>
            <w:gridSpan w:val="3"/>
          </w:tcPr>
          <w:p>
            <w:pPr>
              <w:ind w:left="40"/>
              <w:spacing w:after="0"/>
              <w:rPr>
                <w:sz w:val="20"/>
                <w:szCs w:val="20"/>
                <w:color w:val="auto"/>
              </w:rPr>
            </w:pPr>
            <w:r>
              <w:rPr>
                <w:rFonts w:ascii="Arial" w:cs="Arial" w:eastAsia="Arial" w:hAnsi="Arial"/>
                <w:sz w:val="18"/>
                <w:szCs w:val="18"/>
                <w:color w:val="auto"/>
              </w:rPr>
              <w:t>IA (RE Advisers Corporation); HC (NRECA)</w:t>
            </w: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5" w:right="239" w:bottom="1440" w:gutter="0" w:footer="0" w:header="0"/>
        </w:sectPr>
      </w:pPr>
    </w:p>
    <w:bookmarkStart w:id="2" w:name="page3"/>
    <w:bookmarkEnd w:id="2"/>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NN, Inc.</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6210 Ardrey Kell Road</w:t>
      </w:r>
    </w:p>
    <w:p>
      <w:pPr>
        <w:spacing w:after="0" w:line="8" w:lineRule="exact"/>
        <w:rPr>
          <w:sz w:val="20"/>
          <w:szCs w:val="20"/>
          <w:color w:val="auto"/>
        </w:rPr>
      </w:pPr>
    </w:p>
    <w:p>
      <w:pPr>
        <w:ind w:left="980"/>
        <w:spacing w:after="0"/>
        <w:rPr>
          <w:sz w:val="20"/>
          <w:szCs w:val="20"/>
          <w:color w:val="auto"/>
        </w:rPr>
      </w:pPr>
      <w:r>
        <w:rPr>
          <w:rFonts w:ascii="Arial" w:cs="Arial" w:eastAsia="Arial" w:hAnsi="Arial"/>
          <w:sz w:val="22"/>
          <w:szCs w:val="22"/>
          <w:color w:val="auto"/>
        </w:rPr>
        <w:t>Charlotte, NC 28277</w:t>
      </w:r>
    </w:p>
    <w:p>
      <w:pPr>
        <w:spacing w:after="0" w:line="21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RE Advisers Corporation</w:t>
      </w:r>
    </w:p>
    <w:p>
      <w:pPr>
        <w:spacing w:after="0" w:line="8"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National Rural Electric Cooperative Association</w:t>
      </w:r>
    </w:p>
    <w:p>
      <w:pPr>
        <w:spacing w:after="0" w:line="21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4301 Wilson Boulevard</w:t>
      </w:r>
    </w:p>
    <w:p>
      <w:pPr>
        <w:spacing w:after="0" w:line="8" w:lineRule="exact"/>
        <w:rPr>
          <w:sz w:val="20"/>
          <w:szCs w:val="20"/>
          <w:color w:val="auto"/>
        </w:rPr>
      </w:pPr>
    </w:p>
    <w:p>
      <w:pPr>
        <w:ind w:left="980"/>
        <w:spacing w:after="0"/>
        <w:rPr>
          <w:sz w:val="20"/>
          <w:szCs w:val="20"/>
          <w:color w:val="auto"/>
        </w:rPr>
      </w:pPr>
      <w:r>
        <w:rPr>
          <w:rFonts w:ascii="Arial" w:cs="Arial" w:eastAsia="Arial" w:hAnsi="Arial"/>
          <w:sz w:val="22"/>
          <w:szCs w:val="22"/>
          <w:color w:val="auto"/>
        </w:rPr>
        <w:t>Arlington, VA 22203</w:t>
      </w:r>
    </w:p>
    <w:p>
      <w:pPr>
        <w:spacing w:after="0" w:line="21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19"/>
          <w:szCs w:val="19"/>
          <w:color w:val="auto"/>
        </w:rPr>
        <w:t>RE Advisers Corporation, Virginia; NRECA, District of Columbia</w:t>
      </w:r>
    </w:p>
    <w:p>
      <w:pPr>
        <w:spacing w:after="0" w:line="27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Common Stock</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3" w:name="page4"/>
    <w:bookmarkEnd w:id="3"/>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Sections 240.13d-1(b) or</w:t>
      </w:r>
    </w:p>
    <w:p>
      <w:pPr>
        <w:spacing w:after="0" w:line="24"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240.13d-2(b) or (c), Check Whether the Person Filing Is a(n):</w:t>
      </w:r>
    </w:p>
    <w:p>
      <w:pPr>
        <w:spacing w:after="0" w:line="190" w:lineRule="exact"/>
        <w:rPr>
          <w:sz w:val="20"/>
          <w:szCs w:val="20"/>
          <w:color w:val="auto"/>
        </w:rPr>
      </w:pPr>
    </w:p>
    <w:p>
      <w:pPr>
        <w:ind w:left="1300" w:hanging="320"/>
        <w:spacing w:after="0" w:line="207" w:lineRule="exact"/>
        <w:tabs>
          <w:tab w:leader="none" w:pos="13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52"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52"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252"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adviser in accordance with Section 240.13d-1(b)(1)(ii)(E);</w:t>
      </w:r>
    </w:p>
    <w:p>
      <w:pPr>
        <w:spacing w:after="0" w:line="252"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Employee benefit plan or endowment fund in accordance with Section 240.13d-1(b)(1)(ii)(F);</w:t>
      </w:r>
    </w:p>
    <w:p>
      <w:pPr>
        <w:spacing w:after="0" w:line="252"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Parent holding company or control person in accordance with Section 240.13d-1(b)(1)(ii)(G);</w:t>
      </w:r>
    </w:p>
    <w:p>
      <w:pPr>
        <w:spacing w:after="0" w:line="252"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Savings association as defined in Section 3(b) of the Federal Deposit Insurance Act (12 U.S.C. 1813);</w:t>
      </w:r>
    </w:p>
    <w:p>
      <w:pPr>
        <w:spacing w:after="0" w:line="252" w:lineRule="exact"/>
        <w:rPr>
          <w:rFonts w:ascii="Arial" w:cs="Arial" w:eastAsia="Arial" w:hAnsi="Arial"/>
          <w:sz w:val="18"/>
          <w:szCs w:val="18"/>
          <w:color w:val="auto"/>
        </w:rPr>
      </w:pPr>
    </w:p>
    <w:p>
      <w:pPr>
        <w:ind w:left="1300" w:right="160" w:hanging="320"/>
        <w:spacing w:after="0" w:line="239" w:lineRule="exact"/>
        <w:tabs>
          <w:tab w:leader="none" w:pos="13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Section 240.13d-1(b)(1)(ii)(J);</w:t>
      </w:r>
    </w:p>
    <w:p>
      <w:pPr>
        <w:spacing w:after="0" w:line="252" w:lineRule="exact"/>
        <w:rPr>
          <w:rFonts w:ascii="Arial" w:cs="Arial" w:eastAsia="Arial" w:hAnsi="Arial"/>
          <w:sz w:val="18"/>
          <w:szCs w:val="18"/>
          <w:color w:val="auto"/>
        </w:rPr>
      </w:pPr>
    </w:p>
    <w:p>
      <w:pPr>
        <w:ind w:left="1300" w:hanging="320"/>
        <w:spacing w:after="0" w:line="239" w:lineRule="exact"/>
        <w:tabs>
          <w:tab w:leader="none" w:pos="13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Section 240.13d-1(b)(1)(ii)(K). If filing as a non-U.S. institution in accordance with Section 240.13d-1(b)(1) (ii)(J), please specify the type of institution: ____________________________ .</w:t>
      </w:r>
    </w:p>
    <w:p>
      <w:pPr>
        <w:spacing w:after="0" w:line="22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56" w:lineRule="exact"/>
        <w:rPr>
          <w:sz w:val="20"/>
          <w:szCs w:val="20"/>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2,397,250</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5.69%</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620" w:hanging="315"/>
        <w:spacing w:after="0"/>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 2,397,250</w:t>
      </w:r>
    </w:p>
    <w:p>
      <w:pPr>
        <w:spacing w:after="0" w:line="252" w:lineRule="exact"/>
        <w:rPr>
          <w:rFonts w:ascii="Arial" w:cs="Arial" w:eastAsia="Arial" w:hAnsi="Arial"/>
          <w:sz w:val="18"/>
          <w:szCs w:val="18"/>
          <w:color w:val="auto"/>
        </w:rPr>
      </w:pPr>
    </w:p>
    <w:p>
      <w:pPr>
        <w:ind w:left="1620" w:hanging="315"/>
        <w:spacing w:after="0"/>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52" w:lineRule="exact"/>
        <w:rPr>
          <w:rFonts w:ascii="Arial" w:cs="Arial" w:eastAsia="Arial" w:hAnsi="Arial"/>
          <w:sz w:val="18"/>
          <w:szCs w:val="18"/>
          <w:color w:val="auto"/>
        </w:rPr>
      </w:pPr>
    </w:p>
    <w:p>
      <w:pPr>
        <w:ind w:left="1620" w:hanging="315"/>
        <w:spacing w:after="0"/>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2,397,250</w:t>
      </w:r>
    </w:p>
    <w:p>
      <w:pPr>
        <w:spacing w:after="0" w:line="252" w:lineRule="exact"/>
        <w:rPr>
          <w:rFonts w:ascii="Arial" w:cs="Arial" w:eastAsia="Arial" w:hAnsi="Arial"/>
          <w:sz w:val="18"/>
          <w:szCs w:val="18"/>
          <w:color w:val="auto"/>
        </w:rPr>
      </w:pPr>
    </w:p>
    <w:p>
      <w:pPr>
        <w:ind w:left="1620" w:hanging="315"/>
        <w:spacing w:after="0"/>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121" w:right="359" w:bottom="1440" w:gutter="0" w:footer="0" w:header="0"/>
        </w:sectPr>
      </w:pPr>
    </w:p>
    <w:bookmarkStart w:id="4" w:name="page5"/>
    <w:bookmarkEnd w:id="4"/>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49" w:lineRule="exact"/>
        <w:rPr>
          <w:sz w:val="20"/>
          <w:szCs w:val="20"/>
          <w:color w:val="auto"/>
        </w:rPr>
      </w:pPr>
    </w:p>
    <w:p>
      <w:pPr>
        <w:ind w:left="980" w:right="480"/>
        <w:spacing w:after="0" w:line="277" w:lineRule="exact"/>
        <w:rPr>
          <w:sz w:val="20"/>
          <w:szCs w:val="20"/>
          <w:color w:val="auto"/>
        </w:rPr>
      </w:pPr>
      <w:r>
        <w:rPr>
          <w:rFonts w:ascii="Arial" w:cs="Arial" w:eastAsia="Arial" w:hAnsi="Arial"/>
          <w:sz w:val="21"/>
          <w:szCs w:val="21"/>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21"/>
          <w:szCs w:val="21"/>
          <w:color w:val="auto"/>
        </w:rPr>
        <w:t>☐</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49" w:lineRule="exact"/>
        <w:rPr>
          <w:sz w:val="20"/>
          <w:szCs w:val="20"/>
          <w:color w:val="auto"/>
        </w:rPr>
      </w:pPr>
    </w:p>
    <w:p>
      <w:pPr>
        <w:ind w:firstLine="972"/>
        <w:spacing w:after="0" w:line="238"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121" w:right="379" w:bottom="1440" w:gutter="0" w:footer="0" w:header="0"/>
        </w:sectPr>
      </w:pPr>
    </w:p>
    <w:bookmarkStart w:id="5" w:name="page6"/>
    <w:bookmarkEnd w:id="5"/>
    <w:p>
      <w:pPr>
        <w:jc w:val="center"/>
        <w:ind w:right="-619"/>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ind w:firstLine="972"/>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13, 2019</w:t>
      </w:r>
    </w:p>
    <w:p>
      <w:pPr>
        <w:spacing w:after="0" w:line="24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COMPANY NAME</w:t>
      </w: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Danielle C. Sieverling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Danielle C. Sieverling</w:t>
      </w:r>
    </w:p>
    <w:p>
      <w:pPr>
        <w:spacing w:after="0" w:line="158" w:lineRule="exact"/>
        <w:rPr>
          <w:sz w:val="20"/>
          <w:szCs w:val="20"/>
          <w:color w:val="auto"/>
        </w:rPr>
      </w:pPr>
    </w:p>
    <w:p>
      <w:pPr>
        <w:ind w:left="6060"/>
        <w:spacing w:after="0"/>
        <w:tabs>
          <w:tab w:leader="none" w:pos="6640" w:val="left"/>
        </w:tabs>
        <w:rPr>
          <w:sz w:val="20"/>
          <w:szCs w:val="20"/>
          <w:color w:val="auto"/>
        </w:rPr>
      </w:pPr>
      <w:r>
        <w:rPr>
          <w:rFonts w:ascii="Arial" w:cs="Arial" w:eastAsia="Arial" w:hAnsi="Arial"/>
          <w:sz w:val="18"/>
          <w:szCs w:val="18"/>
          <w:color w:val="auto"/>
        </w:rPr>
        <w:t>Title:</w:t>
        <w:tab/>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544830</wp:posOffset>
            </wp:positionV>
            <wp:extent cx="72504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0800"/>
          </w:cols>
          <w:pgMar w:left="240" w:top="111" w:right="8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color w:val="auto"/>
        </w:rPr>
        <w:t>JOINT FILING AGREEMENT</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undersigned hereby agree that they are filing this statement jointly pursuant to Rule 13d-1(k)(1). 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2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accordance with Rule 13d-1(k)(1) promulgated under the Securities and Exchange Act of 1934, as amended, the undersigned hereby agree to the joint filing with each other on behalf of each of them of such a statement on Schedule 13G and any amendments thereto with respect to the equity securities (as defined in Rule 13d-1(i)) of the issuer, beneficially owned by each of them. This Joint Filing Agreement shall be included as an exhibit to such Schedule 13G and any amendments thereto.</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13, 2019</w:t>
      </w: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RE Advisers Corporation</w:t>
      </w:r>
    </w:p>
    <w:p>
      <w:pPr>
        <w:spacing w:after="0" w:line="252"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 /s/ Mark D. Santero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3257550</wp:posOffset>
            </wp:positionH>
            <wp:positionV relativeFrom="paragraph">
              <wp:posOffset>-10160</wp:posOffset>
            </wp:positionV>
            <wp:extent cx="12446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44600" cy="8890"/>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Mark D. Santero</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President, Chief Executive Officer and Director</w:t>
      </w:r>
    </w:p>
    <w:p>
      <w:pPr>
        <w:spacing w:after="0" w:line="23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National Rural Electric Cooperative Association</w:t>
      </w:r>
    </w:p>
    <w:p>
      <w:pPr>
        <w:spacing w:after="0" w:line="252"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 /s/ Danielle C. Sieverling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3257550</wp:posOffset>
            </wp:positionH>
            <wp:positionV relativeFrom="paragraph">
              <wp:posOffset>-10160</wp:posOffset>
            </wp:positionV>
            <wp:extent cx="16986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98625" cy="8890"/>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Danielle C. Sieverling</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Vice President, Chief Risk and Compliance Officer</w:t>
      </w:r>
    </w:p>
    <w:sectPr>
      <w:pgSz w:w="11900" w:h="16838" w:orient="portrait"/>
      <w:cols w:equalWidth="0" w:num="1">
        <w:col w:w="11400"/>
      </w:cols>
      <w:pgMar w:left="240" w:top="36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4"/>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bullet"/>
      <w:start w:val="1"/>
    </w:lvl>
  </w:abstractNum>
  <w:abstractNum w:abstractNumId="3">
    <w:nsid w:val="46E87CCD"/>
    <w:multiLevelType w:val="hybridMultilevel"/>
    <w:lvl w:ilvl="0">
      <w:lvlJc w:val="left"/>
      <w:lvlText w:val="2"/>
      <w:numFmt w:val="bullet"/>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2019-12-05T00:36:03Z</dcterms:created>
  <dcterms:modified xsi:type="dcterms:W3CDTF">2019-12-05T00:36:03Z</dcterms:modified>
</cp:coreProperties>
</file>