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202-1_s3.htm"/>
        <w:bookmarkStart w:id="1" w:name="kstm2620202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July 13,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1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4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9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1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20" w:after="283"/>
        <w:jc w:val="center"/>
        <w:rPr>
          <w:rFonts w:ascii="Times New Roman;Times;serif" w:hAnsi="Times New Roman;Times;serif"/>
          <w:b/>
          <w:i w:val="false"/>
          <w:caps w:val="false"/>
          <w:smallCaps w:val="false"/>
          <w:color w:val="000000"/>
          <w:spacing w:val="-4"/>
          <w:sz w:val="18"/>
        </w:rPr>
      </w:pPr>
      <w:r>
        <w:rPr>
          <w:rFonts w:ascii="Times New Roman;Times;serif" w:hAnsi="Times New Roman;Times;serif"/>
          <w:b/>
          <w:i w:val="false"/>
          <w:caps w:val="false"/>
          <w:smallCaps w:val="false"/>
          <w:color w:val="000000"/>
          <w:spacing w:val="-4"/>
          <w:sz w:val="18"/>
        </w:rPr>
        <w:t xml:space="preserve">REGISTRATION STATEMENT </w:t>
      </w:r>
    </w:p>
    <w:p>
      <w:pPr>
        <w:pStyle w:val="TextBody"/>
        <w:bidi w:val="0"/>
        <w:spacing w:lineRule="atLeast" w:line="190" w:before="2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 xml:space="preserve">UNDER </w:t>
      </w:r>
      <w:r>
        <w:rPr>
          <w:rFonts w:ascii="Times New Roman;Times;serif" w:hAnsi="Times New Roman;Times;serif"/>
          <w:b/>
          <w:i/>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1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NN,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tbl>
      <w:tblPr>
        <w:tblW w:w="5937" w:type="dxa"/>
        <w:jc w:val="left"/>
        <w:tblInd w:w="540" w:type="dxa"/>
        <w:tblLayout w:type="fixed"/>
        <w:tblCellMar>
          <w:top w:w="0" w:type="dxa"/>
          <w:left w:w="0" w:type="dxa"/>
          <w:bottom w:w="0" w:type="dxa"/>
          <w:right w:w="0" w:type="dxa"/>
        </w:tblCellMar>
      </w:tblPr>
      <w:tblGrid>
        <w:gridCol w:w="124"/>
        <w:gridCol w:w="3061"/>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4"/>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4"/>
              </w:rPr>
              <w:t>62-1096725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lineRule="atLeast" w:line="160" w:before="0" w:after="0"/>
              <w:jc w:val="center"/>
              <w:rPr/>
            </w:pPr>
            <w:r>
              <w:rPr>
                <w:spacing w:val="3"/>
              </w:rPr>
              <w:t>(State or other jurisdiction of</w:t>
            </w:r>
            <w:r>
              <w:rPr/>
              <w:t xml:space="preserve"> </w:t>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lineRule="atLeast" w:line="180" w:before="0" w:after="0"/>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5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6210 Ardrey Kell Road, Suite 120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Charlotte, North Carolina 28277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(980) 264-4300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Harold C. Bevis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Chief Executive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NN, Inc.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6210 Ardrey Kell Road, Suite 120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Charlotte, North Carolina 28277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(980) 264-4300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2"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before="12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2"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Christina T. Roupas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Courtney M.W. Tygesson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Alexander Gefter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Cooley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110 N. Wacker Drive, Suite 4200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Chicago, Illinois 60606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(312) 881-6670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From time to time after the effective date of this Registration Statement.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528" w:type="dxa"/>
        <w:jc w:val="left"/>
        <w:tblInd w:w="540" w:type="dxa"/>
        <w:tblLayout w:type="fixed"/>
        <w:tblCellMar>
          <w:top w:w="0" w:type="dxa"/>
          <w:left w:w="0" w:type="dxa"/>
          <w:bottom w:w="0" w:type="dxa"/>
          <w:right w:w="0" w:type="dxa"/>
        </w:tblCellMar>
      </w:tblPr>
      <w:tblGrid>
        <w:gridCol w:w="124"/>
        <w:gridCol w:w="2776"/>
        <w:gridCol w:w="109"/>
        <w:gridCol w:w="109"/>
        <w:gridCol w:w="325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2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8288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52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8288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pPr>
            <w:r>
              <w:rPr>
                <w:spacing w:val="4"/>
              </w:rPr>
              <w:t>☐</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8288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1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6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8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JULY 13,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24,509,804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942975" cy="6858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942975" cy="6858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covers the offer and resale by the selling stockholders (the “Selling Stockholders”) identified in this prospectus of an aggregate of 24,509,804 shares of our common stock, par value $0.01 per share. The shares were sold to the Selling Stockholders in a private placement transaction that closed on July 2, 2026 (the “Private Placement”).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selling any shares of common stock under this prospectus and will not receive any proceeds from the sale by the Selling Stockholders of such shares.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shares of common stock by the Selling Stockholders may occur at fixed prices, at market prices prevailing at the time of sale, at prices related to prevailing market prices or at negotiated prices. The Selling Stockholders may sell the shares to or through underwriters, broker-dealers or agents, who may receive compensation in the form of discounts, concessions or commissions from the Selling Stockholders, the purchasers of the shares, or both.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paying the cost of registering the shares covered by this prospectus as well as various related expenses. The Selling Stockholders are responsible for all selling commissions, transfer taxes and other costs related to the offer and sale of their shares.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for more information about how the Selling Stockholders may sell or dispose of their shares.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under the trading symbol “NNBR.” On July 10, 2026, the last reported sale price of our common stock was $3.48 per share.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a high degree of risk. Before making an investment decision, please read the information under “Risk Factors”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and under similar headings in any amendment or supplement to this prospectus or in any filing with the Securities and Exchange Commission that is incorporated by reference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9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NRF">
              <w:r>
                <w:rPr>
                  <w:rStyle w:val="InternetLink"/>
                  <w:spacing w:val="4"/>
                </w:rPr>
                <w:t>4</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5</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DOCS">
              <w:r>
                <w:rPr>
                  <w:rStyle w:val="InternetLink"/>
                  <w:spacing w:val="4"/>
                </w:rPr>
                <w:t>6</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SEST">
              <w:r>
                <w:rPr>
                  <w:rStyle w:val="InternetLink"/>
                  <w:spacing w:val="4"/>
                </w:rPr>
                <w:t xml:space="preserve">SELLING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SEST">
              <w:r>
                <w:rPr>
                  <w:rStyle w:val="InternetLink"/>
                  <w:spacing w:val="4"/>
                </w:rPr>
                <w:t>11</w:t>
              </w:r>
            </w:hyperlink>
            <w:hyperlink w:anchor="tSE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POD">
              <w:r>
                <w:rPr>
                  <w:rStyle w:val="InternetLink"/>
                  <w:spacing w:val="4"/>
                </w:rPr>
                <w:t>13</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15</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EXP">
              <w:r>
                <w:rPr>
                  <w:rStyle w:val="InternetLink"/>
                  <w:spacing w:val="4"/>
                </w:rPr>
                <w:t>15</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15</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IOCI">
              <w:r>
                <w:rPr>
                  <w:rStyle w:val="InternetLink"/>
                  <w:spacing w:val="4"/>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(the “Registration Statement”) that we filed with the Securities and Exchange Commission (the “SEC”) using the “shelf” registration process. Under this shelf registration process, the Selling Stockholders hereunder may, from time to time in one or more offerings, sell the shares of common stock offered by them described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on the front cover of this prospectus, any information we have incorporated by reference is accurate only as of the date of the document so incorporated and that any information in a supplement or amendment to this prospectus is accurate only as of the date of such supplement or amendment, in each case regardless of the time of delivery of this prospectus, or any sale of the shares.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titled “Where You Can Find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all references in this prospectus to “we,” “us,” “our,” “the Company,” “NN,” and similar designations, except where the context requires otherwise, refer collectively to NN, Inc. and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name “NN,” the NN logo and other trademarks or service marks of NN, Inc. appearing in this prospectus and in any prospectus supplement or free writing prospectus and the information incorporated by reference herein or therein are the property of NN, Inc. Other trademarks, service marks or trade names appearing in this prospectus in any prospectus supplement or free writing prospectus and the information incorporated by reference herein or therein are the property of their respective owners. We do not intend our use or display of other companies’ trade names, trademarks or service marks to imply a relationship with, or endorsement or sponsorship of us by, these other companies.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the Private Placement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enterprise and management structure is designed to accelerate growth and further balance our portfolio by aligning our strategic assets and businesses. Our businesses are organized into the Mobile Solutions group, which is focused on growth in the automotive, general industrial, and medical end markets, and the Power Solutions group, which is focused on growth in the electrical, general industrial, automotive, and medical end markets, and are based principally on the end markets they 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Delaware in October 1980. Our principal executive offices are maintained at 6210 Ardrey Kell Road, Suite 120, Charlotte, North Carolina 28277 and our telephone number is (980) 264-4300. Our website address is www.nninc.com.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securities. We have included our website in this prospectus solely as an inactive textual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Private Placement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30, 2026, we entered into a Securities Purchase Agreement (the “Purchase Agreement”) with certain institutional investors named in this prospectus pursuant to which we sold and issued 24,509,804 shares of common stock in the Private Placement, which closed on July 2, 2026. The purchase price per share of common stock was $3.06. The total aggregate purchase price paid by the Selling Stockholders was $75.0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Private Placement, on June 30, 2026, we entered into a Registration Rights Agreement (the “Registration Rights Agreement”) with the Selling Stockholders named in this prospectus, pursuant to which we agreed to prepare and file, within 45 days following the date of the Registration Rights Agreement, a registration statement with the SEC to register for resale the shares of our common stock issued at the closing under the Purchase Agreement, and to use commercially reasonable efforts to cause the registration statement to promptly become effective.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regarding the Purchase Agreement and Registration Rights Agreement, refer to the summary of the Private Placement included under Item 1.01 of our </w:t>
      </w:r>
      <w:hyperlink r:id="rId3">
        <w:r>
          <w:rPr>
            <w:rStyle w:val="InternetLink"/>
          </w:rPr>
          <w:t>Current Report on Form 8-K filed with the SEC on July 1, 2026</w:t>
        </w:r>
      </w:hyperlink>
      <w:r>
        <w:rPr>
          <w:rFonts w:ascii="Times New Roman;Times;serif" w:hAnsi="Times New Roman;Times;serif"/>
          <w:b w:val="false"/>
          <w:i w:val="false"/>
          <w:caps w:val="false"/>
          <w:smallCaps w:val="false"/>
          <w:color w:val="000000"/>
          <w:spacing w:val="4"/>
          <w:sz w:val="20"/>
          <w:bdr w:val="single" w:sz="8" w:space="1" w:color="000000"/>
        </w:rPr>
        <w:t xml:space="preserve">, which is incorporated by reference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and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Specifically, as a smaller reporting company, we may choose to present only the two most recent fiscal years of audited financial statements in our Annual Report on Form 10-K and are subject to reduced disclosure obligations regarding executive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the Selling Stockholders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24,509,804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Terms of the offering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Selling Stockholders will determine when and how they will sell the common stock offered in this prospectus, as described in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proceeds from the sale of the shares of common stock covered by this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on page 4 for a discussion of factors you should carefully consider before deciding to invest in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Stock Market symbol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NNBR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Selling Stockholders named in this prospectus may offer and sell up to 24,509,804 shares of our common stock. Our common stock is currently listed on the Nasdaq Stock Market under the symbol “NNBR.” shares of our common stock that may be offered under this prospectus are fully paid and non-assessable. We will not receive any of the proceeds of sales by the Selling Stockholders of any of the common stock covered by this prospectus.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review the risks and uncertainties described under the heading “Risk Factors” contained in any applicable prospectus supplement and any related free writing prospectus, and under similar headings in our most recent Annual Report on Form 10-K, as updated by our subsequent annual, quarterly and other reports and documents that are incorporated by reference into this prospectus and any applicable prospectus supplement before deciding whether to purchase any of our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each applicable prospectus supplement, and the information incorporated by reference in this prospectus and each prospectus supplement contain forward-looking statements within the meaning of Section 27A of the Securities Act of 1933, as amended (the “Securities Act”),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Forward-looking statements generally will be accompanied by words such as “anticipate,” “believe,” “could,” “estimate,” “expect,” “forecast,” “growth,” “guidance,” “intend,” “may,” “possible,” “potential,” “predict,” “project,” “trajectory,” “will” or the negative of those terms, and similar expressions that convey uncertainty of future events or outcomes.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inflationary pressures and material changes in the cost or availability of raw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restrictions contained in our debt agreements; the level of our indebtedness and our ability to obtain financing at favorable rates, if at all, or to refinance existing debt as it matures; our ability to secure, maintain or enforce patents or other appropriate protections for our intellectual property; the impact of climate change on our operations; economic, social, political and geopolitical instability, military conflict, currency fluctuation, and other risks of doing business outside of the United States; uncertainty of government policies and actions in respect to global trade and tariffs, including the potential impacts of tariffs on the United States economy, the economy of other countries in which we conduct operations and our industry; cyber liability or potential liability for breaches of our or our service providers’ information technology systems or business operations disruptions; and other risks and uncertainties set forth in documents filed, or to be filed, with the SEC. For the reasons described above, we caution against relying on any forward-looking statements, which should also be read in conjunction with the sections entitled “Business,” “Risk Factors” and “Management’s Discussion and Analysis of Financial Condition and Results of Operations” and in other sections incorporated by reference from our Annual Report on Form 10-K and Quarterly Reports on Form 10-Q, as applicable, as well as our other filings with the SEC. You should be aware that the occurrence of any of the events discussed under the heading “Risk Factors” in any applicable prospectus supplement and any documents incorporated by reference herein or therein could substantially harm our business, operating results, and financial condition and that if any of these events occurs, it could adversely affect the value of an investment in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cautionary statements made in this prospectus are intended to be applicable to all related forward-looking statements wherever they may appear in this prospectus or in any prospectus supplement or any documents incorporated by reference herein or therein. We urge you not to place undue reliance on these forward-looking statements, which speak only as of the date they are made. Except as required by law, we assume no obligation to update our forward-looking statements, even if new information becomes available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of the proceeds from the sale or other disposition of shares of our common stock held by the Selling Stockholders pursuant to this prospectus.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C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90,000,000 shares of common stock, $0.01 par value per share, and 5,000,000 shares of preferred stock, $0.01 par value per share (“Preferred Stock”). Our board of directors (the “Board”) is authorized, without stockholder approval, except as required by the listing standards of the Nasdaq Stock Market, to issue additional shares of our capital stock. In addition, our board of directors may, without further action by our stockholders, designate the rights, preferences, privileges, and restrictions of our Preferred Stock in one or more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18, 2026, we had outstanding 52,742,725 shares of common stock and 65,000 shares of Series D Perpetual Preferred Stock, $0.01 par value per share (the “Series D Preferred Stock”). </w:t>
      </w:r>
    </w:p>
    <w:p>
      <w:pPr>
        <w:pStyle w:val="TextBody"/>
        <w:bidi w:val="0"/>
        <w:spacing w:lineRule="atLeast" w:line="24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common stock is a summary and is qualified in its entirety by reference to the actual terms and provisions contained in our Restated Certificate of Incorporation, as amended from time to time (the “Certificate of Incorporation”), and our Amended and Restated Bylaws, as amended from time to time (the “Bylaws”), each of which is filed as an exhibit to the registration statement of which this prospectus is a part. We encourage you to read our Certificate of Incorporation, our Bylaws, and the applicable provisions of the Delaware General Corporation Law (“DGCL”) for additional information.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preferential rights of any other class or series of Preferred Stock, holders of common stock may receive dividends pro rata out of assets that we can legally use to pay dividends, when, as and if they are declared by our Board.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Fully Paid and Nonassessable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outstanding shares of our common stock are fully paid and nonassessable.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Absence of 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have no preference, appraisal or exchange rights, except for any appraisal rights provided by Delaware law. Furthermore, holders of common stock have no conversion, sinking fund or redemption rights, or preemptive rights to subscribe for any of our securities. </w:t>
      </w:r>
    </w:p>
    <w:p>
      <w:pPr>
        <w:pStyle w:val="TextBody"/>
        <w:bidi w:val="0"/>
        <w:spacing w:lineRule="atLeast" w:line="240" w:before="23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authorizes our Board, without stockholder approval, to designate and issue up to 5,000,000 shares of Preferred Stock, in one or more series and to fix the rights, preferences.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Series D Preferred Stock is a summary and is qualified in its entirety by reference to the actual terms and provisions contained in the Certificate of Designation of Series D Perpetual Preferred Stock (“Series D Certificate of Designation”), which is filed as an exhibit to the registration statement of which this prospectus is a part. We encourage you to read our Series D Certificate of Designation and the DGCL for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22, 2021, we completed a private placement of 65,000 shares of Series D Preferred Stock pursuant to a Securities Purchase Agreement, dated March 22, 2021, by and between the Company and NGTV Nevada Holdings LP (the “Securities Purchase Agreement”). As of May 19, 2026, 65,000 shares of Series D Preferred Stock are outstanding.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Series D Preferred Stock are entitled to receive, when, as and if declared by the Board, and we shall pay, out of funds lawfully available therefor, cumulative dividends payable in cash quarterly in arrears at the rate per share of 10% per annum of the Initial Liquidation Preference (as defined below) per share of Series D Preferred Stock (the “Cash Dividend Rate”). On any dividend payment date, if a dividend is not paid in cash, the liquidation preference per share of Series D Preferred Stock will be increased to 12.0% per annum (the “Preference Accrual Rate”) on the then current liquidation preference per share of Series D Preferred Stock (the “Liquidation Preference Adjustment”). On March 22, 2026, the Cash Dividend Rate and the Preference Accrual Rate, expressed as a percentage, increased by an amount equal to 2.5%, and shall continue to increase by an amount equal to 2.5% on each anniversary date. In addition to the foregoing, beginning on September 30, 2027 and continuing quarterly thereafter, the Board shall declare and we shall pay in cash a dividend to the holders of Series D Preferred Stock unless otherwise prohibited by the DGCL or any effective credit agreement to which we are a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D Preferred Stock shall not have any voting rights, other than with respect to: (i) amendments or waivers to our organizational documents that generally have an adverse effect on the Series D Preferred Stock; (ii) authorization, creation, or issuance of, or the combination or reclassification of any securities into, any additional shares of Series D Preferred Stock or any senior or parity securities; (iii) the declaration or payment of any dividend or distribution on, or redemption or repurchase of, any issued and outstanding shares of common stock or any other junior securities; (iv) incurrence by us and our subsidiaries of indebtedness other than (x) any indebtedness that would be permitted to be incurred under any credit agreement to which we were a party at the time the Series D Preferred Stock was issued, (y) indebtedness incurred in connection with refinancing our existing indebtedness outstanding, subject to certain limitations, and (z) indebtedness the net proceeds of which are contemporaneously used to redeem all outstanding shares of Series D Preferred Stock; (v) the making of any dispositions, subject to certain exceptions; and (vi) any voluntary liquidation or bankruptcy filing. For effecting or validating any of the foregoing actions by the Company, whether or not such approval is required pursuant to the DGCL, the affirmative vote or consent of the holders of at least a majority of the shares of Series D Preferred Stock outstanding at such time, voting together as a separate class, given in person or by proxy, either in writing without a meeting or by vote at any meeting called for the purpose is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Preference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D Preferred Stock has a liquidation preference of $1,000 per share of Series D Preferred Stock (the “Initial Liquidation Preference”). In the event of a liquidation, dissolution or winding up of the affairs of the Company, after payment or provision for payment of the debts and other liabilities of the Company, the holders of Series D Preferred Stock shall be entitled to receive, in respect of any shares of Series D Preferred Stock held by them, out of assets of the Company available for distribution to stockholders of the Company or their assignees, and subject to the rights of any outstanding shares of any class or series of securities that ranks senior to the Series D Preferred Stock and before any amount shall be distributed to any holders of any class or series of securities that ranks junior to the Series D Preferred Stock, a liquidating distribution in an amount equal to the greater of (i) the Initial Liquidation Preference as such amount may have been increased for any adjustments, and (ii) 140% of the Initial Liquidation Preference.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Exchange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Series D Preferred Stock are not convertible into or exchangeable for shares of common stock or any other security.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 portion of (but in no event less than 25,000 of the Series D Preferred Stock) the then outstanding shares of Series D Preferred Stock for an amount equal to the liquidation preference then in effect of such shares of Series D Preferred Stock (the “Redemption Price”). If we redeem only a portion of the then outstanding shares of Series D Preferred Stock, the shares of Series D Preferred Stock subject to such redemption shall be allocated pro rata among the holders of the then outstanding shares of Series D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Change of Control (as defined in the Series D Certificate of Designation), each holder of shares of Series D Preferred Stock has the right to require that we redeem all or a portion of such holder’s shares of Series D Preferred Stock for cash in an amount equal to the Redemption Price then in effect. We may also redeem all or a portion of the then outstanding shares of Series D Preferred Stock for cash in an amount equal to the Redemption Price then in effect.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Ranking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D Preferred Stock shall rank, with respect to the payment of dividends and other distributions, including the distribution of assets upon liquidation, dissolution or winding up of the Company, (i) senior to the common stock and to any other class or series of the Preferred Stock, and (ii) junior to any existing or future secured or unsecured indebtedness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18, 2026, there were warrants to purchase up to 1,215,000 shares of common stock at an exercise price of $11.03 per share outstanding, which are exercisable, in full or in part, at any time prior to December 11,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Delaware Anti-Takeover Statute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regulating corporate takeovers. In general, Section 203, subject to certain exceptions, prohibits a publicly held Delaware corporation from engaging in any business combination with any interested stockholder for a period of three years following the date that such person or entity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date, the board of directors of the corporation approved either the business combination or the transaction which resulted in the stockholder becoming an interested stockholder;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specified shares; or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0" distB="0" distL="254000" distR="0" simplePos="0" locked="0" layoutInCell="1" allowOverlap="1" relativeHeight="14">
                <wp:simplePos x="0" y="0"/>
                <wp:positionH relativeFrom="column">
                  <wp:align>left</wp:align>
                </wp:positionH>
                <wp:positionV relativeFrom="line">
                  <wp:posOffset>635</wp:posOffset>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“business combination”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exchange, mortgage, pledge, transfer or other disposition of 10% or more of the assets of the corporation to or with the interested stockholder;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which results in the issuance or transfer by the corporation of any stock of the corporation to the interested stockholder;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of any class or series of the corporation beneficially owned by the interested stockholder; or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loans, advances, guarantees, pledges or other financial benefits provided by or through the corporation.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an “interested stockholder” as any person that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 of 15% or more of the outstanding voting stock of the corporation;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or associate of the corporation and was the owner of 15% or more of the outstanding voting stock of the corporation at any time within three years immediately prior to the relevant date; or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or associate of the above.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Corporate Governance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Certificate of Incorporation, directors shall be elected for a one-year term expiring at the next annual meeting. Directors elected to succeed those directors whose terms then expire shall be elected for a term of office to expire at the succeeding annual meeting after their election, with each director to hold office until his or her successor shall have been duly elected and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preferential rights of any other class or series of preferred stock, any director, or the entire Board, may be removed from office at any time, with or without cause, by the affirmative vote of the holders of a majority of the voting power of all the then outstanding shares of voting stock of the Company, voting together as a single class. Our Bylaws require that stockholders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 meeting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stockholders of our company may be called only by: (i) the Chairman of the Board, (ii) by a majority of the Board, or (iii) the Chief Executive Officer of our Company. Our Certificate of Incorporation, as well as applicable provisions of the DGCL, provide that no action required or permitted to be taken at any annual or special meeting of our stockholders may be taken without a meeting, unless the consent of two-thirds of the voting power of the then outstanding shares of stock of the company entitled to vote on the matter is obtained. These provisions may diminish the likelihood that a potential acquirer would make an offer for our common stock or that there would otherwise be a change in control of our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Computershare Trust Company, N.A.. The transfer agent’s address is 462 South 4th Street, Louisville, Kentucky 40202.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under the trading symbol “NNBR.”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SES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regarding each additional Selling Stockholder, if any, will be set forth by a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table below and the footnotes thereto regarding shares of common stock to be beneficially owned after the offering assumes the sale of all shares being offered by the Selling Stockholders under this prospectus. This information has been obtained from the Selling Stockholders. The percentage of shares owned after the offering is based on 77,083,705 shares outstanding as of July 2, 2026. </w:t>
      </w:r>
    </w:p>
    <w:tbl>
      <w:tblPr>
        <w:tblW w:w="8812" w:type="dxa"/>
        <w:jc w:val="left"/>
        <w:tblInd w:w="1393" w:type="dxa"/>
        <w:tblLayout w:type="fixed"/>
        <w:tblCellMar>
          <w:top w:w="0" w:type="dxa"/>
          <w:left w:w="0" w:type="dxa"/>
          <w:bottom w:w="43" w:type="dxa"/>
          <w:right w:w="0" w:type="dxa"/>
        </w:tblCellMar>
      </w:tblPr>
      <w:tblGrid>
        <w:gridCol w:w="2554"/>
        <w:gridCol w:w="109"/>
        <w:gridCol w:w="109"/>
        <w:gridCol w:w="109"/>
        <w:gridCol w:w="109"/>
        <w:gridCol w:w="1066"/>
        <w:gridCol w:w="109"/>
        <w:gridCol w:w="109"/>
        <w:gridCol w:w="109"/>
        <w:gridCol w:w="109"/>
        <w:gridCol w:w="109"/>
        <w:gridCol w:w="1066"/>
        <w:gridCol w:w="109"/>
        <w:gridCol w:w="109"/>
        <w:gridCol w:w="109"/>
        <w:gridCol w:w="120"/>
        <w:gridCol w:w="120"/>
        <w:gridCol w:w="857"/>
        <w:gridCol w:w="124"/>
        <w:gridCol w:w="109"/>
        <w:gridCol w:w="109"/>
        <w:gridCol w:w="197"/>
        <w:gridCol w:w="197"/>
        <w:gridCol w:w="628"/>
        <w:gridCol w:w="199"/>
        <w:gridCol w:w="158"/>
      </w:tblGrid>
      <w:tr>
        <w:trPr/>
        <w:tc>
          <w:tcPr>
            <w:tcW w:w="255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Beneficially</w:t>
            </w:r>
            <w:r>
              <w:rPr/>
              <w:t xml:space="preserve"> </w:t>
              <w:br/>
            </w:r>
            <w:r>
              <w:rPr>
                <w:spacing w:val="-3"/>
              </w:rPr>
              <w:t>Owned</w:t>
            </w:r>
            <w:r>
              <w:rPr/>
              <w:t xml:space="preserve"> </w:t>
              <w:br/>
            </w:r>
            <w:r>
              <w:rPr>
                <w:spacing w:val="-3"/>
              </w:rPr>
              <w:t xml:space="preserve">Before this </w:t>
            </w:r>
            <w:r>
              <w:rPr/>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 xml:space="preserve">Offered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Beneficially</w:t>
            </w:r>
            <w:r>
              <w:rPr/>
              <w:t xml:space="preserve"> </w:t>
              <w:br/>
            </w:r>
            <w:r>
              <w:rPr>
                <w:spacing w:val="-3"/>
              </w:rPr>
              <w:t>Owned</w:t>
            </w:r>
            <w:r>
              <w:rPr/>
              <w:t xml:space="preserve"> </w:t>
              <w:br/>
            </w:r>
            <w:r>
              <w:rPr>
                <w:spacing w:val="-3"/>
              </w:rPr>
              <w:t xml:space="preserve">After this </w:t>
            </w:r>
            <w:r>
              <w:rPr/>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of Shares</w:t>
            </w:r>
            <w:r>
              <w:rPr/>
              <w:t xml:space="preserve"> </w:t>
              <w:br/>
            </w:r>
            <w:r>
              <w:rPr>
                <w:spacing w:val="-3"/>
              </w:rPr>
              <w:t>Beneficially</w:t>
            </w:r>
            <w:r>
              <w:rPr/>
              <w:t xml:space="preserve"> </w:t>
              <w:br/>
            </w:r>
            <w:r>
              <w:rPr>
                <w:spacing w:val="-3"/>
              </w:rPr>
              <w:t xml:space="preserve">Owned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AIGH Investment Partners, LP</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5,708,663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5,697,167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11,496</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ind w:left="200" w:right="0" w:hanging="200"/>
              <w:jc w:val="left"/>
              <w:rPr/>
            </w:pPr>
            <w:r>
              <w:rPr>
                <w:spacing w:val="4"/>
              </w:rPr>
              <w:t>WVP Emerging Manager Onshore Fund, LLC – AIGH Series</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1,822,869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1,819,177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3,692</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Alyeska Master Fund, L.P.</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4,901,960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4,901,960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CVI Investments, Inc.</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1,633,986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1,633,986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Polar Long/Short Master Fund</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1,307,189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1,307,189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Alice W Lytton Family LLC</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507,189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507,189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Lytton-Kambara Foundation</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Special Situations Private Equity, L.P.</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Special Situations Cayman Fund, L.P.</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780,014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780,014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Special Situations Fund III QP, L.P.</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2,651,359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2,651,359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Citadel CEMF Investments Ltd.</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3,921,568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3,921,568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Orin Hirschman is the managing member of AIGH Capital Management, LLC, a Maryland limited liability company (“AIGH CM”), which is an advisor with respect to securities held by AIGH Investment Partners, LP (“AIGH LP”). Mr. Hirschman has voting and investment control over the securities indirectly held by AIGH CM, directly held by AIGH LP and directly held by Mr. Hirschman and his family. The address for AIGH CM, AIGH LP and Mr. Hirschman is 6006 Berkeley Avenue, Baltimore, Maryland 21209. </w:t>
      </w:r>
      <w:r>
        <mc:AlternateContent>
          <mc:Choice Requires="wps">
            <w:drawing>
              <wp:anchor behindDoc="0" distT="508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Orin Hirschman is the managing member of AIGH CM, who is a sub-advisor with respect to securities held by WVP Emerging Manager Onshore Fund, LLC - AIGH Series. Mr. Hirschman has voting and investment control over the securities indirectly held by AIGH CM and directly held by Mr. Hirschman and his family directly. The address for AIGH CM and Mr. Hirschman is 6006 Berkeley Avenue, Baltimore, Maryland 21209.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other than to the extent of any pecuniary interest therein. The registered address of Alyeska Master Fund, L.P. is at c/o Maples Corporate Services Limited, P.O. Box 309, Ugland House, South Church Street George Town, Grand Cayman, KY1-1104, Cayman Islands. Alyeska Investment Group, L.P. is located at 77 W. Wacker, Suite 700, Chicago IL 60601. </w:t>
      </w:r>
      <w:r>
        <mc:AlternateContent>
          <mc:Choice Requires="wps">
            <w:drawing>
              <wp:anchor behindDoc="0" distT="508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Polar Long/Short Master Fund (“Polar”) is under management by Polar Asset Management Partners Inc. (“PAMPI”). PAMPI serves as investment advisor of Polar and has control and discretion over the shares held by Polar. As such, PAMPI may be deemed the beneficial owner of the shares held by Polar. PAMPI disclaims any beneficial ownership of the reported shares other than to the extent of any pecuniary interest therein. John Paul Sabourin, in his capacity as Chief Investment Officer of PAMPI, may also be deemed the beneficial owner of the shares held by Polar. Mr. Sabourin disclaims any beneficial ownership of the reported shares other than to the extent of any pecuniary interest therein. The principal business address of Polar is 94 Solaris Avenue, Camana Bay, PO Box 1348, Grand Cayman KY1-1108, Cayman Islands.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Laurence Lytton may be deemed to have voting and dispositive power with respect to the common shares beneficially owned by the Alice W Lytton Family LLC. The address of Alice W Lytton Family LLC is 467 Central Park West 17-A, New York, NY 10025, Attn: Laurence Lytton, Managing Partner.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Laurence Lytton has sole voting and investment control of the securities beneficially owned by the Lytton-Kambara Foundation. The address of the Lytton-Kambara Foundation is 467 Central Park West 17-A, New York, NY 10025, Attn: Laurence Lytton, President.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AWM Investment Company, Inc. (“AWM”) is the investment adviser to each of the Special Situations Funds. David Greenhouse and Adam Stettner are the principal owners of AWM. Through their control of AWM,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Funds and Messrs. Greenhouse and Stettner is 527 Madison Avenue, Suite 2600, New York, NY 10022.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Citadel Advisors LLC is the portfolio manager of Citadel CEMF Investments Ltd.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of or to direct the disposition over, the shares of common stock listed above. The foregoing is not and shall not be construed as an admission that Mr. Griffin or any of the Citadel-related entities listed above is the beneficial owner of any securities of the Company other than the securities actually owned by such person (if any). The address of Citadel CEMF Investments Ltd. is 830 Brickell Plaza, Floor 15, Miami, FL 33131.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Selling Stockholder of the securities and any of their pledgees, assignees and successors-in-interest may, from time to time, sell any or all of their securities covered hereby on any stock exchange, market or trading facility on which the securities are traded or in private transactions. These sales may be at fixed or negotiated prices. A Selling Stockholder may use any one or more of the following methods when selling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securities as agent but may position and resell a portion of the block as principal to facilitate the transaction; </w:t>
      </w:r>
      <w:r>
        <mc:AlternateContent>
          <mc:Choice Requires="wps">
            <w:drawing>
              <wp:anchor behindDoc="0" distT="673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673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660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660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w:t>
      </w:r>
      <w:r>
        <mc:AlternateContent>
          <mc:Choice Requires="wps">
            <w:drawing>
              <wp:anchor behindDoc="0" distT="660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through broker-dealers that agree with the Selling Stockholders to sell a specified number of such securities at a stipulated price per security; </w:t>
      </w:r>
      <w:r>
        <mc:AlternateContent>
          <mc:Choice Requires="wps">
            <w:drawing>
              <wp:anchor behindDoc="0" distT="660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660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660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660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also sell securities under Rule 144 or any other exemption from registration under the Securities Act, if available, rather than under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agreed to keep the registration statement of which this prospectus is a part effective until the earlier of (i) the date on which the securities may be resold by the Selling Stockholders without registration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w:t>
      </w:r>
      <w:bookmarkStart w:id="13" w:name="tWYC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Cooley LLP, Chicago, Illinois, will pass upon the validity of the shares of common stock offered 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at www.sec.gov that contains reports, proxy and information statements, and other information regarding issuers, such as us, that file electronically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certain information filed by us with the SEC are also available on our website at www.nninc.com. Information contained in or accessible through our website does not constitute a part of this prospectus and is not incorporated by reference in this prospectus. We have included our website address as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IOC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documents are incorporated by reference into this document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w:t>
      </w:r>
    </w:p>
    <w:p>
      <w:pPr>
        <w:pStyle w:val="TextBody"/>
        <w:bidi w:val="0"/>
        <w:spacing w:lineRule="atLeast" w:line="240" w:before="120" w:after="0"/>
        <w:ind w:left="1993" w:right="0" w:hanging="0"/>
        <w:jc w:val="left"/>
        <w:rPr/>
      </w:pPr>
      <w:hyperlink r:id="rId4">
        <w:r>
          <w:rPr>
            <w:rStyle w:val="InternetLink"/>
          </w:rPr>
          <w:t>our Annual Report on Form 10-K for the fiscal year ended December 31, 2025, filed with the SEC on March 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fiscal year ended December 31, 2025 from our </w:t>
      </w:r>
      <w:hyperlink r:id="rId5">
        <w:r>
          <w:rPr>
            <w:rStyle w:val="InternetLink"/>
          </w:rPr>
          <w:t>definitive proxy statement on Schedule 14A, filed with the SEC on April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our Quarterly Report on Form 10-Q for the quarterly period ended March 31, 2026, filed with the SEC on May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(other than information furnished rather than filed), filed with the SEC on </w:t>
      </w:r>
      <w:hyperlink r:id="rId7">
        <w:r>
          <w:rPr>
            <w:rStyle w:val="InternetLink"/>
          </w:rPr>
          <w:t>January 20,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July 1,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which is registered under Section 12 of the Exchange Act, described in </w:t>
      </w:r>
      <w:hyperlink r:id="rId12">
        <w:r>
          <w:rPr>
            <w:rStyle w:val="InternetLink"/>
          </w:rPr>
          <w:t>Exhibit 4.5</w:t>
        </w:r>
      </w:hyperlink>
      <w:r>
        <w:rPr>
          <w:rFonts w:ascii="Times New Roman;Times;serif" w:hAnsi="Times New Roman;Times;serif"/>
          <w:b w:val="false"/>
          <w:i w:val="false"/>
          <w:caps w:val="false"/>
          <w:smallCaps w:val="false"/>
          <w:color w:val="000000"/>
          <w:spacing w:val="4"/>
          <w:sz w:val="20"/>
        </w:rPr>
        <w:t xml:space="preserve"> to our Annual Report on Form 10-K for the year ended December 31, 2020, filed with the SEC on </w:t>
      </w:r>
      <w:hyperlink r:id="rId13">
        <w:r>
          <w:rPr>
            <w:rStyle w:val="InternetLink"/>
          </w:rPr>
          <w:t>March 15, 2021</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purposes of updating such description.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all documents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by writing us at NN, Inc., 6210 Ardrey Kell Road, Suite 120, Charlotte, North Carolina 28277 Attention: Secretary or telephoning us at (980) 264-4300.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THE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costs and expenses, other than underwriting discounts and commissions, payable by us in connection with the offering of the securities being registered. All amounts shown below are estimates except the SEC registration fee. </w:t>
      </w:r>
    </w:p>
    <w:tbl>
      <w:tblPr>
        <w:tblW w:w="5046" w:type="dxa"/>
        <w:jc w:val="left"/>
        <w:tblInd w:w="1393" w:type="dxa"/>
        <w:tblLayout w:type="fixed"/>
        <w:tblCellMar>
          <w:top w:w="0" w:type="dxa"/>
          <w:left w:w="0" w:type="dxa"/>
          <w:bottom w:w="0" w:type="dxa"/>
          <w:right w:w="0" w:type="dxa"/>
        </w:tblCellMar>
      </w:tblPr>
      <w:tblGrid>
        <w:gridCol w:w="124"/>
        <w:gridCol w:w="3220"/>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 xml:space="preserve">11,577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 xml:space="preserve">75,000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 xml:space="preserve">51,750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Miscellaneous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 xml:space="preserve">1,673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140,000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145 of the DGCL, we have broad powers to indemnify our directors and officers against liabilities they may incur in such capacities, including liabilities under the Securities Act. Section 145 of the DGCL generally provides that a Delaware corporation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interests of the corporation and, with respect to any criminal action, they had reasonable cause to believe their conduct was 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Certificate of Incorporation, as amended from time to time (the “Certificate of Incorporation”) includes provisions that (i) limit the personal liability of our current and former directors, officers, employees and agents for monetary damages resulting from breaches of their fiduciary duty to the fullest extent permitted under applicable law, (ii) require us to indemnify our directors, officers, employees and agents to the fullest extent permitted by the DGCL or other applicable law, (iii) upon satisfaction of certain conditions, we are required to advance expenses incurred by a director in advance of the final disposition of any action or proceeding and (iv) permit us to secure insurance on behalf of any officer, director, employee or other agent for any liability arising out of his or her actions in that capacity regardless of whether we would otherwise be permitted to indemnify him or her under the provisions of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these provisions of the Certificate of Incorporation and Amended and Restated Bylaws, as amended from time to time, are necessary to attract and retain qualified persons as directors and officers. These provisions do not eliminate our directors’ or officers’ duty of care, and, in appropriate circumstances, equitable remedies such as injunctive or other forms of non-monetary relief will remain available under the DGCL. In addition, each director will continue to be subject to liability pursuant to Section 174 of the DGCL, for breach of such director’s duty of loyalty to us, for acts or omissions not in good faith or involving intentional misconduct, for knowing violations of law, for acts or omissions that such director believes to be contrary to our best interests or the best interests of our stockholders, for any transaction from which such director derived an improper personal benefit, for acts or omissions involving a reckless disregard for such director’s duty to us or to our stockholders when such director was aware or should have been aware of a risk of serious injury to us or to our stockholders, for acts or omission that constitute an unexcused pattern of inattention that amounts to an abdication of such director’s duty to us or to our stockholders, for improper transactions between such director and us and for improper loans to directors and officers. These provisions also do not affect a director’s responsibilities under any other law, such as the federal securities law or state or federal environmental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Delaware law, we have entered into indemnification agreements with each of our current directors and executive officers pursuant to the foregoing provisions. We also maintain customary directors’ and officers’ liability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90"/>
        <w:gridCol w:w="109"/>
        <w:gridCol w:w="109"/>
        <w:gridCol w:w="742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90"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5"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r:id="rId14">
              <w:r>
                <w:rPr>
                  <w:rStyle w:val="InternetLink"/>
                  <w:spacing w:val="4"/>
                </w:rPr>
                <w:t>Restated Certificate of Incorporation of NN, Inc. (incorporated by reference to Exhibit 3.1 of NN, Inc.’s Registration Statement No. 333-89950 on Form S-3 filed June 6, 2002).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283"/>
              <w:jc w:val="left"/>
              <w:rPr/>
            </w:pPr>
            <w:hyperlink r:id="rId15">
              <w:r>
                <w:rPr>
                  <w:rStyle w:val="InternetLink"/>
                </w:rPr>
                <w:t>Certificate of Amendment to Restated Certificate of Incorporation of NN, Inc. (Declassification) (incorporated by reference to Exhibit 3.1 to NN, Inc.’s Current Report on Form 8-K filed on May 20,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283"/>
              <w:jc w:val="left"/>
              <w:rPr/>
            </w:pPr>
            <w:hyperlink r:id="rId16">
              <w:r>
                <w:rPr>
                  <w:rStyle w:val="InternetLink"/>
                </w:rPr>
                <w:t>Certificate of Amendment to Restated Certificate of Incorporation of NN, Inc. (Share Increase) (incorporated by reference to Exhibit 3.2 to NN, Inc.’s Current Report on Form 8-K filed on May 20,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r:id="rId17">
              <w:r>
                <w:rPr>
                  <w:rStyle w:val="InternetLink"/>
                  <w:spacing w:val="4"/>
                </w:rPr>
                <w:t>Certificate of Designation of Series D Preferred Stock (incorporated by reference to Exhibit 3.1 to NN, Inc.’s Current Report on Form 8-K filed on March 22, 2021).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r:id="rId18">
              <w:r>
                <w:rPr>
                  <w:rStyle w:val="InternetLink"/>
                  <w:spacing w:val="4"/>
                </w:rPr>
                <w:t>Amended and Restated Bylaws of NN, Inc. (incorporated by reference to Exhibit 3.1 to NN, Inc.’s Current Report on Form 8-K filed on January 20,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r:id="rId19">
              <w:r>
                <w:rPr>
                  <w:rStyle w:val="InternetLink"/>
                  <w:spacing w:val="4"/>
                </w:rPr>
                <w:t>Form of Securities Purchase Agreement (incorporated by reference to Exhibit 10.1 of NN, Inc.’s Current Report on Form 8-K filed on July 1,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r:id="rId20">
              <w:r>
                <w:rPr>
                  <w:rStyle w:val="InternetLink"/>
                  <w:spacing w:val="4"/>
                </w:rPr>
                <w:t>Form of Registration Rights Agreement (incorporated by reference to Exhibit 10.2 of NN, Inc.’s Current Report on Form 8-K filed on July 1,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w:anchor="tm2620202d2_ex5-1.htm">
              <w:r>
                <w:rPr>
                  <w:rStyle w:val="InternetLink"/>
                  <w:spacing w:val="4"/>
                </w:rPr>
                <w:t>Opinion of Cooley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w:anchor="tm2620202d2_ex23-1.htm">
              <w:r>
                <w:rPr>
                  <w:rStyle w:val="InternetLink"/>
                  <w:spacing w:val="4"/>
                </w:rPr>
                <w:t>Consent of Grant Thornton LLP,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w:anchor="tm2620202d2_ex5-1.htm">
              <w:r>
                <w:rPr>
                  <w:rStyle w:val="InternetLink"/>
                  <w:spacing w:val="4"/>
                </w:rPr>
                <w:t>Consent of Cooley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w:anchor="tSIG">
              <w:r>
                <w:rPr>
                  <w:rStyle w:val="InternetLink"/>
                  <w:spacing w:val="4"/>
                </w:rPr>
                <w:t>Power of Attorney (included on the signature page of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5" w:type="dxa"/>
            <w:tcBorders/>
            <w:tcMar>
              <w:bottom w:w="0" w:type="dxa"/>
            </w:tcMar>
            <w:vAlign w:val="center"/>
          </w:tcPr>
          <w:p>
            <w:pPr>
              <w:pStyle w:val="TableContents"/>
              <w:bidi w:val="0"/>
              <w:spacing w:before="0" w:after="0"/>
              <w:jc w:val="left"/>
              <w:rPr/>
            </w:pPr>
            <w:hyperlink w:anchor="tm2620202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8382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Financial Statement Schedules</w:t>
      </w:r>
      <w:r>
        <w:rPr>
          <w:rFonts w:ascii="Times New Roman;Times;serif" w:hAnsi="Times New Roman;Times;serif"/>
          <w:b w:val="false"/>
          <w:i w:val="false"/>
          <w:caps w:val="false"/>
          <w:smallCaps w:val="false"/>
          <w:color w:val="000000"/>
          <w:spacing w:val="4"/>
          <w:sz w:val="20"/>
        </w:rPr>
        <w:t xml:space="preserve">.   All financial statement schedules are omitted because the information called for is not required or is shown either in the consolidated financial statements or in the notes thereto.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   To file, during any period in which offers or sales are being made, a post-effective amendment to this registration statement: </w:t>
      </w:r>
    </w:p>
    <w:p>
      <w:pPr>
        <w:pStyle w:val="TextBody"/>
        <w:bidi w:val="0"/>
        <w:spacing w:lineRule="atLeast" w:line="240" w:before="148"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30" w:before="148"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in the effective registration statement; and </w:t>
      </w:r>
    </w:p>
    <w:p>
      <w:pPr>
        <w:pStyle w:val="TextBody"/>
        <w:bidi w:val="0"/>
        <w:spacing w:lineRule="atLeast" w:line="230" w:before="148"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undertaking set forth in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are contained in a form of prospectus filed pursuant to Rule 424(b) that is part of this registration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to any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IG"/>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Charlotte, State of North Carolina, on July 13, 2026. </w:t>
      </w:r>
    </w:p>
    <w:tbl>
      <w:tblPr>
        <w:tblW w:w="6152"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481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47" w:type="dxa"/>
            <w:gridSpan w:val="4"/>
            <w:tcBorders/>
            <w:vAlign w:val="center"/>
          </w:tcPr>
          <w:p>
            <w:pPr>
              <w:pStyle w:val="TableContents"/>
              <w:bidi w:val="0"/>
              <w:spacing w:before="0" w:after="283"/>
              <w:jc w:val="left"/>
              <w:rPr>
                <w:spacing w:val="-4"/>
              </w:rPr>
            </w:pPr>
            <w:r>
              <w:rPr>
                <w:spacing w:val="-4"/>
              </w:rPr>
              <w:t xml:space="preserve">NN,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0" w:type="dxa"/>
            <w:tcBorders/>
            <w:vAlign w:val="center"/>
          </w:tcPr>
          <w:p>
            <w:pPr>
              <w:pStyle w:val="TableContents"/>
              <w:bidi w:val="0"/>
              <w:spacing w:before="0" w:after="0"/>
              <w:jc w:val="left"/>
              <w:rPr/>
            </w:pPr>
            <w:r>
              <w:rPr>
                <w:spacing w:val="4"/>
              </w:rPr>
              <w:t>/s/ Harold C. Bevis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Harold C. Bevis </w:t>
            </w:r>
            <w:r>
              <w:rPr/>
              <w:br/>
            </w:r>
            <w:r>
              <w:rPr>
                <w:spacing w:val="4"/>
              </w:rPr>
              <w:t>President, Chief Executive Officer and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constitutes and appoints Harold C. Bevis and Christopher H. Bohnert, and each of them, as his/her true and lawful attorney-in-fact and agent, each acting alone, with full power of substitution and resubstitution, for him/her and in his/her name, place and stead, in any and all capacities, to sign any or all amendments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his/her substitute or substitutes, may lawfully do or cause to be done by virtue 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452"/>
        <w:gridCol w:w="109"/>
        <w:gridCol w:w="109"/>
        <w:gridCol w:w="4343"/>
        <w:gridCol w:w="109"/>
        <w:gridCol w:w="109"/>
        <w:gridCol w:w="130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52" w:type="dxa"/>
            <w:tcBorders>
              <w:bottom w:val="single" w:sz="2" w:space="0" w:color="000000"/>
            </w:tcBorders>
            <w:vAlign w:val="center"/>
          </w:tcPr>
          <w:p>
            <w:pPr>
              <w:pStyle w:val="TableContents"/>
              <w:bidi w:val="0"/>
              <w:spacing w:before="0" w:after="0"/>
              <w:jc w:val="center"/>
              <w:rPr>
                <w:spacing w:val="-3"/>
              </w:rPr>
            </w:pPr>
            <w:r>
              <w:rPr>
                <w:spacing w:val="-3"/>
              </w:rPr>
              <w:t xml:space="preserve">Name and 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3"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2" w:type="dxa"/>
            <w:tcBorders>
              <w:bottom w:val="single" w:sz="2" w:space="0" w:color="000000"/>
            </w:tcBorders>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52" w:type="dxa"/>
            <w:tcBorders/>
            <w:tcMar>
              <w:bottom w:w="0" w:type="dxa"/>
            </w:tcMar>
            <w:vAlign w:val="center"/>
          </w:tcPr>
          <w:p>
            <w:pPr>
              <w:pStyle w:val="TableContents"/>
              <w:bidi w:val="0"/>
              <w:spacing w:before="0" w:after="0"/>
              <w:jc w:val="left"/>
              <w:rPr/>
            </w:pPr>
            <w:r>
              <w:rPr>
                <w:spacing w:val="4"/>
              </w:rPr>
              <w:t>/s/ Harold C. Bevis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Harold C. Bevis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3" w:type="dxa"/>
            <w:tcBorders/>
            <w:tcMar>
              <w:bottom w:w="0" w:type="dxa"/>
            </w:tcMar>
            <w:vAlign w:val="center"/>
          </w:tcPr>
          <w:p>
            <w:pPr>
              <w:pStyle w:val="TableContents"/>
              <w:bidi w:val="0"/>
              <w:spacing w:before="0" w:after="0"/>
              <w:jc w:val="center"/>
              <w:rPr/>
            </w:pPr>
            <w:r>
              <w:rPr>
                <w:spacing w:val="4"/>
              </w:rPr>
              <w:t>President, 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2" w:type="dxa"/>
            <w:tcBorders/>
            <w:tcMar>
              <w:bottom w:w="0" w:type="dxa"/>
            </w:tcMar>
            <w:vAlign w:val="center"/>
          </w:tcPr>
          <w:p>
            <w:pPr>
              <w:pStyle w:val="TableContents"/>
              <w:bidi w:val="0"/>
              <w:spacing w:before="0" w:after="0"/>
              <w:jc w:val="center"/>
              <w:rPr>
                <w:spacing w:val="4"/>
              </w:rPr>
            </w:pPr>
            <w:r>
              <w:rPr>
                <w:spacing w:val="4"/>
              </w:rPr>
              <w:t xml:space="preserve">July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52"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Christopher H. Bohnert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Christopher H. Bohnert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3" w:type="dxa"/>
            <w:tcBorders/>
            <w:tcMar>
              <w:top w:w="28" w:type="dxa"/>
              <w:left w:w="28" w:type="dxa"/>
              <w:right w:w="28" w:type="dxa"/>
            </w:tcMar>
            <w:vAlign w:val="center"/>
          </w:tcPr>
          <w:p>
            <w:pPr>
              <w:pStyle w:val="TableContents"/>
              <w:bidi w:val="0"/>
              <w:spacing w:before="0" w:after="0"/>
              <w:jc w:val="center"/>
              <w:rPr/>
            </w:pPr>
            <w:r>
              <w:rPr>
                <w:spacing w:val="4"/>
              </w:rPr>
              <w:t>Senior Vice President and Chief Financial Officer</w:t>
            </w:r>
            <w:r>
              <w:rPr/>
              <w:t xml:space="preserve"> </w:t>
              <w:br/>
            </w:r>
            <w:r>
              <w:rPr>
                <w:spacing w:val="4"/>
              </w:rPr>
              <w:t xml:space="preserve">(Principal Financial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52"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Jeri J. Harman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Jeri J. Harman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Non-Executive Chairman,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52"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Raynard D. Benvenuti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Raynard D. Benvenuti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52"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Christina E. Carroll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Christina E. Carroll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52"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João Faria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João Faria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52"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Rajeev Gautam, Ph.D.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Rajeev Gautam,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13,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821" w:type="dxa"/>
        <w:jc w:val="left"/>
        <w:tblInd w:w="1393" w:type="dxa"/>
        <w:tblLayout w:type="fixed"/>
        <w:tblCellMar>
          <w:top w:w="0" w:type="dxa"/>
          <w:left w:w="0" w:type="dxa"/>
          <w:bottom w:w="28" w:type="dxa"/>
          <w:right w:w="0" w:type="dxa"/>
        </w:tblCellMar>
      </w:tblPr>
      <w:tblGrid>
        <w:gridCol w:w="124"/>
        <w:gridCol w:w="2645"/>
        <w:gridCol w:w="109"/>
        <w:gridCol w:w="109"/>
        <w:gridCol w:w="974"/>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45" w:type="dxa"/>
            <w:tcBorders>
              <w:bottom w:val="single" w:sz="2" w:space="0" w:color="000000"/>
            </w:tcBorders>
            <w:vAlign w:val="center"/>
          </w:tcPr>
          <w:p>
            <w:pPr>
              <w:pStyle w:val="TableContents"/>
              <w:bidi w:val="0"/>
              <w:spacing w:before="0" w:after="0"/>
              <w:jc w:val="center"/>
              <w:rPr>
                <w:spacing w:val="-3"/>
              </w:rPr>
            </w:pPr>
            <w:r>
              <w:rPr>
                <w:spacing w:val="-3"/>
              </w:rPr>
              <w:t xml:space="preserve">Name and 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45" w:type="dxa"/>
            <w:tcBorders/>
            <w:tcMar>
              <w:bottom w:w="0" w:type="dxa"/>
            </w:tcMar>
            <w:vAlign w:val="center"/>
          </w:tcPr>
          <w:p>
            <w:pPr>
              <w:pStyle w:val="TableContents"/>
              <w:bidi w:val="0"/>
              <w:spacing w:before="0" w:after="0"/>
              <w:jc w:val="left"/>
              <w:rPr>
                <w:spacing w:val="4"/>
              </w:rPr>
            </w:pPr>
            <w:r>
              <w:rPr>
                <w:spacing w:val="4"/>
              </w:rPr>
              <w:t xml:space="preserve">/s/ Thomas H. Wilson, Jr.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Thomas H. Wilson,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13,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45"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Raymond T. White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Raymond T. White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top w:w="28" w:type="dxa"/>
              <w:left w:w="28" w:type="dxa"/>
              <w:right w:w="28" w:type="dxa"/>
            </w:tcMar>
            <w:vAlign w:val="center"/>
          </w:tcPr>
          <w:p>
            <w:pPr>
              <w:pStyle w:val="TableContents"/>
              <w:bidi w:val="0"/>
              <w:spacing w:before="0" w:after="0"/>
              <w:jc w:val="center"/>
              <w:rPr/>
            </w:pPr>
            <w:r>
              <w:rPr>
                <w:spacing w:val="4"/>
              </w:rPr>
              <w:t>July 13,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6" w:name="tm2620202d2_ex5-1.htm"/>
      <w:bookmarkStart w:id="17" w:name="kstm2620202d2_ex51"/>
      <w:bookmarkEnd w:id="16"/>
      <w:bookmarkEnd w:id="17"/>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504950" cy="514350"/>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21"/>
                    <a:stretch>
                      <a:fillRect/>
                    </a:stretch>
                  </pic:blipFill>
                  <pic:spPr bwMode="auto">
                    <a:xfrm>
                      <a:off x="0" y="0"/>
                      <a:ext cx="1504950" cy="5143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283"/>
        <w:jc w:val="left"/>
        <w:rPr/>
      </w:pPr>
      <w:r>
        <w:rPr/>
        <w:t xml:space="preserve">Christina T. Roupas </w:t>
        <w:br/>
        <w:t>+1 312 881 6670</w:t>
        <w:br/>
        <w:t>croupas@cooley.com</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6210 Ardrey Kell Road, Suite 120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 28277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NN,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connection with the filing of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covering the registration for resale of 24,509,804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issued by the Company pursuant to that certain </w:t>
      </w:r>
      <w:r>
        <w:rPr>
          <w:rFonts w:ascii="Times New Roman;Times;Serif" w:hAnsi="Times New Roman;Times;Serif"/>
          <w:b w:val="false"/>
          <w:i w:val="false"/>
          <w:caps w:val="false"/>
          <w:smallCaps w:val="false"/>
          <w:sz w:val="20"/>
          <w:shd w:fill="FFFFFF" w:val="clear"/>
        </w:rPr>
        <w:t>Securities Purchase Agreement, dated June 30, 2026, by and among the Company and the investors named therein (the “</w:t>
      </w:r>
      <w:r>
        <w:rPr>
          <w:rFonts w:ascii="Times New Roman;Times;Serif" w:hAnsi="Times New Roman;Times;Serif"/>
          <w:b/>
          <w:i/>
          <w:caps w:val="false"/>
          <w:smallCaps w:val="false"/>
          <w:sz w:val="20"/>
          <w:shd w:fill="FFFFFF" w:val="clear"/>
        </w:rPr>
        <w:t>Purchase Agreement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and the related prospectus, the Company’s certificate of incorporation and bylaws, each as currently in effect, the Purchase Agreement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in reliance thereon and subject to the assumptions, exceptions, limitations and qualifications set forth herein, we are of the opinion that the Shares are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110 N. WACKER DRIVE, SUITE 4200 CHICAGO, IL 60606</w:t>
        <w:br/>
        <w:t>T: +1 312 818 6500 F: +1 312 818 6598 COOLEY.COM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504950" cy="514350"/>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22"/>
                    <a:stretch>
                      <a:fillRect/>
                    </a:stretch>
                  </pic:blipFill>
                  <pic:spPr bwMode="auto">
                    <a:xfrm>
                      <a:off x="0" y="0"/>
                      <a:ext cx="1504950" cy="5143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Inc. </w:t>
        <w:br/>
        <w:t>Page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110 N. WACKER DRIVE, SUITE 4200 CHICAGO, IL 60606</w:t>
        <w:br/>
        <w:t>T: +1 312 818 6500 F: +1 312 818 6598 COOLEY.COM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04950" cy="514350"/>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23"/>
                    <a:stretch>
                      <a:fillRect/>
                    </a:stretch>
                  </pic:blipFill>
                  <pic:spPr bwMode="auto">
                    <a:xfrm>
                      <a:off x="0" y="0"/>
                      <a:ext cx="1504950" cy="514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Inc. </w:t>
        <w:br/>
        <w:t>Page Three</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380"/>
        <w:gridCol w:w="2195"/>
        <w:gridCol w:w="75"/>
      </w:tblGrid>
      <w:tr>
        <w:trPr/>
        <w:tc>
          <w:tcPr>
            <w:tcW w:w="2575" w:type="dxa"/>
            <w:gridSpan w:val="2"/>
            <w:tcBorders/>
            <w:vAlign w:val="center"/>
          </w:tcPr>
          <w:p>
            <w:pPr>
              <w:pStyle w:val="TableContents"/>
              <w:bidi w:val="0"/>
              <w:spacing w:before="0" w:after="283"/>
              <w:jc w:val="left"/>
              <w:rPr/>
            </w:pPr>
            <w:r>
              <w:rPr/>
              <w:t>Very truly yours,      </w:t>
            </w:r>
          </w:p>
        </w:tc>
        <w:tc>
          <w:tcPr>
            <w:tcW w:w="75" w:type="dxa"/>
            <w:tcBorders/>
            <w:vAlign w:val="center"/>
          </w:tcPr>
          <w:p>
            <w:pPr>
              <w:pStyle w:val="TableContents"/>
              <w:bidi w:val="0"/>
              <w:spacing w:before="0" w:after="283"/>
              <w:jc w:val="left"/>
              <w:rPr/>
            </w:pPr>
            <w:r>
              <w:rPr/>
              <w:t> </w:t>
            </w:r>
          </w:p>
        </w:tc>
      </w:tr>
      <w:tr>
        <w:trPr/>
        <w:tc>
          <w:tcPr>
            <w:tcW w:w="25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75" w:type="dxa"/>
            <w:gridSpan w:val="2"/>
            <w:tcBorders/>
            <w:vAlign w:val="center"/>
          </w:tcPr>
          <w:p>
            <w:pPr>
              <w:pStyle w:val="TableContents"/>
              <w:bidi w:val="0"/>
              <w:spacing w:before="0" w:after="283"/>
              <w:jc w:val="left"/>
              <w:rPr/>
            </w:pPr>
            <w:r>
              <w:rPr/>
              <w:t>Cooley LLP</w:t>
            </w:r>
          </w:p>
        </w:tc>
        <w:tc>
          <w:tcPr>
            <w:tcW w:w="75" w:type="dxa"/>
            <w:tcBorders/>
            <w:vAlign w:val="center"/>
          </w:tcPr>
          <w:p>
            <w:pPr>
              <w:pStyle w:val="TableContents"/>
              <w:bidi w:val="0"/>
              <w:spacing w:before="0" w:after="283"/>
              <w:jc w:val="left"/>
              <w:rPr/>
            </w:pPr>
            <w:r>
              <w:rPr/>
              <w:t> </w:t>
            </w:r>
          </w:p>
        </w:tc>
      </w:tr>
      <w:tr>
        <w:trPr/>
        <w:tc>
          <w:tcPr>
            <w:tcW w:w="25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195" w:type="dxa"/>
            <w:tcBorders>
              <w:bottom w:val="single" w:sz="8" w:space="0" w:color="000000"/>
            </w:tcBorders>
            <w:tcMar>
              <w:bottom w:w="28" w:type="dxa"/>
            </w:tcMar>
            <w:vAlign w:val="center"/>
          </w:tcPr>
          <w:p>
            <w:pPr>
              <w:pStyle w:val="TableContents"/>
              <w:bidi w:val="0"/>
              <w:spacing w:before="0" w:after="283"/>
              <w:jc w:val="left"/>
              <w:rPr/>
            </w:pPr>
            <w:r>
              <w:rPr/>
              <w:t>/s/ Christina T. Roupas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Christina T. Roupas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110 N. WACKER DRIVE, SUITE 4200 CHICAGO, IL 60606</w:t>
        <w:br/>
        <w:t>T: +1 312 818 6500 F: +1 312 818 6598 COOLEY.COM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18" w:name="tm2620202d2_ex23-1.htm"/>
      <w:bookmarkStart w:id="19" w:name="kstm2620202d2_ex231"/>
      <w:bookmarkEnd w:id="18"/>
      <w:bookmarkEnd w:id="19"/>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reports dated March 4, 2026 with respect to the consolidated financial statements and internal control over financial reporting of NN, Inc.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20" w:name="tm2620202d1_ex-filingfees.htm"/>
      <w:bookmarkStart w:id="21" w:name="kstm2620202d1_exfilingfees"/>
      <w:bookmarkStart w:id="22" w:name="tm2620202d1_ex-filingfees.htm"/>
      <w:bookmarkStart w:id="23" w:name="kstm2620202d1_exfilingfees"/>
      <w:bookmarkEnd w:id="22"/>
      <w:bookmarkEnd w:id="23"/>
      <w:r>
        <w:br w:type="page"/>
      </w:r>
    </w:p>
    <w:tbl>
      <w:tblPr>
        <w:tblW w:w="3470" w:type="dxa"/>
        <w:jc w:val="left"/>
        <w:tblInd w:w="0" w:type="dxa"/>
        <w:tblLayout w:type="fixed"/>
        <w:tblCellMar>
          <w:top w:w="28" w:type="dxa"/>
          <w:left w:w="28" w:type="dxa"/>
          <w:bottom w:w="28" w:type="dxa"/>
          <w:right w:w="28" w:type="dxa"/>
        </w:tblCellMar>
      </w:tblPr>
      <w:tblGrid>
        <w:gridCol w:w="3316"/>
        <w:gridCol w:w="154"/>
      </w:tblGrid>
      <w:tr>
        <w:trPr/>
        <w:tc>
          <w:tcPr>
            <w:tcW w:w="34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b/>
              </w:rPr>
            </w:pPr>
            <w:r>
              <w:rPr>
                <w:b/>
              </w:rPr>
              <w:t xml:space="preserve">NN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24,509,804 </w:t>
            </w:r>
          </w:p>
        </w:tc>
        <w:tc>
          <w:tcPr>
            <w:tcW w:w="1156" w:type="dxa"/>
            <w:tcBorders/>
            <w:shd w:fill="E7E7E2" w:val="clear"/>
            <w:vAlign w:val="center"/>
          </w:tcPr>
          <w:p>
            <w:pPr>
              <w:pStyle w:val="TableContents"/>
              <w:bidi w:val="0"/>
              <w:spacing w:before="0" w:after="283"/>
              <w:jc w:val="right"/>
              <w:rPr/>
            </w:pPr>
            <w:r>
              <w:rPr/>
              <w:t xml:space="preserve">$ 3.42 </w:t>
            </w:r>
          </w:p>
        </w:tc>
        <w:tc>
          <w:tcPr>
            <w:tcW w:w="1666" w:type="dxa"/>
            <w:tcBorders/>
            <w:shd w:fill="E7E7E2" w:val="clear"/>
            <w:vAlign w:val="center"/>
          </w:tcPr>
          <w:p>
            <w:pPr>
              <w:pStyle w:val="TableContents"/>
              <w:bidi w:val="0"/>
              <w:spacing w:before="0" w:after="283"/>
              <w:jc w:val="right"/>
              <w:rPr/>
            </w:pPr>
            <w:r>
              <w:rPr/>
              <w:t xml:space="preserve">$ 83,823,529.68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$ 11,576.03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4" w:name="MaxAggtOfferingPrice"/>
            <w:bookmarkEnd w:id="24"/>
            <w:r>
              <w:rPr/>
              <w:t xml:space="preserve">$ 83,823,529.68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$ 11,576.03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$ 11,576.03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5"/>
        <w:gridCol w:w="8709"/>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This registration statement registers the resale of shares of common stock by the selling stockholders pursuant to the prospectus contained herein. Pursuant to Rule 416(a) promulgated under the Securities Act of 1933, as amended (the "Securities Act"), this registration statement shall also cover any additional shares of common stock, par value $0.01 per share ("Common Stock") of NN, Inc. that become issuable by reason of any stock dividend, stock split, recapitalization or other similar transaction with respect to the shares of Common Stock being registered pursuant to this registration statement. The proposed maximum offering price per share of Common Stock is estimated in accordance with Rule 457(c) promulgated under the Securities Act solely for the purpose of calculating the registration fee and is based upon a per share price of $3.42, which is the average of the high and low prices per share of the Common Stock on July 8, 2026, as reported on The Nasdaq Global Select Market.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918541/000110465926079868/tm2615004d6_8k.htm" TargetMode="External"/><Relationship Id="rId4" Type="http://schemas.openxmlformats.org/officeDocument/2006/relationships/hyperlink" Target="https://www.sec.gov/ix?doc=/Archives/edgar/data/918541/000091854126000006/nnbr-20251231.htm" TargetMode="External"/><Relationship Id="rId5" Type="http://schemas.openxmlformats.org/officeDocument/2006/relationships/hyperlink" Target="https://www.sec.gov/ix?doc=/Archives/edgar/data/918541/000091854126000026/nnbr-20260406.htm" TargetMode="External"/><Relationship Id="rId6" Type="http://schemas.openxmlformats.org/officeDocument/2006/relationships/hyperlink" Target="https://www.sec.gov/ix?doc=/Archives/edgar/data/918541/000091854126000033/nnbr-20260331.htm" TargetMode="External"/><Relationship Id="rId7" Type="http://schemas.openxmlformats.org/officeDocument/2006/relationships/hyperlink" Target="https://www.sec.gov/ix?doc=/Archives/edgar/data/918541/000110465926004834/tm263328d1_8k.htm" TargetMode="External"/><Relationship Id="rId8" Type="http://schemas.openxmlformats.org/officeDocument/2006/relationships/hyperlink" Target="https://www.sec.gov/ix?doc=/Archives/edgar/data/918541/000110465926008723/tm264468d1_8k.htm" TargetMode="External"/><Relationship Id="rId9" Type="http://schemas.openxmlformats.org/officeDocument/2006/relationships/hyperlink" Target="https://www.sec.gov/ix?doc=/Archives/edgar/data/918541/000091854126000046/nnbr-20260520.htm" TargetMode="External"/><Relationship Id="rId10" Type="http://schemas.openxmlformats.org/officeDocument/2006/relationships/hyperlink" Target="https://www.sec.gov/ix?doc=/Archives/edgar/data/918541/000110465926073458/tm2617739d1_8k.htm" TargetMode="External"/><Relationship Id="rId11" Type="http://schemas.openxmlformats.org/officeDocument/2006/relationships/hyperlink" Target="https://www.sec.gov/ix?doc=/Archives/edgar/data/918541/000110465926079868/tm2615004d6_8k.htm" TargetMode="External"/><Relationship Id="rId12" Type="http://schemas.openxmlformats.org/officeDocument/2006/relationships/hyperlink" Target="https://www.sec.gov/Archives/edgar/data/918541/000091854121000003/q42020ex45.htm" TargetMode="External"/><Relationship Id="rId13" Type="http://schemas.openxmlformats.org/officeDocument/2006/relationships/hyperlink" Target="https://www.sec.gov/ix?doc=/Archives/edgar/data/918541/000091854121000003/nnbr-20201231.htm" TargetMode="External"/><Relationship Id="rId14" Type="http://schemas.openxmlformats.org/officeDocument/2006/relationships/hyperlink" Target="https://www.sec.gov/Archives/edgar/data/918541/000095016802001631/dex31.txt" TargetMode="External"/><Relationship Id="rId15" Type="http://schemas.openxmlformats.org/officeDocument/2006/relationships/hyperlink" Target="https://www.sec.gov/Archives/edgar/data/918541/000119312519151712/d750456dex31.htm" TargetMode="External"/><Relationship Id="rId16" Type="http://schemas.openxmlformats.org/officeDocument/2006/relationships/hyperlink" Target="https://www.sec.gov/Archives/edgar/data/918541/000119312519151712/d750456dex32.htm" TargetMode="External"/><Relationship Id="rId17" Type="http://schemas.openxmlformats.org/officeDocument/2006/relationships/hyperlink" Target="https://www.sec.gov/Archives/edgar/data/918541/000119312521089609/d162543dex31.htm" TargetMode="External"/><Relationship Id="rId18" Type="http://schemas.openxmlformats.org/officeDocument/2006/relationships/hyperlink" Target="https://www.sec.gov/Archives/edgar/data/918541/000091854123000004/amendedandrestatedbylaws20.htm" TargetMode="External"/><Relationship Id="rId19" Type="http://schemas.openxmlformats.org/officeDocument/2006/relationships/hyperlink" Target="https://www.sec.gov/Archives/edgar/data/918541/000110465926079868/tm2615004d6_ex10-1.htm" TargetMode="External"/><Relationship Id="rId20" Type="http://schemas.openxmlformats.org/officeDocument/2006/relationships/hyperlink" Target="https://www.sec.gov/Archives/edgar/data/918541/000110465926079868/tm2615004d6_ex10-2.htm" TargetMode="External"/><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12905</Words>
  <Characters>68147</Characters>
  <CharactersWithSpaces>81851</CharactersWithSpaces>
  <Paragraphs>1254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